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3594E" w14:textId="4260CFB0" w:rsidR="001427D7" w:rsidRPr="00CB38F0" w:rsidRDefault="0054366B" w:rsidP="00626CAC">
      <w:pPr>
        <w:pStyle w:val="Caption"/>
      </w:pPr>
      <w:r w:rsidRPr="00CB38F0">
        <w:rPr>
          <w:noProof/>
          <w:lang w:val="en-US" w:eastAsia="en-US"/>
        </w:rPr>
        <w:drawing>
          <wp:inline distT="0" distB="0" distL="0" distR="0" wp14:anchorId="7B4E4C6C" wp14:editId="05D6D2DC">
            <wp:extent cx="2726690" cy="333375"/>
            <wp:effectExtent l="0" t="0" r="0" b="9525"/>
            <wp:docPr id="5" name="Picture 5" descr="C:\Users\V434\AppData\Local\Microsoft\Windows\Temporary Internet Files\Content.Outlook\V1RTQ0A9\BOC_HOLDINGS_logo.jpg"/>
            <wp:cNvGraphicFramePr/>
            <a:graphic xmlns:a="http://schemas.openxmlformats.org/drawingml/2006/main">
              <a:graphicData uri="http://schemas.openxmlformats.org/drawingml/2006/picture">
                <pic:pic xmlns:pic="http://schemas.openxmlformats.org/drawingml/2006/picture">
                  <pic:nvPicPr>
                    <pic:cNvPr id="5" name="Picture 5" descr="C:\Users\V434\AppData\Local\Microsoft\Windows\Temporary Internet Files\Content.Outlook\V1RTQ0A9\BOC_HOLDINGS_logo.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6690" cy="333375"/>
                    </a:xfrm>
                    <a:prstGeom prst="rect">
                      <a:avLst/>
                    </a:prstGeom>
                    <a:noFill/>
                    <a:ln>
                      <a:noFill/>
                    </a:ln>
                  </pic:spPr>
                </pic:pic>
              </a:graphicData>
            </a:graphic>
          </wp:inline>
        </w:drawing>
      </w:r>
      <w:r w:rsidR="001D25A8" w:rsidRPr="00CB38F0">
        <w:tab/>
      </w:r>
      <w:r w:rsidR="001D25A8" w:rsidRPr="00CB38F0">
        <w:tab/>
      </w:r>
      <w:r w:rsidR="0058519B" w:rsidRPr="00CB38F0">
        <w:tab/>
      </w:r>
      <w:r w:rsidR="001D25A8" w:rsidRPr="00CB38F0">
        <w:tab/>
      </w:r>
      <w:r w:rsidR="00863CC2" w:rsidRPr="00CB38F0">
        <w:tab/>
      </w:r>
      <w:r w:rsidR="001D25A8" w:rsidRPr="00CB38F0">
        <w:tab/>
      </w:r>
    </w:p>
    <w:p w14:paraId="3BC772CB" w14:textId="77777777" w:rsidR="0048624B" w:rsidRPr="00CB38F0" w:rsidRDefault="0048624B" w:rsidP="0048624B">
      <w:pPr>
        <w:rPr>
          <w:rFonts w:ascii="Arial" w:hAnsi="Arial" w:cs="Arial"/>
          <w:sz w:val="28"/>
          <w:szCs w:val="32"/>
          <w:lang w:val="el-GR"/>
        </w:rPr>
      </w:pPr>
      <w:r w:rsidRPr="00CB38F0">
        <w:rPr>
          <w:rFonts w:ascii="Arial" w:hAnsi="Arial" w:cs="Arial"/>
          <w:sz w:val="28"/>
          <w:szCs w:val="32"/>
          <w:lang w:val="el-GR"/>
        </w:rPr>
        <w:t>Ανακοίνωση</w:t>
      </w:r>
      <w:r w:rsidRPr="00CB38F0">
        <w:rPr>
          <w:rFonts w:ascii="Arial" w:hAnsi="Arial" w:cs="Arial"/>
          <w:sz w:val="28"/>
          <w:szCs w:val="32"/>
          <w:lang w:val="el-GR"/>
        </w:rPr>
        <w:tab/>
      </w:r>
      <w:r w:rsidRPr="00CB38F0">
        <w:rPr>
          <w:rFonts w:ascii="Arial" w:hAnsi="Arial" w:cs="Arial"/>
          <w:sz w:val="28"/>
          <w:szCs w:val="32"/>
          <w:lang w:val="el-GR"/>
        </w:rPr>
        <w:tab/>
      </w:r>
      <w:r w:rsidRPr="00CB38F0">
        <w:rPr>
          <w:rFonts w:ascii="Arial" w:hAnsi="Arial" w:cs="Arial"/>
          <w:sz w:val="28"/>
          <w:szCs w:val="32"/>
          <w:lang w:val="el-GR"/>
        </w:rPr>
        <w:tab/>
      </w:r>
      <w:r w:rsidRPr="00CB38F0">
        <w:rPr>
          <w:rFonts w:ascii="Arial" w:hAnsi="Arial" w:cs="Arial"/>
          <w:sz w:val="28"/>
          <w:szCs w:val="32"/>
          <w:lang w:val="el-GR"/>
        </w:rPr>
        <w:tab/>
      </w:r>
      <w:r w:rsidRPr="00CB38F0">
        <w:rPr>
          <w:rFonts w:ascii="Arial" w:hAnsi="Arial" w:cs="Arial"/>
          <w:sz w:val="28"/>
          <w:szCs w:val="32"/>
          <w:lang w:val="el-GR"/>
        </w:rPr>
        <w:tab/>
        <w:t xml:space="preserve"> </w:t>
      </w:r>
    </w:p>
    <w:p w14:paraId="5919C4D1" w14:textId="77777777" w:rsidR="0048624B" w:rsidRPr="00CB38F0" w:rsidRDefault="0048624B" w:rsidP="0048624B">
      <w:pPr>
        <w:tabs>
          <w:tab w:val="left" w:pos="0"/>
        </w:tabs>
        <w:suppressAutoHyphens/>
        <w:spacing w:after="0" w:line="240" w:lineRule="auto"/>
        <w:rPr>
          <w:rFonts w:ascii="Arial" w:hAnsi="Arial" w:cs="Arial"/>
          <w:b/>
          <w:bCs/>
          <w:sz w:val="24"/>
          <w:szCs w:val="24"/>
          <w:lang w:val="el-GR"/>
        </w:rPr>
      </w:pPr>
    </w:p>
    <w:p w14:paraId="6AD12462" w14:textId="3D9C26FC" w:rsidR="00641C59" w:rsidRPr="00CB38F0" w:rsidRDefault="00641C59" w:rsidP="009555E1">
      <w:pPr>
        <w:spacing w:after="0" w:line="240" w:lineRule="auto"/>
        <w:rPr>
          <w:rFonts w:ascii="Arial" w:hAnsi="Arial" w:cs="Arial"/>
          <w:b/>
          <w:bCs/>
          <w:sz w:val="24"/>
          <w:szCs w:val="24"/>
          <w:lang w:val="el-GR"/>
        </w:rPr>
      </w:pPr>
      <w:r w:rsidRPr="00CB38F0">
        <w:rPr>
          <w:rFonts w:ascii="Arial" w:hAnsi="Arial" w:cs="Arial"/>
          <w:b/>
          <w:bCs/>
          <w:sz w:val="24"/>
          <w:szCs w:val="24"/>
          <w:lang w:val="el-GR"/>
        </w:rPr>
        <w:t xml:space="preserve">Οικονομικά Αποτελέσματα Συγκροτήματος για το </w:t>
      </w:r>
      <w:r w:rsidR="006B5511" w:rsidRPr="00CB38F0">
        <w:rPr>
          <w:rFonts w:ascii="Arial" w:hAnsi="Arial" w:cs="Arial"/>
          <w:b/>
          <w:bCs/>
          <w:sz w:val="24"/>
          <w:szCs w:val="24"/>
          <w:lang w:val="el-GR"/>
        </w:rPr>
        <w:t>εξάμηνο</w:t>
      </w:r>
      <w:r w:rsidR="0038060E" w:rsidRPr="00CB38F0">
        <w:rPr>
          <w:rFonts w:ascii="Arial" w:hAnsi="Arial" w:cs="Arial"/>
          <w:b/>
          <w:bCs/>
          <w:sz w:val="24"/>
          <w:szCs w:val="24"/>
          <w:lang w:val="el-GR"/>
        </w:rPr>
        <w:t xml:space="preserve"> που</w:t>
      </w:r>
      <w:r w:rsidRPr="00CB38F0">
        <w:rPr>
          <w:rFonts w:ascii="Arial" w:hAnsi="Arial" w:cs="Arial"/>
          <w:b/>
          <w:bCs/>
          <w:sz w:val="24"/>
          <w:szCs w:val="24"/>
          <w:lang w:val="el-GR"/>
        </w:rPr>
        <w:t xml:space="preserve"> έληξε στις </w:t>
      </w:r>
      <w:r w:rsidR="006B5511" w:rsidRPr="00CB38F0">
        <w:rPr>
          <w:rFonts w:ascii="Arial" w:hAnsi="Arial" w:cs="Arial"/>
          <w:b/>
          <w:bCs/>
          <w:sz w:val="24"/>
          <w:szCs w:val="24"/>
          <w:lang w:val="el-GR"/>
        </w:rPr>
        <w:t>30</w:t>
      </w:r>
      <w:r w:rsidRPr="00CB38F0">
        <w:rPr>
          <w:rFonts w:ascii="Arial" w:hAnsi="Arial" w:cs="Arial"/>
          <w:b/>
          <w:bCs/>
          <w:sz w:val="24"/>
          <w:szCs w:val="24"/>
          <w:lang w:val="el-GR"/>
        </w:rPr>
        <w:t xml:space="preserve"> </w:t>
      </w:r>
      <w:r w:rsidR="006B5511" w:rsidRPr="00CB38F0">
        <w:rPr>
          <w:rFonts w:ascii="Arial" w:hAnsi="Arial" w:cs="Arial"/>
          <w:b/>
          <w:bCs/>
          <w:sz w:val="24"/>
          <w:szCs w:val="24"/>
          <w:lang w:val="el-GR"/>
        </w:rPr>
        <w:t>Ιουνίου</w:t>
      </w:r>
      <w:r w:rsidR="00597304" w:rsidRPr="00CB38F0">
        <w:rPr>
          <w:rFonts w:ascii="Arial" w:hAnsi="Arial" w:cs="Arial"/>
          <w:b/>
          <w:bCs/>
          <w:sz w:val="24"/>
          <w:szCs w:val="24"/>
          <w:lang w:val="el-GR"/>
        </w:rPr>
        <w:t xml:space="preserve"> </w:t>
      </w:r>
      <w:r w:rsidR="0038060E" w:rsidRPr="00CB38F0">
        <w:rPr>
          <w:rFonts w:ascii="Arial" w:hAnsi="Arial" w:cs="Arial"/>
          <w:b/>
          <w:bCs/>
          <w:sz w:val="24"/>
          <w:szCs w:val="24"/>
          <w:lang w:val="el-GR"/>
        </w:rPr>
        <w:t>2024</w:t>
      </w:r>
    </w:p>
    <w:p w14:paraId="746DC6CC" w14:textId="77777777" w:rsidR="00641C59" w:rsidRPr="00CB38F0" w:rsidRDefault="00641C59" w:rsidP="00641C59">
      <w:pPr>
        <w:spacing w:after="0" w:line="240" w:lineRule="auto"/>
        <w:rPr>
          <w:rFonts w:ascii="Arial" w:hAnsi="Arial" w:cs="Arial"/>
          <w:b/>
          <w:bCs/>
          <w:sz w:val="24"/>
          <w:szCs w:val="24"/>
          <w:lang w:val="el-GR"/>
        </w:rPr>
      </w:pPr>
      <w:r w:rsidRPr="00CB38F0">
        <w:rPr>
          <w:rFonts w:ascii="Arial" w:hAnsi="Arial" w:cs="Arial"/>
          <w:b/>
          <w:strike/>
          <w:noProof/>
          <w:sz w:val="24"/>
          <w:lang w:val="en-US" w:eastAsia="en-US"/>
        </w:rPr>
        <mc:AlternateContent>
          <mc:Choice Requires="wps">
            <w:drawing>
              <wp:anchor distT="4294967291" distB="4294967291" distL="114300" distR="114300" simplePos="0" relativeHeight="251661312" behindDoc="0" locked="0" layoutInCell="1" allowOverlap="1" wp14:anchorId="0A14CC8C" wp14:editId="5AF7D3ED">
                <wp:simplePos x="0" y="0"/>
                <wp:positionH relativeFrom="margin">
                  <wp:align>center</wp:align>
                </wp:positionH>
                <wp:positionV relativeFrom="paragraph">
                  <wp:posOffset>41067</wp:posOffset>
                </wp:positionV>
                <wp:extent cx="6604000" cy="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0" cy="0"/>
                        </a:xfrm>
                        <a:prstGeom prst="straightConnector1">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69EC10" id="_x0000_t32" coordsize="21600,21600" o:spt="32" o:oned="t" path="m,l21600,21600e" filled="f">
                <v:path arrowok="t" fillok="f" o:connecttype="none"/>
                <o:lock v:ext="edit" shapetype="t"/>
              </v:shapetype>
              <v:shape id="AutoShape 7" o:spid="_x0000_s1026" type="#_x0000_t32" style="position:absolute;margin-left:0;margin-top:3.25pt;width:520pt;height:0;z-index:251661312;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" strokecolor="black [3213]" strokeweight="1.5pt">
                <w10:wrap anchorx="margin"/>
              </v:shape>
            </w:pict>
          </mc:Fallback>
        </mc:AlternateContent>
      </w:r>
    </w:p>
    <w:p w14:paraId="076704FB" w14:textId="77777777" w:rsidR="000F5DB3" w:rsidRPr="00CB38F0" w:rsidRDefault="000F5DB3" w:rsidP="00641C59">
      <w:pPr>
        <w:spacing w:after="0"/>
        <w:jc w:val="both"/>
        <w:rPr>
          <w:rFonts w:ascii="Arial" w:hAnsi="Arial" w:cs="Arial"/>
          <w:sz w:val="18"/>
          <w:lang w:val="el-GR"/>
        </w:rPr>
      </w:pPr>
    </w:p>
    <w:p w14:paraId="32708269" w14:textId="438A448A" w:rsidR="00641C59" w:rsidRPr="007525A8" w:rsidRDefault="00641C59" w:rsidP="00641C59">
      <w:pPr>
        <w:spacing w:after="0"/>
        <w:jc w:val="both"/>
        <w:rPr>
          <w:rFonts w:ascii="Arial" w:hAnsi="Arial" w:cs="Arial"/>
          <w:sz w:val="18"/>
          <w:lang w:val="el-GR"/>
        </w:rPr>
      </w:pPr>
      <w:r w:rsidRPr="00CB38F0">
        <w:rPr>
          <w:rFonts w:ascii="Arial" w:hAnsi="Arial" w:cs="Arial"/>
          <w:sz w:val="18"/>
          <w:lang w:val="el-GR"/>
        </w:rPr>
        <w:t xml:space="preserve">Λευκωσία, </w:t>
      </w:r>
      <w:r w:rsidR="00CB38F0" w:rsidRPr="007525A8">
        <w:rPr>
          <w:rFonts w:ascii="Arial" w:hAnsi="Arial" w:cs="Arial"/>
          <w:sz w:val="18"/>
          <w:lang w:val="el-GR"/>
        </w:rPr>
        <w:t>8</w:t>
      </w:r>
      <w:r w:rsidR="006B5511" w:rsidRPr="00CB38F0">
        <w:rPr>
          <w:rFonts w:ascii="Arial" w:hAnsi="Arial" w:cs="Arial"/>
          <w:sz w:val="18"/>
          <w:lang w:val="el-GR"/>
        </w:rPr>
        <w:t xml:space="preserve"> Αυγούστου </w:t>
      </w:r>
      <w:r w:rsidR="00262767" w:rsidRPr="00CB38F0">
        <w:rPr>
          <w:rFonts w:ascii="Arial" w:hAnsi="Arial" w:cs="Arial"/>
          <w:sz w:val="18"/>
          <w:lang w:val="el-GR"/>
        </w:rPr>
        <w:t>2024</w:t>
      </w:r>
    </w:p>
    <w:p w14:paraId="399A1999" w14:textId="77777777" w:rsidR="003424B9" w:rsidRPr="007525A8" w:rsidRDefault="003424B9" w:rsidP="00641C59">
      <w:pPr>
        <w:rPr>
          <w:rFonts w:ascii="Arial" w:hAnsi="Arial" w:cs="Arial"/>
          <w:b/>
          <w:bCs/>
          <w:color w:val="FF9900"/>
          <w:sz w:val="24"/>
          <w:szCs w:val="24"/>
          <w:lang w:val="el-GR"/>
        </w:rPr>
      </w:pPr>
    </w:p>
    <w:p w14:paraId="0B79BE97" w14:textId="77777777" w:rsidR="00AA7BB3" w:rsidRPr="007525A8" w:rsidRDefault="00AA7BB3" w:rsidP="00AA7BB3">
      <w:pPr>
        <w:spacing w:after="0"/>
        <w:jc w:val="both"/>
        <w:rPr>
          <w:rFonts w:ascii="Arial" w:eastAsia="Times New Roman" w:hAnsi="Arial" w:cs="Arial"/>
          <w:sz w:val="20"/>
          <w:szCs w:val="24"/>
          <w:highlight w:val="yellow"/>
          <w:lang w:val="el-GR"/>
        </w:rPr>
      </w:pPr>
    </w:p>
    <w:p w14:paraId="58916D70" w14:textId="77777777" w:rsidR="00AA7BB3" w:rsidRPr="007525A8" w:rsidRDefault="00AA7BB3" w:rsidP="00AA7BB3">
      <w:pPr>
        <w:pBdr>
          <w:top w:val="single" w:sz="4" w:space="0"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both"/>
        <w:rPr>
          <w:rFonts w:ascii="Arial" w:hAnsi="Arial" w:cs="Arial"/>
          <w:sz w:val="18"/>
          <w:szCs w:val="18"/>
          <w:lang w:val="el-GR"/>
        </w:rPr>
      </w:pPr>
    </w:p>
    <w:p w14:paraId="1633B4BC" w14:textId="61BC1935" w:rsidR="00AA7BB3" w:rsidRDefault="00AA7BB3" w:rsidP="00AA7BB3">
      <w:pPr>
        <w:pBdr>
          <w:top w:val="single" w:sz="4" w:space="0"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both"/>
        <w:rPr>
          <w:rFonts w:ascii="Arial" w:hAnsi="Arial" w:cs="Arial"/>
          <w:b/>
          <w:sz w:val="16"/>
          <w:szCs w:val="18"/>
          <w:lang w:val="el-GR"/>
        </w:rPr>
      </w:pPr>
      <w:r w:rsidRPr="00AA7BB3">
        <w:rPr>
          <w:rFonts w:ascii="Arial" w:hAnsi="Arial" w:cs="Arial"/>
          <w:b/>
          <w:sz w:val="16"/>
          <w:szCs w:val="18"/>
          <w:lang w:val="el-GR"/>
        </w:rPr>
        <w:t>Η παρούσα ανακοίνωση περιέχει εμπιστευτικές πληροφορίες για τους σκοπούς του άρθρου 7 του Κανονισμού</w:t>
      </w:r>
      <w:r w:rsidR="00CF300B" w:rsidRPr="00CF300B">
        <w:rPr>
          <w:rFonts w:ascii="Arial" w:hAnsi="Arial" w:cs="Arial"/>
          <w:b/>
          <w:sz w:val="16"/>
          <w:szCs w:val="18"/>
          <w:lang w:val="el-GR"/>
        </w:rPr>
        <w:t xml:space="preserve"> </w:t>
      </w:r>
      <w:r w:rsidRPr="000E2AB4">
        <w:rPr>
          <w:rFonts w:ascii="Arial" w:hAnsi="Arial" w:cs="Arial"/>
          <w:b/>
          <w:sz w:val="16"/>
          <w:szCs w:val="18"/>
          <w:lang w:val="el-GR"/>
        </w:rPr>
        <w:t>για την κατάχρηση της αγοράς (ΕΕ) 596/2014</w:t>
      </w:r>
      <w:r w:rsidR="000E2AB4" w:rsidRPr="000E2AB4">
        <w:rPr>
          <w:rFonts w:ascii="Arial" w:hAnsi="Arial" w:cs="Arial"/>
          <w:b/>
          <w:sz w:val="16"/>
          <w:szCs w:val="18"/>
          <w:lang w:val="el-GR"/>
        </w:rPr>
        <w:t xml:space="preserve"> (μεταξύ άλλων, καθώς αποτελεί μέρος </w:t>
      </w:r>
      <w:r w:rsidR="000E2AB4">
        <w:rPr>
          <w:rFonts w:ascii="Arial" w:hAnsi="Arial" w:cs="Arial"/>
          <w:b/>
          <w:sz w:val="16"/>
          <w:szCs w:val="18"/>
          <w:lang w:val="el-GR"/>
        </w:rPr>
        <w:t xml:space="preserve">της εγχώριας </w:t>
      </w:r>
      <w:r w:rsidR="000E2AB4" w:rsidRPr="000E2AB4">
        <w:rPr>
          <w:rFonts w:ascii="Arial" w:hAnsi="Arial" w:cs="Arial"/>
          <w:b/>
          <w:sz w:val="16"/>
          <w:szCs w:val="18"/>
          <w:lang w:val="el-GR"/>
        </w:rPr>
        <w:t>νομοθεσία</w:t>
      </w:r>
      <w:r w:rsidR="000E2AB4">
        <w:rPr>
          <w:rFonts w:ascii="Arial" w:hAnsi="Arial" w:cs="Arial"/>
          <w:b/>
          <w:sz w:val="16"/>
          <w:szCs w:val="18"/>
          <w:lang w:val="el-GR"/>
        </w:rPr>
        <w:t xml:space="preserve">ς </w:t>
      </w:r>
      <w:r w:rsidR="000E2AB4" w:rsidRPr="000E2AB4">
        <w:rPr>
          <w:rFonts w:ascii="Arial" w:hAnsi="Arial" w:cs="Arial"/>
          <w:b/>
          <w:sz w:val="16"/>
          <w:szCs w:val="18"/>
          <w:lang w:val="el-GR"/>
        </w:rPr>
        <w:t>του Η</w:t>
      </w:r>
      <w:r w:rsidR="000E2AB4">
        <w:rPr>
          <w:rFonts w:ascii="Arial" w:hAnsi="Arial" w:cs="Arial"/>
          <w:b/>
          <w:sz w:val="16"/>
          <w:szCs w:val="18"/>
          <w:lang w:val="el-GR"/>
        </w:rPr>
        <w:t xml:space="preserve">νωμένου </w:t>
      </w:r>
      <w:r w:rsidR="000E2AB4" w:rsidRPr="000E2AB4">
        <w:rPr>
          <w:rFonts w:ascii="Arial" w:hAnsi="Arial" w:cs="Arial"/>
          <w:b/>
          <w:sz w:val="16"/>
          <w:szCs w:val="18"/>
          <w:lang w:val="el-GR"/>
        </w:rPr>
        <w:t>Β</w:t>
      </w:r>
      <w:r w:rsidR="000E2AB4">
        <w:rPr>
          <w:rFonts w:ascii="Arial" w:hAnsi="Arial" w:cs="Arial"/>
          <w:b/>
          <w:sz w:val="16"/>
          <w:szCs w:val="18"/>
          <w:lang w:val="el-GR"/>
        </w:rPr>
        <w:t xml:space="preserve">ασιλείου (ΗΒ) </w:t>
      </w:r>
      <w:r w:rsidR="000E2AB4" w:rsidRPr="000E2AB4">
        <w:rPr>
          <w:rFonts w:ascii="Arial" w:hAnsi="Arial" w:cs="Arial"/>
          <w:b/>
          <w:sz w:val="16"/>
          <w:szCs w:val="18"/>
          <w:lang w:val="el-GR"/>
        </w:rPr>
        <w:t>σύμφωνα με τη νομοθεσία για την αποχώρηση του ΗΒ από την ΕΕ του 2018</w:t>
      </w:r>
      <w:r w:rsidR="000E2AB4">
        <w:rPr>
          <w:rFonts w:ascii="Arial" w:hAnsi="Arial" w:cs="Arial"/>
          <w:b/>
          <w:sz w:val="16"/>
          <w:szCs w:val="18"/>
          <w:lang w:val="el-GR"/>
        </w:rPr>
        <w:t>).</w:t>
      </w:r>
    </w:p>
    <w:p w14:paraId="3AD6216F" w14:textId="77777777" w:rsidR="000E2AB4" w:rsidRPr="000E2AB4" w:rsidRDefault="000E2AB4" w:rsidP="00AA7BB3">
      <w:pPr>
        <w:pBdr>
          <w:top w:val="single" w:sz="4" w:space="0"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both"/>
        <w:rPr>
          <w:rFonts w:ascii="Arial" w:hAnsi="Arial" w:cs="Arial"/>
          <w:b/>
          <w:sz w:val="16"/>
          <w:szCs w:val="18"/>
          <w:lang w:val="el-GR"/>
        </w:rPr>
      </w:pPr>
    </w:p>
    <w:p w14:paraId="58A94AF7" w14:textId="77777777" w:rsidR="00AA7BB3" w:rsidRPr="007525A8" w:rsidRDefault="00AA7BB3" w:rsidP="00AA7BB3">
      <w:pPr>
        <w:rPr>
          <w:lang w:val="el-GR"/>
        </w:rPr>
      </w:pPr>
    </w:p>
    <w:p w14:paraId="12316198" w14:textId="77777777" w:rsidR="00AA7BB3" w:rsidRPr="007525A8" w:rsidRDefault="00AA7BB3" w:rsidP="00641C59">
      <w:pPr>
        <w:rPr>
          <w:rFonts w:ascii="Arial" w:hAnsi="Arial" w:cs="Arial"/>
          <w:b/>
          <w:bCs/>
          <w:color w:val="FF9900"/>
          <w:sz w:val="24"/>
          <w:szCs w:val="24"/>
          <w:lang w:val="el-GR"/>
        </w:rPr>
      </w:pPr>
    </w:p>
    <w:p w14:paraId="0AA80615" w14:textId="77777777" w:rsidR="00641C59" w:rsidRPr="007525A8" w:rsidRDefault="00641C59" w:rsidP="00641C59">
      <w:pPr>
        <w:rPr>
          <w:rFonts w:ascii="Arial" w:hAnsi="Arial" w:cs="Arial"/>
          <w:b/>
          <w:bCs/>
          <w:color w:val="FF9900"/>
          <w:szCs w:val="24"/>
          <w:highlight w:val="yellow"/>
          <w:lang w:val="el-GR"/>
        </w:rPr>
      </w:pPr>
    </w:p>
    <w:p w14:paraId="6AFE109E" w14:textId="77777777" w:rsidR="00641C59" w:rsidRPr="007525A8" w:rsidRDefault="00641C59" w:rsidP="00641C59">
      <w:pPr>
        <w:rPr>
          <w:rFonts w:ascii="Arial" w:hAnsi="Arial" w:cs="Arial"/>
          <w:b/>
          <w:bCs/>
          <w:color w:val="FF9900"/>
          <w:szCs w:val="24"/>
          <w:highlight w:val="yellow"/>
          <w:lang w:val="el-GR"/>
        </w:rPr>
      </w:pPr>
    </w:p>
    <w:p w14:paraId="2FD0780F" w14:textId="77777777" w:rsidR="00641C59" w:rsidRPr="007525A8" w:rsidRDefault="00641C59" w:rsidP="00641C59">
      <w:pPr>
        <w:rPr>
          <w:rFonts w:ascii="Arial" w:hAnsi="Arial" w:cs="Arial"/>
          <w:b/>
          <w:bCs/>
          <w:color w:val="FF9900"/>
          <w:szCs w:val="24"/>
          <w:highlight w:val="yellow"/>
          <w:lang w:val="el-GR"/>
        </w:rPr>
      </w:pPr>
    </w:p>
    <w:p w14:paraId="0BF6AA7D" w14:textId="77777777" w:rsidR="00011458" w:rsidRPr="007525A8" w:rsidRDefault="00011458" w:rsidP="00641C59">
      <w:pPr>
        <w:rPr>
          <w:rFonts w:ascii="Arial" w:hAnsi="Arial" w:cs="Arial"/>
          <w:b/>
          <w:bCs/>
          <w:color w:val="FF9900"/>
          <w:szCs w:val="24"/>
          <w:highlight w:val="yellow"/>
          <w:lang w:val="el-GR"/>
        </w:rPr>
      </w:pPr>
    </w:p>
    <w:p w14:paraId="3AAE2F54" w14:textId="77777777" w:rsidR="00011458" w:rsidRPr="007525A8" w:rsidRDefault="00011458" w:rsidP="00641C59">
      <w:pPr>
        <w:rPr>
          <w:rFonts w:ascii="Arial" w:hAnsi="Arial" w:cs="Arial"/>
          <w:b/>
          <w:bCs/>
          <w:color w:val="FF9900"/>
          <w:szCs w:val="24"/>
          <w:highlight w:val="yellow"/>
          <w:lang w:val="el-GR"/>
        </w:rPr>
      </w:pPr>
    </w:p>
    <w:p w14:paraId="2C000161" w14:textId="77777777" w:rsidR="00011458" w:rsidRPr="007525A8" w:rsidRDefault="00011458" w:rsidP="00641C59">
      <w:pPr>
        <w:rPr>
          <w:rFonts w:ascii="Arial" w:hAnsi="Arial" w:cs="Arial"/>
          <w:b/>
          <w:bCs/>
          <w:color w:val="FF9900"/>
          <w:szCs w:val="24"/>
          <w:highlight w:val="yellow"/>
          <w:lang w:val="el-GR"/>
        </w:rPr>
      </w:pPr>
    </w:p>
    <w:p w14:paraId="235B3E3C" w14:textId="77777777" w:rsidR="00011458" w:rsidRPr="007525A8" w:rsidRDefault="00011458" w:rsidP="00641C59">
      <w:pPr>
        <w:rPr>
          <w:rFonts w:ascii="Arial" w:hAnsi="Arial" w:cs="Arial"/>
          <w:b/>
          <w:bCs/>
          <w:color w:val="FF9900"/>
          <w:szCs w:val="24"/>
          <w:highlight w:val="yellow"/>
          <w:lang w:val="el-GR"/>
        </w:rPr>
      </w:pPr>
    </w:p>
    <w:p w14:paraId="33E9AEA0" w14:textId="77777777" w:rsidR="00011458" w:rsidRPr="007525A8" w:rsidRDefault="00011458" w:rsidP="00641C59">
      <w:pPr>
        <w:rPr>
          <w:rFonts w:ascii="Arial" w:hAnsi="Arial" w:cs="Arial"/>
          <w:b/>
          <w:bCs/>
          <w:color w:val="FF9900"/>
          <w:szCs w:val="24"/>
          <w:highlight w:val="yellow"/>
          <w:lang w:val="el-GR"/>
        </w:rPr>
      </w:pPr>
    </w:p>
    <w:p w14:paraId="77012260" w14:textId="77777777" w:rsidR="00011458" w:rsidRPr="007525A8" w:rsidRDefault="00011458" w:rsidP="00641C59">
      <w:pPr>
        <w:rPr>
          <w:rFonts w:ascii="Arial" w:hAnsi="Arial" w:cs="Arial"/>
          <w:b/>
          <w:bCs/>
          <w:color w:val="FF9900"/>
          <w:szCs w:val="24"/>
          <w:highlight w:val="yellow"/>
          <w:lang w:val="el-GR"/>
        </w:rPr>
      </w:pPr>
    </w:p>
    <w:p w14:paraId="76EEE2AA" w14:textId="77777777" w:rsidR="00011458" w:rsidRPr="007525A8" w:rsidRDefault="00011458" w:rsidP="00641C59">
      <w:pPr>
        <w:rPr>
          <w:rFonts w:ascii="Arial" w:hAnsi="Arial" w:cs="Arial"/>
          <w:b/>
          <w:bCs/>
          <w:color w:val="FF9900"/>
          <w:szCs w:val="24"/>
          <w:highlight w:val="yellow"/>
          <w:lang w:val="el-GR"/>
        </w:rPr>
      </w:pPr>
    </w:p>
    <w:p w14:paraId="35F4C66F" w14:textId="77777777" w:rsidR="00011458" w:rsidRPr="007525A8" w:rsidRDefault="00011458" w:rsidP="00641C59">
      <w:pPr>
        <w:rPr>
          <w:rFonts w:ascii="Arial" w:hAnsi="Arial" w:cs="Arial"/>
          <w:b/>
          <w:bCs/>
          <w:color w:val="FF9900"/>
          <w:szCs w:val="24"/>
          <w:highlight w:val="yellow"/>
          <w:lang w:val="el-GR"/>
        </w:rPr>
      </w:pPr>
    </w:p>
    <w:p w14:paraId="774E1D8F" w14:textId="77777777" w:rsidR="00011458" w:rsidRPr="007525A8" w:rsidRDefault="00011458" w:rsidP="00641C59">
      <w:pPr>
        <w:rPr>
          <w:rFonts w:ascii="Arial" w:hAnsi="Arial" w:cs="Arial"/>
          <w:b/>
          <w:bCs/>
          <w:color w:val="FF9900"/>
          <w:szCs w:val="24"/>
          <w:highlight w:val="yellow"/>
          <w:lang w:val="el-GR"/>
        </w:rPr>
      </w:pPr>
    </w:p>
    <w:p w14:paraId="54DFEF91" w14:textId="77777777" w:rsidR="00011458" w:rsidRPr="000E2AB4" w:rsidRDefault="00011458" w:rsidP="00641C59">
      <w:pPr>
        <w:rPr>
          <w:rFonts w:ascii="Arial" w:hAnsi="Arial" w:cs="Arial"/>
          <w:b/>
          <w:bCs/>
          <w:color w:val="FF9900"/>
          <w:szCs w:val="24"/>
          <w:highlight w:val="yellow"/>
          <w:lang w:val="el-GR"/>
        </w:rPr>
      </w:pPr>
    </w:p>
    <w:p w14:paraId="53C6B766" w14:textId="77777777" w:rsidR="00011458" w:rsidRPr="007525A8" w:rsidRDefault="00011458" w:rsidP="00641C59">
      <w:pPr>
        <w:rPr>
          <w:rFonts w:ascii="Arial" w:hAnsi="Arial" w:cs="Arial"/>
          <w:b/>
          <w:bCs/>
          <w:color w:val="FF9900"/>
          <w:szCs w:val="24"/>
          <w:highlight w:val="yellow"/>
          <w:lang w:val="el-GR"/>
        </w:rPr>
      </w:pPr>
    </w:p>
    <w:p w14:paraId="6AFB6AD8" w14:textId="77777777" w:rsidR="00011458" w:rsidRPr="007525A8" w:rsidRDefault="00011458" w:rsidP="00641C59">
      <w:pPr>
        <w:rPr>
          <w:rFonts w:ascii="Arial" w:hAnsi="Arial" w:cs="Arial"/>
          <w:b/>
          <w:bCs/>
          <w:color w:val="FF9900"/>
          <w:szCs w:val="24"/>
          <w:highlight w:val="yellow"/>
          <w:lang w:val="el-GR"/>
        </w:rPr>
      </w:pPr>
    </w:p>
    <w:p w14:paraId="69E09B64" w14:textId="77777777" w:rsidR="00011458" w:rsidRPr="007525A8" w:rsidRDefault="00011458" w:rsidP="00641C59">
      <w:pPr>
        <w:rPr>
          <w:rFonts w:ascii="Arial" w:hAnsi="Arial" w:cs="Arial"/>
          <w:b/>
          <w:bCs/>
          <w:color w:val="FF9900"/>
          <w:szCs w:val="24"/>
          <w:lang w:val="el-GR"/>
        </w:rPr>
      </w:pPr>
    </w:p>
    <w:p w14:paraId="6B9A9843" w14:textId="33877D59" w:rsidR="009A0635" w:rsidRPr="006B5511" w:rsidRDefault="00CB38F0">
      <w:pPr>
        <w:rPr>
          <w:rFonts w:ascii="Arial" w:hAnsi="Arial" w:cs="Arial"/>
          <w:b/>
          <w:bCs/>
          <w:color w:val="FF9900"/>
          <w:szCs w:val="24"/>
          <w:highlight w:val="yellow"/>
          <w:lang w:val="en-US"/>
        </w:rPr>
      </w:pPr>
      <w:bookmarkStart w:id="0" w:name="_Hlk112347354"/>
      <w:r w:rsidRPr="00CB38F0">
        <w:rPr>
          <w:noProof/>
        </w:rPr>
        <w:drawing>
          <wp:inline distT="0" distB="0" distL="0" distR="0" wp14:anchorId="41DE64CA" wp14:editId="0BCD734D">
            <wp:extent cx="711143" cy="396240"/>
            <wp:effectExtent l="0" t="0" r="0" b="3810"/>
            <wp:docPr id="1085467875" name="Picture 1" descr="A gold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467875" name="Picture 1" descr="A gold and black text&#10;&#10;Description automatically generated"/>
                    <pic:cNvPicPr/>
                  </pic:nvPicPr>
                  <pic:blipFill>
                    <a:blip r:embed="rId10"/>
                    <a:stretch>
                      <a:fillRect/>
                    </a:stretch>
                  </pic:blipFill>
                  <pic:spPr>
                    <a:xfrm>
                      <a:off x="0" y="0"/>
                      <a:ext cx="726275" cy="404672"/>
                    </a:xfrm>
                    <a:prstGeom prst="rect">
                      <a:avLst/>
                    </a:prstGeom>
                  </pic:spPr>
                </pic:pic>
              </a:graphicData>
            </a:graphic>
          </wp:inline>
        </w:drawing>
      </w:r>
      <w:r w:rsidR="00011458" w:rsidRPr="006A1797">
        <w:rPr>
          <w:noProof/>
        </w:rPr>
        <w:drawing>
          <wp:inline distT="0" distB="0" distL="0" distR="0" wp14:anchorId="21B388D3" wp14:editId="7F94BD1F">
            <wp:extent cx="561975" cy="487045"/>
            <wp:effectExtent l="0" t="0" r="9525" b="8255"/>
            <wp:docPr id="1679133540" name="Picture 1" descr="A blue and gold card with a planet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133540" name="Picture 1" descr="A blue and gold card with a planet and text&#10;&#10;Description automatically generated"/>
                    <pic:cNvPicPr/>
                  </pic:nvPicPr>
                  <pic:blipFill>
                    <a:blip r:embed="rId11"/>
                    <a:stretch>
                      <a:fillRect/>
                    </a:stretch>
                  </pic:blipFill>
                  <pic:spPr>
                    <a:xfrm rot="10800000" flipH="1" flipV="1">
                      <a:off x="0" y="0"/>
                      <a:ext cx="571342" cy="495163"/>
                    </a:xfrm>
                    <a:prstGeom prst="rect">
                      <a:avLst/>
                    </a:prstGeom>
                  </pic:spPr>
                </pic:pic>
              </a:graphicData>
            </a:graphic>
          </wp:inline>
        </w:drawing>
      </w:r>
      <w:r w:rsidR="009A0635" w:rsidRPr="006B5511">
        <w:rPr>
          <w:rFonts w:ascii="Arial" w:hAnsi="Arial" w:cs="Arial"/>
          <w:b/>
          <w:bCs/>
          <w:color w:val="FF9900"/>
          <w:szCs w:val="24"/>
          <w:highlight w:val="yellow"/>
          <w:lang w:val="el-GR"/>
        </w:rPr>
        <w:br w:type="page"/>
      </w:r>
    </w:p>
    <w:tbl>
      <w:tblPr>
        <w:tblStyle w:val="TableGrid"/>
        <w:tblW w:w="10258" w:type="dxa"/>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258"/>
      </w:tblGrid>
      <w:tr w:rsidR="009A0635" w:rsidRPr="00F931DF" w14:paraId="1925C7AC" w14:textId="77777777" w:rsidTr="005C4C9A">
        <w:trPr>
          <w:trHeight w:val="11331"/>
        </w:trPr>
        <w:tc>
          <w:tcPr>
            <w:tcW w:w="10258" w:type="dxa"/>
          </w:tcPr>
          <w:tbl>
            <w:tblPr>
              <w:tblStyle w:val="TableGrid"/>
              <w:tblW w:w="10025" w:type="dxa"/>
              <w:tblInd w:w="1" w:type="dxa"/>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26"/>
            </w:tblGrid>
            <w:tr w:rsidR="009A0635" w:rsidRPr="00F931DF" w14:paraId="2546EA3D" w14:textId="77777777" w:rsidTr="00A21CB9">
              <w:trPr>
                <w:trHeight w:val="557"/>
              </w:trPr>
              <w:tc>
                <w:tcPr>
                  <w:tcW w:w="10025" w:type="dxa"/>
                </w:tcPr>
                <w:p w14:paraId="1B580BF1" w14:textId="77777777" w:rsidR="009A0635" w:rsidRPr="006B5511" w:rsidRDefault="009A0635" w:rsidP="00A21CB9">
                  <w:pPr>
                    <w:spacing w:after="60"/>
                    <w:rPr>
                      <w:rFonts w:ascii="Arial" w:hAnsi="Arial" w:cs="Arial"/>
                      <w:sz w:val="19"/>
                      <w:szCs w:val="19"/>
                      <w:highlight w:val="yellow"/>
                    </w:rPr>
                  </w:pPr>
                </w:p>
                <w:tbl>
                  <w:tblPr>
                    <w:tblStyle w:val="TableGrid"/>
                    <w:tblW w:w="9809" w:type="dxa"/>
                    <w:tblInd w:w="1" w:type="dxa"/>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809"/>
                  </w:tblGrid>
                  <w:tr w:rsidR="009A0635" w:rsidRPr="00F931DF" w14:paraId="63BD6E03" w14:textId="77777777" w:rsidTr="00A21CB9">
                    <w:trPr>
                      <w:trHeight w:val="557"/>
                    </w:trPr>
                    <w:tc>
                      <w:tcPr>
                        <w:tcW w:w="9809" w:type="dxa"/>
                      </w:tcPr>
                      <w:p w14:paraId="1BCEE41C" w14:textId="13C86591" w:rsidR="009A0635" w:rsidRPr="006A1797" w:rsidRDefault="009A0635" w:rsidP="00A21CB9">
                        <w:pPr>
                          <w:spacing w:before="120" w:after="60" w:line="360" w:lineRule="auto"/>
                          <w:ind w:left="-42" w:right="-81"/>
                          <w:jc w:val="both"/>
                          <w:rPr>
                            <w:rFonts w:ascii="Arial" w:hAnsi="Arial" w:cs="Arial"/>
                            <w:b/>
                            <w:bCs/>
                            <w:color w:val="FF9900"/>
                            <w:sz w:val="28"/>
                            <w:szCs w:val="28"/>
                            <w:lang w:val="el-GR"/>
                          </w:rPr>
                        </w:pPr>
                        <w:r w:rsidRPr="006A1797">
                          <w:rPr>
                            <w:rFonts w:ascii="Arial" w:hAnsi="Arial" w:cs="Arial"/>
                            <w:b/>
                            <w:bCs/>
                            <w:color w:val="FF9900"/>
                            <w:sz w:val="28"/>
                            <w:szCs w:val="28"/>
                            <w:lang w:val="el-GR"/>
                          </w:rPr>
                          <w:t xml:space="preserve">Κύρια Σημεία για το </w:t>
                        </w:r>
                        <w:r w:rsidR="00CB38F0" w:rsidRPr="006A1797">
                          <w:rPr>
                            <w:rFonts w:ascii="Arial" w:hAnsi="Arial" w:cs="Arial"/>
                            <w:b/>
                            <w:bCs/>
                            <w:color w:val="FF9900"/>
                            <w:sz w:val="28"/>
                            <w:szCs w:val="28"/>
                            <w:lang w:val="el-GR"/>
                          </w:rPr>
                          <w:t xml:space="preserve">εξάμηνο </w:t>
                        </w:r>
                        <w:r w:rsidRPr="006A1797">
                          <w:rPr>
                            <w:rFonts w:ascii="Arial" w:hAnsi="Arial" w:cs="Arial"/>
                            <w:b/>
                            <w:bCs/>
                            <w:color w:val="FF9900"/>
                            <w:sz w:val="28"/>
                            <w:szCs w:val="28"/>
                            <w:lang w:val="el-GR"/>
                          </w:rPr>
                          <w:t xml:space="preserve">που έληξε στις </w:t>
                        </w:r>
                        <w:r w:rsidR="00CB38F0" w:rsidRPr="006A1797">
                          <w:rPr>
                            <w:rFonts w:ascii="Arial" w:hAnsi="Arial" w:cs="Arial"/>
                            <w:b/>
                            <w:bCs/>
                            <w:color w:val="FF9900"/>
                            <w:sz w:val="28"/>
                            <w:szCs w:val="28"/>
                            <w:lang w:val="el-GR"/>
                          </w:rPr>
                          <w:t xml:space="preserve">30 Ιουνίου </w:t>
                        </w:r>
                        <w:r w:rsidR="0038060E" w:rsidRPr="006A1797">
                          <w:rPr>
                            <w:rFonts w:ascii="Arial" w:hAnsi="Arial" w:cs="Arial"/>
                            <w:b/>
                            <w:bCs/>
                            <w:color w:val="FF9900"/>
                            <w:sz w:val="28"/>
                            <w:szCs w:val="28"/>
                            <w:lang w:val="el-GR"/>
                          </w:rPr>
                          <w:t>2024</w:t>
                        </w:r>
                      </w:p>
                      <w:p w14:paraId="6B11CB8E" w14:textId="09ED370F" w:rsidR="009A0635" w:rsidRPr="006A1797" w:rsidRDefault="009A0635" w:rsidP="00A21CB9">
                        <w:pPr>
                          <w:spacing w:after="60"/>
                          <w:ind w:right="-81" w:hanging="42"/>
                          <w:rPr>
                            <w:rFonts w:ascii="Arial" w:hAnsi="Arial" w:cs="Arial"/>
                            <w:lang w:val="el-GR"/>
                          </w:rPr>
                        </w:pPr>
                        <w:r w:rsidRPr="006A1797">
                          <w:rPr>
                            <w:rFonts w:ascii="Arial" w:hAnsi="Arial" w:cs="Arial"/>
                            <w:b/>
                            <w:lang w:val="el-GR"/>
                          </w:rPr>
                          <w:t xml:space="preserve"> </w:t>
                        </w:r>
                        <w:r w:rsidR="00CB38F0" w:rsidRPr="006A1797">
                          <w:rPr>
                            <w:rFonts w:ascii="Arial" w:hAnsi="Arial" w:cs="Arial"/>
                            <w:b/>
                            <w:lang w:val="el-GR"/>
                          </w:rPr>
                          <w:t>Η ισχυρή οικονομική ανάπτυξη συνεχίζεται</w:t>
                        </w:r>
                      </w:p>
                      <w:p w14:paraId="24BAE812" w14:textId="6F693453" w:rsidR="009A0635" w:rsidRPr="006A1797" w:rsidRDefault="009A0635" w:rsidP="00A21CB9">
                        <w:pPr>
                          <w:pStyle w:val="ListParagraph"/>
                          <w:numPr>
                            <w:ilvl w:val="0"/>
                            <w:numId w:val="4"/>
                          </w:numPr>
                          <w:spacing w:after="60"/>
                          <w:ind w:left="241" w:right="-79" w:hanging="241"/>
                          <w:jc w:val="both"/>
                          <w:rPr>
                            <w:rFonts w:ascii="Arial" w:hAnsi="Arial" w:cs="Arial"/>
                            <w:sz w:val="20"/>
                            <w:szCs w:val="20"/>
                            <w:lang w:val="el-GR"/>
                          </w:rPr>
                        </w:pPr>
                        <w:r w:rsidRPr="006A1797">
                          <w:rPr>
                            <w:rFonts w:ascii="Arial" w:hAnsi="Arial" w:cs="Arial"/>
                            <w:sz w:val="20"/>
                            <w:szCs w:val="20"/>
                            <w:lang w:val="el-GR"/>
                          </w:rPr>
                          <w:t>Ο ρυθμός</w:t>
                        </w:r>
                        <w:r w:rsidR="00E2017C" w:rsidRPr="006A1797">
                          <w:rPr>
                            <w:rFonts w:ascii="Arial" w:hAnsi="Arial" w:cs="Arial"/>
                            <w:sz w:val="20"/>
                            <w:szCs w:val="20"/>
                            <w:lang w:val="el-GR"/>
                          </w:rPr>
                          <w:t xml:space="preserve"> </w:t>
                        </w:r>
                        <w:r w:rsidRPr="006A1797">
                          <w:rPr>
                            <w:rFonts w:ascii="Arial" w:hAnsi="Arial" w:cs="Arial"/>
                            <w:sz w:val="20"/>
                            <w:szCs w:val="20"/>
                            <w:lang w:val="el-GR"/>
                          </w:rPr>
                          <w:t xml:space="preserve">ανάπτυξης </w:t>
                        </w:r>
                        <w:r w:rsidR="00D24FC3" w:rsidRPr="006A1797">
                          <w:rPr>
                            <w:rFonts w:ascii="Arial" w:hAnsi="Arial" w:cs="Arial"/>
                            <w:sz w:val="20"/>
                            <w:szCs w:val="20"/>
                            <w:lang w:val="el-GR"/>
                          </w:rPr>
                          <w:t>αναμένεται να ανέλθει σε περίπου</w:t>
                        </w:r>
                        <w:r w:rsidR="0009097C" w:rsidRPr="006A1797">
                          <w:rPr>
                            <w:rFonts w:ascii="Arial" w:hAnsi="Arial" w:cs="Arial"/>
                            <w:sz w:val="20"/>
                            <w:szCs w:val="20"/>
                            <w:lang w:val="el-GR"/>
                          </w:rPr>
                          <w:t xml:space="preserve"> 2.9%</w:t>
                        </w:r>
                        <w:r w:rsidR="00E8423B" w:rsidRPr="006A1797">
                          <w:rPr>
                            <w:rFonts w:ascii="Arial" w:hAnsi="Arial" w:cs="Arial"/>
                            <w:sz w:val="20"/>
                            <w:szCs w:val="20"/>
                            <w:vertAlign w:val="superscript"/>
                            <w:lang w:val="el-GR"/>
                          </w:rPr>
                          <w:t>1</w:t>
                        </w:r>
                        <w:r w:rsidR="0009097C" w:rsidRPr="006A1797">
                          <w:rPr>
                            <w:rFonts w:ascii="Arial" w:hAnsi="Arial" w:cs="Arial"/>
                            <w:sz w:val="20"/>
                            <w:szCs w:val="20"/>
                            <w:lang w:val="el-GR"/>
                          </w:rPr>
                          <w:t xml:space="preserve"> το 2024, </w:t>
                        </w:r>
                        <w:r w:rsidRPr="006A1797">
                          <w:rPr>
                            <w:rFonts w:ascii="Arial" w:hAnsi="Arial" w:cs="Arial"/>
                            <w:sz w:val="20"/>
                            <w:szCs w:val="20"/>
                            <w:lang w:val="el-GR"/>
                          </w:rPr>
                          <w:t>ξεπερνώντας τον μέσο όρο της ευρωζώνης</w:t>
                        </w:r>
                      </w:p>
                      <w:p w14:paraId="3165BA28" w14:textId="2FFA7F31" w:rsidR="009A0635" w:rsidRPr="006A1797" w:rsidRDefault="0076689F" w:rsidP="00A21CB9">
                        <w:pPr>
                          <w:pStyle w:val="ListParagraph"/>
                          <w:numPr>
                            <w:ilvl w:val="0"/>
                            <w:numId w:val="4"/>
                          </w:numPr>
                          <w:spacing w:after="60"/>
                          <w:ind w:left="241" w:right="-79" w:hanging="241"/>
                          <w:jc w:val="both"/>
                          <w:rPr>
                            <w:rFonts w:ascii="Arial" w:hAnsi="Arial" w:cs="Arial"/>
                            <w:sz w:val="20"/>
                            <w:szCs w:val="20"/>
                            <w:lang w:val="el-GR"/>
                          </w:rPr>
                        </w:pPr>
                        <w:r w:rsidRPr="006A1797">
                          <w:rPr>
                            <w:rFonts w:ascii="Arial" w:hAnsi="Arial" w:cs="Arial"/>
                            <w:sz w:val="20"/>
                            <w:szCs w:val="20"/>
                            <w:lang w:val="el-GR"/>
                          </w:rPr>
                          <w:t>Ισχυρός νέος δανεισμός</w:t>
                        </w:r>
                        <w:r w:rsidR="002B0C4C" w:rsidRPr="006A1797">
                          <w:rPr>
                            <w:rFonts w:ascii="Arial" w:hAnsi="Arial" w:cs="Arial"/>
                            <w:sz w:val="20"/>
                            <w:szCs w:val="20"/>
                            <w:lang w:val="el-GR"/>
                          </w:rPr>
                          <w:t xml:space="preserve"> ύψους €</w:t>
                        </w:r>
                        <w:r w:rsidR="00FE486F" w:rsidRPr="006A1797">
                          <w:rPr>
                            <w:rFonts w:ascii="Arial" w:hAnsi="Arial" w:cs="Arial"/>
                            <w:sz w:val="20"/>
                            <w:szCs w:val="20"/>
                            <w:lang w:val="el-GR"/>
                          </w:rPr>
                          <w:t>1.2 δις,</w:t>
                        </w:r>
                        <w:r w:rsidR="002B0C4C" w:rsidRPr="006A1797">
                          <w:rPr>
                            <w:rFonts w:ascii="Arial" w:hAnsi="Arial" w:cs="Arial"/>
                            <w:sz w:val="20"/>
                            <w:szCs w:val="20"/>
                            <w:lang w:val="el-GR"/>
                          </w:rPr>
                          <w:t xml:space="preserve"> </w:t>
                        </w:r>
                        <w:r w:rsidRPr="006A1797">
                          <w:rPr>
                            <w:rFonts w:ascii="Arial" w:hAnsi="Arial" w:cs="Arial"/>
                            <w:sz w:val="20"/>
                            <w:szCs w:val="20"/>
                            <w:lang w:val="el-GR"/>
                          </w:rPr>
                          <w:t xml:space="preserve">αυξημένος κατά </w:t>
                        </w:r>
                        <w:r w:rsidR="00FE486F" w:rsidRPr="006A1797">
                          <w:rPr>
                            <w:rFonts w:ascii="Arial" w:hAnsi="Arial" w:cs="Arial"/>
                            <w:sz w:val="20"/>
                            <w:szCs w:val="20"/>
                            <w:lang w:val="el-GR"/>
                          </w:rPr>
                          <w:t>10</w:t>
                        </w:r>
                        <w:r w:rsidRPr="006A1797">
                          <w:rPr>
                            <w:rFonts w:ascii="Arial" w:hAnsi="Arial" w:cs="Arial"/>
                            <w:sz w:val="20"/>
                            <w:szCs w:val="20"/>
                            <w:lang w:val="el-GR"/>
                          </w:rPr>
                          <w:t>% σε</w:t>
                        </w:r>
                        <w:r w:rsidR="00FE486F" w:rsidRPr="006A1797">
                          <w:rPr>
                            <w:rFonts w:ascii="Arial" w:hAnsi="Arial" w:cs="Arial"/>
                            <w:sz w:val="20"/>
                            <w:szCs w:val="20"/>
                            <w:lang w:val="el-GR"/>
                          </w:rPr>
                          <w:t xml:space="preserve"> </w:t>
                        </w:r>
                        <w:r w:rsidRPr="006A1797">
                          <w:rPr>
                            <w:rFonts w:ascii="Arial" w:hAnsi="Arial" w:cs="Arial"/>
                            <w:sz w:val="20"/>
                            <w:szCs w:val="20"/>
                            <w:lang w:val="el-GR"/>
                          </w:rPr>
                          <w:t>ετήσια βάση</w:t>
                        </w:r>
                        <w:r w:rsidR="009A0635" w:rsidRPr="006A1797" w:rsidDel="00B7459B">
                          <w:rPr>
                            <w:rFonts w:ascii="Arial" w:hAnsi="Arial" w:cs="Arial"/>
                            <w:sz w:val="20"/>
                            <w:szCs w:val="20"/>
                            <w:lang w:val="el-GR"/>
                          </w:rPr>
                          <w:t xml:space="preserve"> </w:t>
                        </w:r>
                      </w:p>
                      <w:p w14:paraId="26A34C2D" w14:textId="1E719BE5" w:rsidR="009A0635" w:rsidRPr="006A1797" w:rsidRDefault="009A0635" w:rsidP="00A21CB9">
                        <w:pPr>
                          <w:pStyle w:val="ListParagraph"/>
                          <w:numPr>
                            <w:ilvl w:val="0"/>
                            <w:numId w:val="4"/>
                          </w:numPr>
                          <w:spacing w:after="60"/>
                          <w:ind w:left="241" w:right="-79" w:hanging="241"/>
                          <w:jc w:val="both"/>
                          <w:rPr>
                            <w:rFonts w:ascii="Arial" w:hAnsi="Arial" w:cs="Arial"/>
                            <w:sz w:val="20"/>
                            <w:szCs w:val="20"/>
                            <w:lang w:val="el-GR"/>
                          </w:rPr>
                        </w:pPr>
                        <w:r w:rsidRPr="006A1797">
                          <w:rPr>
                            <w:rFonts w:ascii="Arial" w:hAnsi="Arial" w:cs="Arial"/>
                            <w:sz w:val="20"/>
                            <w:szCs w:val="20"/>
                            <w:lang w:val="el-GR"/>
                          </w:rPr>
                          <w:t>Χαρτοφυλάκιο εξυπηρετούμενων δανείων ύψους €</w:t>
                        </w:r>
                        <w:r w:rsidR="005F1F4D" w:rsidRPr="006A1797">
                          <w:rPr>
                            <w:rFonts w:ascii="Arial" w:hAnsi="Arial" w:cs="Arial"/>
                            <w:sz w:val="20"/>
                            <w:szCs w:val="20"/>
                            <w:lang w:val="el-GR"/>
                          </w:rPr>
                          <w:t>10</w:t>
                        </w:r>
                        <w:r w:rsidRPr="006A1797">
                          <w:rPr>
                            <w:rFonts w:ascii="Arial" w:hAnsi="Arial" w:cs="Arial"/>
                            <w:sz w:val="20"/>
                            <w:szCs w:val="20"/>
                            <w:lang w:val="el-GR"/>
                          </w:rPr>
                          <w:t>.</w:t>
                        </w:r>
                        <w:r w:rsidR="002712D6" w:rsidRPr="006A1797">
                          <w:rPr>
                            <w:rFonts w:ascii="Arial" w:hAnsi="Arial" w:cs="Arial"/>
                            <w:sz w:val="20"/>
                            <w:szCs w:val="20"/>
                            <w:lang w:val="el-GR"/>
                          </w:rPr>
                          <w:t xml:space="preserve">1 </w:t>
                        </w:r>
                        <w:r w:rsidRPr="006A1797">
                          <w:rPr>
                            <w:rFonts w:ascii="Arial" w:hAnsi="Arial" w:cs="Arial"/>
                            <w:sz w:val="20"/>
                            <w:szCs w:val="20"/>
                            <w:lang w:val="el-GR"/>
                          </w:rPr>
                          <w:t xml:space="preserve">δις, </w:t>
                        </w:r>
                        <w:r w:rsidR="005F1F4D" w:rsidRPr="006A1797">
                          <w:rPr>
                            <w:rFonts w:ascii="Arial" w:hAnsi="Arial" w:cs="Arial"/>
                            <w:sz w:val="20"/>
                            <w:szCs w:val="20"/>
                            <w:lang w:val="el-GR"/>
                          </w:rPr>
                          <w:t xml:space="preserve">αυξημένο κατά </w:t>
                        </w:r>
                        <w:r w:rsidR="002712D6" w:rsidRPr="006A1797">
                          <w:rPr>
                            <w:rFonts w:ascii="Arial" w:hAnsi="Arial" w:cs="Arial"/>
                            <w:sz w:val="20"/>
                            <w:szCs w:val="20"/>
                            <w:lang w:val="el-GR"/>
                          </w:rPr>
                          <w:t>3</w:t>
                        </w:r>
                        <w:r w:rsidR="005F1F4D" w:rsidRPr="006A1797">
                          <w:rPr>
                            <w:rFonts w:ascii="Arial" w:hAnsi="Arial" w:cs="Arial"/>
                            <w:sz w:val="20"/>
                            <w:szCs w:val="20"/>
                            <w:lang w:val="el-GR"/>
                          </w:rPr>
                          <w:t xml:space="preserve">% </w:t>
                        </w:r>
                        <w:r w:rsidR="002712D6" w:rsidRPr="006A1797">
                          <w:rPr>
                            <w:rFonts w:ascii="Arial" w:hAnsi="Arial" w:cs="Arial"/>
                            <w:sz w:val="20"/>
                            <w:szCs w:val="20"/>
                            <w:lang w:val="el-GR"/>
                          </w:rPr>
                          <w:t>από τον Δεκέμβριο 2023</w:t>
                        </w:r>
                      </w:p>
                      <w:p w14:paraId="61AE244D" w14:textId="77777777" w:rsidR="009A0635" w:rsidRPr="005B7A39" w:rsidRDefault="009A0635" w:rsidP="00A21CB9">
                        <w:pPr>
                          <w:spacing w:after="60" w:line="120" w:lineRule="auto"/>
                          <w:ind w:right="-81"/>
                          <w:rPr>
                            <w:rFonts w:ascii="Arial" w:hAnsi="Arial" w:cs="Arial"/>
                            <w:b/>
                            <w:sz w:val="22"/>
                            <w:szCs w:val="22"/>
                            <w:lang w:val="el-GR"/>
                          </w:rPr>
                        </w:pPr>
                        <w:r w:rsidRPr="006A1797">
                          <w:rPr>
                            <w:rFonts w:ascii="Arial" w:hAnsi="Arial" w:cs="Arial"/>
                            <w:lang w:val="el-GR"/>
                          </w:rPr>
                          <w:t xml:space="preserve"> </w:t>
                        </w:r>
                      </w:p>
                      <w:p w14:paraId="70B38286" w14:textId="617D3867" w:rsidR="009A0635" w:rsidRPr="006A1797" w:rsidRDefault="009A0635" w:rsidP="00A21CB9">
                        <w:pPr>
                          <w:spacing w:after="60"/>
                          <w:ind w:right="-81" w:hanging="42"/>
                          <w:rPr>
                            <w:rFonts w:ascii="Arial" w:hAnsi="Arial" w:cs="Arial"/>
                            <w:b/>
                            <w:lang w:val="el-GR"/>
                          </w:rPr>
                        </w:pPr>
                        <w:r w:rsidRPr="006A1797">
                          <w:rPr>
                            <w:rFonts w:ascii="Arial" w:hAnsi="Arial" w:cs="Arial"/>
                            <w:b/>
                            <w:lang w:val="el-GR"/>
                          </w:rPr>
                          <w:t>Απόδοση Ενσώματων Ιδίων Κεφαλαίων (ROTE) ύψους 2</w:t>
                        </w:r>
                        <w:r w:rsidR="00BB71B8" w:rsidRPr="006A1797">
                          <w:rPr>
                            <w:rFonts w:ascii="Arial" w:hAnsi="Arial" w:cs="Arial"/>
                            <w:b/>
                            <w:lang w:val="el-GR"/>
                          </w:rPr>
                          <w:t>3</w:t>
                        </w:r>
                        <w:r w:rsidRPr="006A1797">
                          <w:rPr>
                            <w:rFonts w:ascii="Arial" w:hAnsi="Arial" w:cs="Arial"/>
                            <w:b/>
                            <w:lang w:val="el-GR"/>
                          </w:rPr>
                          <w:t>.</w:t>
                        </w:r>
                        <w:r w:rsidR="009F73D8" w:rsidRPr="006A1797">
                          <w:rPr>
                            <w:rFonts w:ascii="Arial" w:hAnsi="Arial" w:cs="Arial"/>
                            <w:b/>
                            <w:lang w:val="el-GR"/>
                          </w:rPr>
                          <w:t>7</w:t>
                        </w:r>
                        <w:r w:rsidRPr="006A1797">
                          <w:rPr>
                            <w:rFonts w:ascii="Arial" w:hAnsi="Arial" w:cs="Arial"/>
                            <w:b/>
                            <w:lang w:val="el-GR"/>
                          </w:rPr>
                          <w:t>% για το</w:t>
                        </w:r>
                        <w:r w:rsidR="00BB71B8" w:rsidRPr="006A1797">
                          <w:rPr>
                            <w:rFonts w:ascii="Arial" w:hAnsi="Arial" w:cs="Arial"/>
                            <w:b/>
                            <w:lang w:val="el-GR"/>
                          </w:rPr>
                          <w:t xml:space="preserve"> α</w:t>
                        </w:r>
                        <w:r w:rsidR="00042C77" w:rsidRPr="006A1797">
                          <w:rPr>
                            <w:rFonts w:ascii="Arial" w:hAnsi="Arial" w:cs="Arial"/>
                            <w:b/>
                            <w:lang w:val="el-GR"/>
                          </w:rPr>
                          <w:t>’</w:t>
                        </w:r>
                        <w:r w:rsidR="00BB71B8" w:rsidRPr="006A1797">
                          <w:rPr>
                            <w:rFonts w:ascii="Arial" w:hAnsi="Arial" w:cs="Arial"/>
                            <w:b/>
                            <w:lang w:val="el-GR"/>
                          </w:rPr>
                          <w:t xml:space="preserve"> </w:t>
                        </w:r>
                        <w:r w:rsidR="002712D6" w:rsidRPr="006A1797">
                          <w:rPr>
                            <w:rFonts w:ascii="Arial" w:hAnsi="Arial" w:cs="Arial"/>
                            <w:b/>
                            <w:lang w:val="el-GR"/>
                          </w:rPr>
                          <w:t xml:space="preserve">εξάμηνο </w:t>
                        </w:r>
                        <w:r w:rsidR="00BB71B8" w:rsidRPr="006A1797">
                          <w:rPr>
                            <w:rFonts w:ascii="Arial" w:hAnsi="Arial" w:cs="Arial"/>
                            <w:b/>
                            <w:lang w:val="el-GR"/>
                          </w:rPr>
                          <w:t>2024</w:t>
                        </w:r>
                      </w:p>
                      <w:p w14:paraId="3CC58585" w14:textId="70B2A9FB" w:rsidR="002712D6" w:rsidRPr="006A1797" w:rsidRDefault="009A0635" w:rsidP="00A21CB9">
                        <w:pPr>
                          <w:pStyle w:val="ListParagraph"/>
                          <w:numPr>
                            <w:ilvl w:val="0"/>
                            <w:numId w:val="4"/>
                          </w:numPr>
                          <w:spacing w:after="60"/>
                          <w:ind w:left="241" w:right="-79" w:hanging="241"/>
                          <w:jc w:val="both"/>
                          <w:rPr>
                            <w:rFonts w:ascii="Arial" w:hAnsi="Arial" w:cs="Arial"/>
                            <w:sz w:val="20"/>
                            <w:szCs w:val="20"/>
                            <w:lang w:val="el-GR"/>
                          </w:rPr>
                        </w:pPr>
                        <w:r w:rsidRPr="006A1797">
                          <w:rPr>
                            <w:rFonts w:ascii="Arial" w:hAnsi="Arial" w:cs="Arial"/>
                            <w:sz w:val="20"/>
                            <w:szCs w:val="20"/>
                            <w:lang w:val="el-GR"/>
                          </w:rPr>
                          <w:t>Καθαρά έσοδα από τόκους ύψους €</w:t>
                        </w:r>
                        <w:r w:rsidR="002712D6" w:rsidRPr="006A1797">
                          <w:rPr>
                            <w:rFonts w:ascii="Arial" w:hAnsi="Arial" w:cs="Arial"/>
                            <w:sz w:val="20"/>
                            <w:szCs w:val="20"/>
                            <w:lang w:val="el-GR"/>
                          </w:rPr>
                          <w:t xml:space="preserve">420 </w:t>
                        </w:r>
                        <w:r w:rsidRPr="006A1797">
                          <w:rPr>
                            <w:rFonts w:ascii="Arial" w:hAnsi="Arial" w:cs="Arial"/>
                            <w:sz w:val="20"/>
                            <w:szCs w:val="20"/>
                            <w:lang w:val="el-GR"/>
                          </w:rPr>
                          <w:t>εκατ.</w:t>
                        </w:r>
                        <w:r w:rsidR="002712D6" w:rsidRPr="006A1797">
                          <w:rPr>
                            <w:rFonts w:ascii="Arial" w:hAnsi="Arial" w:cs="Arial"/>
                            <w:sz w:val="20"/>
                            <w:szCs w:val="20"/>
                            <w:lang w:val="el-GR"/>
                          </w:rPr>
                          <w:t xml:space="preserve"> </w:t>
                        </w:r>
                        <w:r w:rsidR="00510864">
                          <w:rPr>
                            <w:rFonts w:ascii="Arial" w:hAnsi="Arial" w:cs="Arial"/>
                            <w:sz w:val="20"/>
                            <w:szCs w:val="20"/>
                            <w:lang w:val="el-GR"/>
                          </w:rPr>
                          <w:t>για το</w:t>
                        </w:r>
                        <w:r w:rsidR="002712D6" w:rsidRPr="006A1797">
                          <w:rPr>
                            <w:rFonts w:ascii="Arial" w:hAnsi="Arial" w:cs="Arial"/>
                            <w:sz w:val="20"/>
                            <w:szCs w:val="20"/>
                            <w:lang w:val="el-GR"/>
                          </w:rPr>
                          <w:t xml:space="preserve"> α’ εξάμηνο 2024</w:t>
                        </w:r>
                        <w:r w:rsidRPr="006A1797">
                          <w:rPr>
                            <w:rFonts w:ascii="Arial" w:hAnsi="Arial" w:cs="Arial"/>
                            <w:sz w:val="20"/>
                            <w:szCs w:val="20"/>
                            <w:lang w:val="el-GR"/>
                          </w:rPr>
                          <w:t xml:space="preserve">, </w:t>
                        </w:r>
                        <w:r w:rsidR="002712D6" w:rsidRPr="006A1797">
                          <w:rPr>
                            <w:rFonts w:ascii="Arial" w:hAnsi="Arial" w:cs="Arial"/>
                            <w:sz w:val="20"/>
                            <w:szCs w:val="20"/>
                            <w:lang w:val="el-GR"/>
                          </w:rPr>
                          <w:t xml:space="preserve">αυξημένα </w:t>
                        </w:r>
                        <w:r w:rsidRPr="006A1797">
                          <w:rPr>
                            <w:rFonts w:ascii="Arial" w:hAnsi="Arial" w:cs="Arial"/>
                            <w:sz w:val="20"/>
                            <w:szCs w:val="20"/>
                            <w:lang w:val="el-GR"/>
                          </w:rPr>
                          <w:t xml:space="preserve">κατά </w:t>
                        </w:r>
                        <w:r w:rsidR="002712D6" w:rsidRPr="006A1797">
                          <w:rPr>
                            <w:rFonts w:ascii="Arial" w:hAnsi="Arial" w:cs="Arial"/>
                            <w:sz w:val="20"/>
                            <w:szCs w:val="20"/>
                            <w:lang w:val="el-GR"/>
                          </w:rPr>
                          <w:t>17</w:t>
                        </w:r>
                        <w:r w:rsidRPr="006A1797">
                          <w:rPr>
                            <w:rFonts w:ascii="Arial" w:hAnsi="Arial" w:cs="Arial"/>
                            <w:sz w:val="20"/>
                            <w:szCs w:val="20"/>
                            <w:lang w:val="el-GR"/>
                          </w:rPr>
                          <w:t xml:space="preserve">% σε </w:t>
                        </w:r>
                        <w:r w:rsidR="002712D6" w:rsidRPr="006A1797">
                          <w:rPr>
                            <w:rFonts w:ascii="Arial" w:hAnsi="Arial" w:cs="Arial"/>
                            <w:sz w:val="20"/>
                            <w:szCs w:val="20"/>
                            <w:lang w:val="el-GR"/>
                          </w:rPr>
                          <w:t xml:space="preserve">ετήσια </w:t>
                        </w:r>
                        <w:r w:rsidRPr="006A1797">
                          <w:rPr>
                            <w:rFonts w:ascii="Arial" w:hAnsi="Arial" w:cs="Arial"/>
                            <w:sz w:val="20"/>
                            <w:szCs w:val="20"/>
                            <w:lang w:val="el-GR"/>
                          </w:rPr>
                          <w:t>βάση</w:t>
                        </w:r>
                      </w:p>
                      <w:p w14:paraId="31A345BE" w14:textId="06284191" w:rsidR="009A0635" w:rsidRPr="006A1797" w:rsidRDefault="002712D6" w:rsidP="002712D6">
                        <w:pPr>
                          <w:pStyle w:val="ListParagraph"/>
                          <w:numPr>
                            <w:ilvl w:val="0"/>
                            <w:numId w:val="4"/>
                          </w:numPr>
                          <w:spacing w:after="60"/>
                          <w:ind w:left="241" w:right="-79" w:hanging="241"/>
                          <w:jc w:val="both"/>
                          <w:rPr>
                            <w:rFonts w:ascii="Arial" w:hAnsi="Arial" w:cs="Arial"/>
                            <w:sz w:val="20"/>
                            <w:szCs w:val="20"/>
                            <w:lang w:val="el-GR"/>
                          </w:rPr>
                        </w:pPr>
                        <w:r w:rsidRPr="006A1797">
                          <w:rPr>
                            <w:rFonts w:ascii="Arial" w:hAnsi="Arial" w:cs="Arial"/>
                            <w:sz w:val="20"/>
                            <w:szCs w:val="20"/>
                            <w:lang w:val="el-GR"/>
                          </w:rPr>
                          <w:t>Καθαρά έσοδα από τόκους ύψους €</w:t>
                        </w:r>
                        <w:r w:rsidR="00D34C27" w:rsidRPr="006A1797">
                          <w:rPr>
                            <w:rFonts w:ascii="Arial" w:hAnsi="Arial" w:cs="Arial"/>
                            <w:sz w:val="20"/>
                            <w:szCs w:val="20"/>
                            <w:lang w:val="el-GR"/>
                          </w:rPr>
                          <w:t>207</w:t>
                        </w:r>
                        <w:r w:rsidRPr="006A1797">
                          <w:rPr>
                            <w:rFonts w:ascii="Arial" w:hAnsi="Arial" w:cs="Arial"/>
                            <w:sz w:val="20"/>
                            <w:szCs w:val="20"/>
                            <w:lang w:val="el-GR"/>
                          </w:rPr>
                          <w:t xml:space="preserve"> εκατ. </w:t>
                        </w:r>
                        <w:r w:rsidR="00510864">
                          <w:rPr>
                            <w:rFonts w:ascii="Arial" w:hAnsi="Arial" w:cs="Arial"/>
                            <w:sz w:val="20"/>
                            <w:szCs w:val="20"/>
                            <w:lang w:val="el-GR"/>
                          </w:rPr>
                          <w:t>για το</w:t>
                        </w:r>
                        <w:r w:rsidRPr="006A1797">
                          <w:rPr>
                            <w:rFonts w:ascii="Arial" w:hAnsi="Arial" w:cs="Arial"/>
                            <w:sz w:val="20"/>
                            <w:szCs w:val="20"/>
                            <w:lang w:val="el-GR"/>
                          </w:rPr>
                          <w:t xml:space="preserve"> </w:t>
                        </w:r>
                        <w:r w:rsidR="00D34C27" w:rsidRPr="006A1797">
                          <w:rPr>
                            <w:rFonts w:ascii="Arial" w:hAnsi="Arial" w:cs="Arial"/>
                            <w:sz w:val="20"/>
                            <w:szCs w:val="20"/>
                            <w:lang w:val="el-GR"/>
                          </w:rPr>
                          <w:t>β’</w:t>
                        </w:r>
                        <w:r w:rsidRPr="006A1797">
                          <w:rPr>
                            <w:rFonts w:ascii="Arial" w:hAnsi="Arial" w:cs="Arial"/>
                            <w:sz w:val="20"/>
                            <w:szCs w:val="20"/>
                            <w:lang w:val="el-GR"/>
                          </w:rPr>
                          <w:t xml:space="preserve"> </w:t>
                        </w:r>
                        <w:r w:rsidR="00D34C27" w:rsidRPr="006A1797">
                          <w:rPr>
                            <w:rFonts w:ascii="Arial" w:hAnsi="Arial" w:cs="Arial"/>
                            <w:sz w:val="20"/>
                            <w:szCs w:val="20"/>
                            <w:lang w:val="el-GR"/>
                          </w:rPr>
                          <w:t>τρίμηνο</w:t>
                        </w:r>
                        <w:r w:rsidRPr="006A1797">
                          <w:rPr>
                            <w:rFonts w:ascii="Arial" w:hAnsi="Arial" w:cs="Arial"/>
                            <w:sz w:val="20"/>
                            <w:szCs w:val="20"/>
                            <w:lang w:val="el-GR"/>
                          </w:rPr>
                          <w:t xml:space="preserve"> 2024, </w:t>
                        </w:r>
                        <w:r w:rsidR="00D34C27" w:rsidRPr="006A1797">
                          <w:rPr>
                            <w:rFonts w:ascii="Arial" w:hAnsi="Arial" w:cs="Arial"/>
                            <w:sz w:val="20"/>
                            <w:szCs w:val="20"/>
                            <w:lang w:val="el-GR"/>
                          </w:rPr>
                          <w:t>μειωμένα</w:t>
                        </w:r>
                        <w:r w:rsidRPr="006A1797">
                          <w:rPr>
                            <w:rFonts w:ascii="Arial" w:hAnsi="Arial" w:cs="Arial"/>
                            <w:sz w:val="20"/>
                            <w:szCs w:val="20"/>
                            <w:lang w:val="el-GR"/>
                          </w:rPr>
                          <w:t xml:space="preserve"> κατά </w:t>
                        </w:r>
                        <w:r w:rsidR="00D34C27" w:rsidRPr="006A1797">
                          <w:rPr>
                            <w:rFonts w:ascii="Arial" w:hAnsi="Arial" w:cs="Arial"/>
                            <w:sz w:val="20"/>
                            <w:szCs w:val="20"/>
                            <w:lang w:val="el-GR"/>
                          </w:rPr>
                          <w:t>3</w:t>
                        </w:r>
                        <w:r w:rsidRPr="006A1797">
                          <w:rPr>
                            <w:rFonts w:ascii="Arial" w:hAnsi="Arial" w:cs="Arial"/>
                            <w:sz w:val="20"/>
                            <w:szCs w:val="20"/>
                            <w:lang w:val="el-GR"/>
                          </w:rPr>
                          <w:t xml:space="preserve">% σε </w:t>
                        </w:r>
                        <w:r w:rsidR="00D34C27" w:rsidRPr="00B63E56">
                          <w:rPr>
                            <w:rFonts w:ascii="Arial" w:hAnsi="Arial" w:cs="Arial"/>
                            <w:sz w:val="20"/>
                            <w:szCs w:val="20"/>
                            <w:lang w:val="el-GR"/>
                          </w:rPr>
                          <w:t>τριμηνιαία</w:t>
                        </w:r>
                        <w:r w:rsidRPr="006A1797">
                          <w:rPr>
                            <w:rFonts w:ascii="Arial" w:hAnsi="Arial" w:cs="Arial"/>
                            <w:sz w:val="20"/>
                            <w:szCs w:val="20"/>
                            <w:lang w:val="el-GR"/>
                          </w:rPr>
                          <w:t xml:space="preserve"> βάση</w:t>
                        </w:r>
                        <w:r w:rsidR="00D34C27" w:rsidRPr="006A1797">
                          <w:rPr>
                            <w:rFonts w:ascii="Arial" w:hAnsi="Arial" w:cs="Arial"/>
                            <w:sz w:val="20"/>
                            <w:szCs w:val="20"/>
                            <w:lang w:val="el-GR"/>
                          </w:rPr>
                          <w:t xml:space="preserve">, </w:t>
                        </w:r>
                        <w:r w:rsidR="00E8423B" w:rsidRPr="006A1797">
                          <w:rPr>
                            <w:rFonts w:ascii="Arial" w:hAnsi="Arial" w:cs="Arial"/>
                            <w:sz w:val="20"/>
                            <w:szCs w:val="20"/>
                            <w:lang w:val="el-GR"/>
                          </w:rPr>
                          <w:t>αντικατοπτρίζοντας</w:t>
                        </w:r>
                        <w:r w:rsidR="008B081D" w:rsidRPr="006A1797">
                          <w:rPr>
                            <w:rFonts w:ascii="Arial" w:hAnsi="Arial" w:cs="Arial"/>
                            <w:sz w:val="20"/>
                            <w:szCs w:val="20"/>
                            <w:lang w:val="el-GR"/>
                          </w:rPr>
                          <w:t xml:space="preserve"> </w:t>
                        </w:r>
                        <w:r w:rsidR="00D34C27" w:rsidRPr="006A1797">
                          <w:rPr>
                            <w:rFonts w:ascii="Arial" w:hAnsi="Arial" w:cs="Arial"/>
                            <w:sz w:val="20"/>
                            <w:szCs w:val="20"/>
                            <w:lang w:val="el-GR"/>
                          </w:rPr>
                          <w:t xml:space="preserve">κυρίως </w:t>
                        </w:r>
                        <w:r w:rsidR="00E8423B" w:rsidRPr="006A1797">
                          <w:rPr>
                            <w:rFonts w:ascii="Arial" w:hAnsi="Arial" w:cs="Arial"/>
                            <w:sz w:val="20"/>
                            <w:szCs w:val="20"/>
                            <w:lang w:val="el-GR"/>
                          </w:rPr>
                          <w:t xml:space="preserve">τις </w:t>
                        </w:r>
                        <w:r w:rsidR="00D34C27" w:rsidRPr="006A1797">
                          <w:rPr>
                            <w:rFonts w:ascii="Arial" w:hAnsi="Arial" w:cs="Arial"/>
                            <w:sz w:val="20"/>
                            <w:szCs w:val="20"/>
                            <w:lang w:val="el-GR"/>
                          </w:rPr>
                          <w:t xml:space="preserve">αυξημένες </w:t>
                        </w:r>
                        <w:r w:rsidR="00E8423B" w:rsidRPr="006A1797">
                          <w:rPr>
                            <w:rFonts w:ascii="Arial" w:hAnsi="Arial" w:cs="Arial"/>
                            <w:sz w:val="20"/>
                            <w:szCs w:val="20"/>
                            <w:lang w:val="el-GR"/>
                          </w:rPr>
                          <w:t>ενέργειες αντιστάθμισης (‘</w:t>
                        </w:r>
                        <w:r w:rsidR="00E8423B" w:rsidRPr="006A1797">
                          <w:rPr>
                            <w:rFonts w:ascii="Arial" w:hAnsi="Arial" w:cs="Arial"/>
                            <w:sz w:val="20"/>
                            <w:szCs w:val="20"/>
                          </w:rPr>
                          <w:t>hedging</w:t>
                        </w:r>
                        <w:r w:rsidR="00E8423B" w:rsidRPr="006A1797">
                          <w:rPr>
                            <w:rFonts w:ascii="Arial" w:hAnsi="Arial" w:cs="Arial"/>
                            <w:sz w:val="20"/>
                            <w:szCs w:val="20"/>
                            <w:lang w:val="el-GR"/>
                          </w:rPr>
                          <w:t>’)</w:t>
                        </w:r>
                      </w:p>
                      <w:p w14:paraId="5C2C872A" w14:textId="6D5DFD36" w:rsidR="009A0635" w:rsidRPr="006A1797" w:rsidRDefault="009A0635" w:rsidP="00A21CB9">
                        <w:pPr>
                          <w:pStyle w:val="ListParagraph"/>
                          <w:numPr>
                            <w:ilvl w:val="0"/>
                            <w:numId w:val="4"/>
                          </w:numPr>
                          <w:spacing w:after="60"/>
                          <w:ind w:left="241" w:right="-79" w:hanging="241"/>
                          <w:jc w:val="both"/>
                          <w:rPr>
                            <w:rFonts w:ascii="Arial" w:hAnsi="Arial" w:cs="Arial"/>
                            <w:sz w:val="20"/>
                            <w:szCs w:val="20"/>
                            <w:lang w:val="el-GR"/>
                          </w:rPr>
                        </w:pPr>
                        <w:r w:rsidRPr="006A1797">
                          <w:rPr>
                            <w:rFonts w:ascii="Arial" w:hAnsi="Arial" w:cs="Arial"/>
                            <w:sz w:val="20"/>
                            <w:szCs w:val="20"/>
                            <w:lang w:val="el-GR"/>
                          </w:rPr>
                          <w:t>Συνολικά λειτουργικά έξοδα</w:t>
                        </w:r>
                        <w:r w:rsidRPr="006A1797">
                          <w:rPr>
                            <w:rFonts w:ascii="Arial" w:hAnsi="Arial" w:cs="Arial"/>
                            <w:sz w:val="20"/>
                            <w:szCs w:val="20"/>
                            <w:vertAlign w:val="superscript"/>
                            <w:lang w:val="el-GR"/>
                          </w:rPr>
                          <w:t>2</w:t>
                        </w:r>
                        <w:r w:rsidRPr="006A1797">
                          <w:rPr>
                            <w:rFonts w:ascii="Arial" w:hAnsi="Arial" w:cs="Arial"/>
                            <w:sz w:val="20"/>
                            <w:szCs w:val="20"/>
                            <w:lang w:val="el-GR"/>
                          </w:rPr>
                          <w:t xml:space="preserve"> </w:t>
                        </w:r>
                        <w:r w:rsidR="00D34C27" w:rsidRPr="006A1797">
                          <w:rPr>
                            <w:rFonts w:ascii="Arial" w:hAnsi="Arial" w:cs="Arial"/>
                            <w:sz w:val="20"/>
                            <w:szCs w:val="20"/>
                            <w:lang w:val="el-GR"/>
                          </w:rPr>
                          <w:t>ύψους €167 εκατ.</w:t>
                        </w:r>
                        <w:r w:rsidR="00510864">
                          <w:rPr>
                            <w:rFonts w:ascii="Arial" w:hAnsi="Arial" w:cs="Arial"/>
                            <w:sz w:val="20"/>
                            <w:szCs w:val="20"/>
                            <w:lang w:val="el-GR"/>
                          </w:rPr>
                          <w:t>,</w:t>
                        </w:r>
                        <w:r w:rsidR="00D34C27" w:rsidRPr="006A1797">
                          <w:rPr>
                            <w:rFonts w:ascii="Arial" w:hAnsi="Arial" w:cs="Arial"/>
                            <w:sz w:val="20"/>
                            <w:szCs w:val="20"/>
                            <w:lang w:val="el-GR"/>
                          </w:rPr>
                          <w:t xml:space="preserve"> αυξημένα </w:t>
                        </w:r>
                        <w:r w:rsidRPr="006A1797">
                          <w:rPr>
                            <w:rFonts w:ascii="Arial" w:hAnsi="Arial" w:cs="Arial"/>
                            <w:sz w:val="20"/>
                            <w:szCs w:val="20"/>
                            <w:lang w:val="el-GR"/>
                          </w:rPr>
                          <w:t xml:space="preserve">κατά </w:t>
                        </w:r>
                        <w:r w:rsidR="00D34C27" w:rsidRPr="006A1797">
                          <w:rPr>
                            <w:rFonts w:ascii="Arial" w:hAnsi="Arial" w:cs="Arial"/>
                            <w:sz w:val="20"/>
                            <w:szCs w:val="20"/>
                            <w:lang w:val="el-GR"/>
                          </w:rPr>
                          <w:t>4</w:t>
                        </w:r>
                        <w:r w:rsidRPr="006A1797">
                          <w:rPr>
                            <w:rFonts w:ascii="Arial" w:hAnsi="Arial" w:cs="Arial"/>
                            <w:sz w:val="20"/>
                            <w:szCs w:val="20"/>
                            <w:lang w:val="el-GR"/>
                          </w:rPr>
                          <w:t xml:space="preserve">% σε </w:t>
                        </w:r>
                        <w:r w:rsidR="00D34C27" w:rsidRPr="006A1797">
                          <w:rPr>
                            <w:rFonts w:ascii="Arial" w:hAnsi="Arial" w:cs="Arial"/>
                            <w:sz w:val="20"/>
                            <w:szCs w:val="20"/>
                            <w:lang w:val="el-GR"/>
                          </w:rPr>
                          <w:t xml:space="preserve">ετήσια </w:t>
                        </w:r>
                        <w:r w:rsidRPr="006A1797">
                          <w:rPr>
                            <w:rFonts w:ascii="Arial" w:hAnsi="Arial" w:cs="Arial"/>
                            <w:sz w:val="20"/>
                            <w:szCs w:val="20"/>
                            <w:lang w:val="el-GR"/>
                          </w:rPr>
                          <w:t>βάση</w:t>
                        </w:r>
                        <w:r w:rsidR="00D34C27" w:rsidRPr="00B63E56">
                          <w:rPr>
                            <w:rFonts w:ascii="Arial" w:hAnsi="Arial" w:cs="Arial"/>
                            <w:sz w:val="20"/>
                            <w:szCs w:val="20"/>
                            <w:lang w:val="el-GR"/>
                          </w:rPr>
                          <w:t>, επηρεασμένα από τον πληθωρισμό</w:t>
                        </w:r>
                        <w:r w:rsidR="003C6ABB" w:rsidRPr="006A1797">
                          <w:rPr>
                            <w:rFonts w:ascii="Arial" w:hAnsi="Arial" w:cs="Arial"/>
                            <w:sz w:val="20"/>
                            <w:szCs w:val="20"/>
                            <w:lang w:val="el-GR"/>
                          </w:rPr>
                          <w:t>.</w:t>
                        </w:r>
                        <w:r w:rsidR="00D34C27" w:rsidRPr="006A1797">
                          <w:rPr>
                            <w:rFonts w:ascii="Arial" w:hAnsi="Arial" w:cs="Arial"/>
                            <w:sz w:val="20"/>
                            <w:szCs w:val="20"/>
                            <w:lang w:val="el-GR"/>
                          </w:rPr>
                          <w:t xml:space="preserve"> Δ</w:t>
                        </w:r>
                        <w:r w:rsidRPr="006A1797">
                          <w:rPr>
                            <w:rFonts w:ascii="Arial" w:hAnsi="Arial" w:cs="Arial"/>
                            <w:sz w:val="20"/>
                            <w:szCs w:val="20"/>
                            <w:lang w:val="el-GR"/>
                          </w:rPr>
                          <w:t>είκτη</w:t>
                        </w:r>
                        <w:r w:rsidR="00D34C27" w:rsidRPr="006A1797">
                          <w:rPr>
                            <w:rFonts w:ascii="Arial" w:hAnsi="Arial" w:cs="Arial"/>
                            <w:sz w:val="20"/>
                            <w:szCs w:val="20"/>
                            <w:lang w:val="el-GR"/>
                          </w:rPr>
                          <w:t>ς</w:t>
                        </w:r>
                        <w:r w:rsidRPr="006A1797">
                          <w:rPr>
                            <w:rFonts w:ascii="Arial" w:hAnsi="Arial" w:cs="Arial"/>
                            <w:sz w:val="20"/>
                            <w:szCs w:val="20"/>
                            <w:lang w:val="el-GR"/>
                          </w:rPr>
                          <w:t xml:space="preserve"> κόστο</w:t>
                        </w:r>
                        <w:r w:rsidR="005B7A39">
                          <w:rPr>
                            <w:rFonts w:ascii="Arial" w:hAnsi="Arial" w:cs="Arial"/>
                            <w:sz w:val="20"/>
                            <w:szCs w:val="20"/>
                            <w:lang w:val="el-GR"/>
                          </w:rPr>
                          <w:t>ς</w:t>
                        </w:r>
                        <w:r w:rsidRPr="006A1797">
                          <w:rPr>
                            <w:rFonts w:ascii="Arial" w:hAnsi="Arial" w:cs="Arial"/>
                            <w:sz w:val="20"/>
                            <w:szCs w:val="20"/>
                            <w:lang w:val="el-GR"/>
                          </w:rPr>
                          <w:t xml:space="preserve"> προς έσοδα</w:t>
                        </w:r>
                        <w:r w:rsidRPr="006A1797">
                          <w:rPr>
                            <w:rFonts w:ascii="Arial" w:hAnsi="Arial" w:cs="Arial"/>
                            <w:sz w:val="20"/>
                            <w:szCs w:val="20"/>
                            <w:vertAlign w:val="superscript"/>
                            <w:lang w:val="el-GR"/>
                          </w:rPr>
                          <w:t>2</w:t>
                        </w:r>
                        <w:r w:rsidR="003C6ABB" w:rsidRPr="006A1797">
                          <w:rPr>
                            <w:rFonts w:ascii="Arial" w:hAnsi="Arial" w:cs="Arial"/>
                            <w:sz w:val="20"/>
                            <w:szCs w:val="20"/>
                            <w:lang w:val="el-GR"/>
                          </w:rPr>
                          <w:t xml:space="preserve"> </w:t>
                        </w:r>
                        <w:r w:rsidRPr="006A1797">
                          <w:rPr>
                            <w:rFonts w:ascii="Arial" w:hAnsi="Arial" w:cs="Arial"/>
                            <w:sz w:val="20"/>
                            <w:szCs w:val="20"/>
                            <w:lang w:val="el-GR"/>
                          </w:rPr>
                          <w:t xml:space="preserve">στο </w:t>
                        </w:r>
                        <w:r w:rsidR="00D34C27" w:rsidRPr="006A1797">
                          <w:rPr>
                            <w:rFonts w:ascii="Arial" w:hAnsi="Arial" w:cs="Arial"/>
                            <w:sz w:val="20"/>
                            <w:szCs w:val="20"/>
                            <w:lang w:val="el-GR"/>
                          </w:rPr>
                          <w:t>30</w:t>
                        </w:r>
                        <w:r w:rsidRPr="006A1797">
                          <w:rPr>
                            <w:rFonts w:ascii="Arial" w:hAnsi="Arial" w:cs="Arial"/>
                            <w:sz w:val="20"/>
                            <w:szCs w:val="20"/>
                            <w:lang w:val="el-GR"/>
                          </w:rPr>
                          <w:t>%</w:t>
                        </w:r>
                        <w:r w:rsidR="00D34C27" w:rsidRPr="006A1797">
                          <w:rPr>
                            <w:rFonts w:ascii="Arial" w:hAnsi="Arial" w:cs="Arial"/>
                            <w:sz w:val="20"/>
                            <w:szCs w:val="20"/>
                            <w:lang w:val="el-GR"/>
                          </w:rPr>
                          <w:t xml:space="preserve">, μειωμένος </w:t>
                        </w:r>
                        <w:r w:rsidR="00510864">
                          <w:rPr>
                            <w:rFonts w:ascii="Arial" w:hAnsi="Arial" w:cs="Arial"/>
                            <w:sz w:val="20"/>
                            <w:szCs w:val="20"/>
                            <w:lang w:val="el-GR"/>
                          </w:rPr>
                          <w:t xml:space="preserve">κατά </w:t>
                        </w:r>
                        <w:r w:rsidR="00D34C27" w:rsidRPr="006A1797">
                          <w:rPr>
                            <w:rFonts w:ascii="Arial" w:hAnsi="Arial" w:cs="Arial"/>
                            <w:sz w:val="20"/>
                            <w:szCs w:val="20"/>
                            <w:lang w:val="el-GR"/>
                          </w:rPr>
                          <w:t>2 ε.μ. σε ετήσια βάση</w:t>
                        </w:r>
                      </w:p>
                      <w:p w14:paraId="1144B0D4" w14:textId="3218126E" w:rsidR="00792898" w:rsidRPr="006A1797" w:rsidRDefault="009A0635" w:rsidP="00A21CB9">
                        <w:pPr>
                          <w:pStyle w:val="ListParagraph"/>
                          <w:numPr>
                            <w:ilvl w:val="0"/>
                            <w:numId w:val="4"/>
                          </w:numPr>
                          <w:spacing w:after="60"/>
                          <w:ind w:left="241" w:right="-79" w:hanging="241"/>
                          <w:jc w:val="both"/>
                          <w:rPr>
                            <w:rFonts w:ascii="Arial" w:hAnsi="Arial" w:cs="Arial"/>
                            <w:sz w:val="20"/>
                            <w:szCs w:val="20"/>
                            <w:lang w:val="el-GR"/>
                          </w:rPr>
                        </w:pPr>
                        <w:r w:rsidRPr="006A1797">
                          <w:rPr>
                            <w:rFonts w:ascii="Arial" w:hAnsi="Arial" w:cs="Arial"/>
                            <w:sz w:val="20"/>
                            <w:szCs w:val="20"/>
                            <w:lang w:val="el-GR"/>
                          </w:rPr>
                          <w:t>Κέρδη μετά τη φορολογία ύψους €</w:t>
                        </w:r>
                        <w:r w:rsidR="009F73D8" w:rsidRPr="006A1797">
                          <w:rPr>
                            <w:rFonts w:ascii="Arial" w:hAnsi="Arial" w:cs="Arial"/>
                            <w:sz w:val="20"/>
                            <w:szCs w:val="20"/>
                            <w:lang w:val="el-GR"/>
                          </w:rPr>
                          <w:t>270</w:t>
                        </w:r>
                        <w:r w:rsidR="00792898" w:rsidRPr="006A1797">
                          <w:rPr>
                            <w:rFonts w:ascii="Arial" w:hAnsi="Arial" w:cs="Arial"/>
                            <w:sz w:val="20"/>
                            <w:szCs w:val="20"/>
                            <w:lang w:val="el-GR"/>
                          </w:rPr>
                          <w:t xml:space="preserve"> </w:t>
                        </w:r>
                        <w:r w:rsidRPr="006A1797">
                          <w:rPr>
                            <w:rFonts w:ascii="Arial" w:hAnsi="Arial" w:cs="Arial"/>
                            <w:sz w:val="20"/>
                            <w:szCs w:val="20"/>
                            <w:lang w:val="el-GR"/>
                          </w:rPr>
                          <w:t>εκατ.</w:t>
                        </w:r>
                        <w:r w:rsidR="003C6ABB" w:rsidRPr="006A1797">
                          <w:rPr>
                            <w:rFonts w:ascii="Arial" w:hAnsi="Arial" w:cs="Arial"/>
                            <w:sz w:val="20"/>
                            <w:szCs w:val="20"/>
                            <w:lang w:val="el-GR"/>
                          </w:rPr>
                          <w:t xml:space="preserve">, </w:t>
                        </w:r>
                        <w:r w:rsidR="00792898" w:rsidRPr="006A1797">
                          <w:rPr>
                            <w:rFonts w:ascii="Arial" w:hAnsi="Arial" w:cs="Arial"/>
                            <w:sz w:val="20"/>
                            <w:szCs w:val="20"/>
                            <w:lang w:val="el-GR"/>
                          </w:rPr>
                          <w:t xml:space="preserve">αυξημένα </w:t>
                        </w:r>
                        <w:r w:rsidR="003C6ABB" w:rsidRPr="006A1797">
                          <w:rPr>
                            <w:rFonts w:ascii="Arial" w:hAnsi="Arial" w:cs="Arial"/>
                            <w:sz w:val="20"/>
                            <w:szCs w:val="20"/>
                            <w:lang w:val="el-GR"/>
                          </w:rPr>
                          <w:t xml:space="preserve">κατά </w:t>
                        </w:r>
                        <w:r w:rsidR="009F73D8" w:rsidRPr="006A1797">
                          <w:rPr>
                            <w:rFonts w:ascii="Arial" w:hAnsi="Arial" w:cs="Arial"/>
                            <w:sz w:val="20"/>
                            <w:szCs w:val="20"/>
                            <w:lang w:val="el-GR"/>
                          </w:rPr>
                          <w:t>23</w:t>
                        </w:r>
                        <w:r w:rsidR="003C6ABB" w:rsidRPr="006A1797">
                          <w:rPr>
                            <w:rFonts w:ascii="Arial" w:hAnsi="Arial" w:cs="Arial"/>
                            <w:sz w:val="20"/>
                            <w:szCs w:val="20"/>
                            <w:lang w:val="el-GR"/>
                          </w:rPr>
                          <w:t xml:space="preserve">% σε </w:t>
                        </w:r>
                        <w:r w:rsidR="00792898" w:rsidRPr="006A1797">
                          <w:rPr>
                            <w:rFonts w:ascii="Arial" w:hAnsi="Arial" w:cs="Arial"/>
                            <w:sz w:val="20"/>
                            <w:szCs w:val="20"/>
                            <w:lang w:val="el-GR"/>
                          </w:rPr>
                          <w:t xml:space="preserve">ετήσια </w:t>
                        </w:r>
                        <w:r w:rsidR="003C6ABB" w:rsidRPr="006A1797">
                          <w:rPr>
                            <w:rFonts w:ascii="Arial" w:hAnsi="Arial" w:cs="Arial"/>
                            <w:sz w:val="20"/>
                            <w:szCs w:val="20"/>
                            <w:lang w:val="el-GR"/>
                          </w:rPr>
                          <w:t>βάση</w:t>
                        </w:r>
                        <w:r w:rsidR="00792898" w:rsidRPr="006A1797">
                          <w:rPr>
                            <w:rFonts w:ascii="Arial" w:hAnsi="Arial" w:cs="Arial"/>
                            <w:sz w:val="20"/>
                            <w:szCs w:val="20"/>
                            <w:lang w:val="el-GR"/>
                          </w:rPr>
                          <w:t xml:space="preserve">, εκ </w:t>
                        </w:r>
                        <w:r w:rsidR="005B7A39">
                          <w:rPr>
                            <w:rFonts w:ascii="Arial" w:hAnsi="Arial" w:cs="Arial"/>
                            <w:sz w:val="20"/>
                            <w:szCs w:val="20"/>
                            <w:lang w:val="el-GR"/>
                          </w:rPr>
                          <w:t>των</w:t>
                        </w:r>
                        <w:r w:rsidR="00792898" w:rsidRPr="006A1797">
                          <w:rPr>
                            <w:rFonts w:ascii="Arial" w:hAnsi="Arial" w:cs="Arial"/>
                            <w:sz w:val="20"/>
                            <w:szCs w:val="20"/>
                            <w:lang w:val="el-GR"/>
                          </w:rPr>
                          <w:t xml:space="preserve"> οποίων €</w:t>
                        </w:r>
                        <w:r w:rsidR="009F73D8" w:rsidRPr="006A1797">
                          <w:rPr>
                            <w:rFonts w:ascii="Arial" w:hAnsi="Arial" w:cs="Arial"/>
                            <w:sz w:val="20"/>
                            <w:szCs w:val="20"/>
                            <w:lang w:val="el-GR"/>
                          </w:rPr>
                          <w:t>137</w:t>
                        </w:r>
                        <w:r w:rsidR="00792898" w:rsidRPr="006A1797">
                          <w:rPr>
                            <w:rFonts w:ascii="Arial" w:hAnsi="Arial" w:cs="Arial"/>
                            <w:sz w:val="20"/>
                            <w:szCs w:val="20"/>
                            <w:lang w:val="el-GR"/>
                          </w:rPr>
                          <w:t xml:space="preserve"> εκατ. </w:t>
                        </w:r>
                        <w:r w:rsidR="005B7A39">
                          <w:rPr>
                            <w:rFonts w:ascii="Arial" w:hAnsi="Arial" w:cs="Arial"/>
                            <w:sz w:val="20"/>
                            <w:szCs w:val="20"/>
                            <w:lang w:val="el-GR"/>
                          </w:rPr>
                          <w:t xml:space="preserve">το </w:t>
                        </w:r>
                        <w:r w:rsidR="00792898" w:rsidRPr="006A1797">
                          <w:rPr>
                            <w:rFonts w:ascii="Arial" w:hAnsi="Arial" w:cs="Arial"/>
                            <w:sz w:val="20"/>
                            <w:szCs w:val="20"/>
                            <w:lang w:val="el-GR"/>
                          </w:rPr>
                          <w:t xml:space="preserve">β’ τρίμηνο 2024, </w:t>
                        </w:r>
                        <w:r w:rsidR="009F73D8">
                          <w:rPr>
                            <w:rFonts w:ascii="Arial" w:hAnsi="Arial" w:cs="Arial"/>
                            <w:sz w:val="20"/>
                            <w:szCs w:val="20"/>
                            <w:lang w:val="el-GR"/>
                          </w:rPr>
                          <w:t>αυξημένα κατά 4% σε τριμηνιαία βάσ</w:t>
                        </w:r>
                        <w:r w:rsidR="00CF300B">
                          <w:rPr>
                            <w:rFonts w:ascii="Arial" w:hAnsi="Arial" w:cs="Arial"/>
                            <w:sz w:val="20"/>
                            <w:szCs w:val="20"/>
                            <w:lang w:val="el-GR"/>
                          </w:rPr>
                          <w:t>η</w:t>
                        </w:r>
                      </w:p>
                      <w:p w14:paraId="334A5064" w14:textId="52BCB2DD" w:rsidR="009A0635" w:rsidRPr="006A1797" w:rsidRDefault="009A0635" w:rsidP="00A21CB9">
                        <w:pPr>
                          <w:pStyle w:val="ListParagraph"/>
                          <w:numPr>
                            <w:ilvl w:val="0"/>
                            <w:numId w:val="4"/>
                          </w:numPr>
                          <w:spacing w:after="60"/>
                          <w:ind w:left="241" w:right="-79" w:hanging="241"/>
                          <w:jc w:val="both"/>
                          <w:rPr>
                            <w:rFonts w:ascii="Arial" w:hAnsi="Arial" w:cs="Arial"/>
                            <w:sz w:val="20"/>
                            <w:szCs w:val="20"/>
                            <w:lang w:val="el-GR"/>
                          </w:rPr>
                        </w:pPr>
                        <w:r w:rsidRPr="006A1797">
                          <w:rPr>
                            <w:rFonts w:ascii="Arial" w:hAnsi="Arial" w:cs="Arial"/>
                            <w:sz w:val="20"/>
                            <w:szCs w:val="20"/>
                            <w:lang w:val="el-GR"/>
                          </w:rPr>
                          <w:t>Βασικά κέρδη ανά μετοχή ύψους €</w:t>
                        </w:r>
                        <w:r w:rsidR="003C6ABB" w:rsidRPr="006A1797">
                          <w:rPr>
                            <w:rFonts w:ascii="Arial" w:hAnsi="Arial" w:cs="Arial"/>
                            <w:sz w:val="20"/>
                            <w:szCs w:val="20"/>
                            <w:lang w:val="el-GR"/>
                          </w:rPr>
                          <w:t>0</w:t>
                        </w:r>
                        <w:r w:rsidRPr="006A1797">
                          <w:rPr>
                            <w:rFonts w:ascii="Arial" w:hAnsi="Arial" w:cs="Arial"/>
                            <w:sz w:val="20"/>
                            <w:szCs w:val="20"/>
                            <w:lang w:val="el-GR"/>
                          </w:rPr>
                          <w:t>.</w:t>
                        </w:r>
                        <w:r w:rsidR="003E3D1C" w:rsidRPr="006A1797">
                          <w:rPr>
                            <w:rFonts w:ascii="Arial" w:hAnsi="Arial" w:cs="Arial"/>
                            <w:sz w:val="20"/>
                            <w:szCs w:val="20"/>
                            <w:lang w:val="el-GR"/>
                          </w:rPr>
                          <w:t>61</w:t>
                        </w:r>
                        <w:r w:rsidR="009F73D8">
                          <w:rPr>
                            <w:rFonts w:ascii="Arial" w:hAnsi="Arial" w:cs="Arial"/>
                            <w:sz w:val="20"/>
                            <w:szCs w:val="20"/>
                            <w:lang w:val="el-GR"/>
                          </w:rPr>
                          <w:t xml:space="preserve"> για το α’ εξάμηνο 2024</w:t>
                        </w:r>
                        <w:r w:rsidR="00D313B7" w:rsidRPr="006A1797">
                          <w:rPr>
                            <w:rFonts w:ascii="Arial" w:hAnsi="Arial" w:cs="Arial"/>
                            <w:sz w:val="20"/>
                            <w:szCs w:val="20"/>
                            <w:lang w:val="el-GR"/>
                          </w:rPr>
                          <w:t xml:space="preserve"> </w:t>
                        </w:r>
                        <w:r w:rsidR="00D313B7">
                          <w:rPr>
                            <w:rFonts w:ascii="Arial" w:hAnsi="Arial" w:cs="Arial"/>
                            <w:sz w:val="20"/>
                            <w:szCs w:val="20"/>
                            <w:lang w:val="el-GR"/>
                          </w:rPr>
                          <w:t>(σε σύγκριση με €0.49 για το α’ εξάμηνο 2023)</w:t>
                        </w:r>
                      </w:p>
                      <w:p w14:paraId="44FAE904" w14:textId="77777777" w:rsidR="009A0635" w:rsidRPr="005B7A39" w:rsidRDefault="009A0635" w:rsidP="00A21CB9">
                        <w:pPr>
                          <w:spacing w:after="60"/>
                          <w:ind w:right="-79"/>
                          <w:jc w:val="both"/>
                          <w:rPr>
                            <w:rFonts w:ascii="Arial" w:hAnsi="Arial" w:cs="Arial"/>
                            <w:sz w:val="14"/>
                            <w:szCs w:val="14"/>
                            <w:lang w:val="el-GR"/>
                          </w:rPr>
                        </w:pPr>
                      </w:p>
                      <w:p w14:paraId="68CA0C60" w14:textId="77777777" w:rsidR="009A0635" w:rsidRPr="006A1797" w:rsidRDefault="009A0635" w:rsidP="00A21CB9">
                        <w:pPr>
                          <w:spacing w:after="60"/>
                          <w:ind w:right="-81" w:hanging="42"/>
                          <w:rPr>
                            <w:rFonts w:ascii="Arial" w:hAnsi="Arial" w:cs="Arial"/>
                            <w:b/>
                            <w:lang w:val="el-GR"/>
                          </w:rPr>
                        </w:pPr>
                        <w:r w:rsidRPr="006A1797">
                          <w:rPr>
                            <w:rFonts w:ascii="Arial" w:hAnsi="Arial" w:cs="Arial"/>
                            <w:b/>
                            <w:lang w:val="el-GR"/>
                          </w:rPr>
                          <w:t>Ρευστότητα και ανθεκτικότητα ισολογισμού</w:t>
                        </w:r>
                      </w:p>
                      <w:p w14:paraId="2A49BB7B" w14:textId="7A8B8BB2" w:rsidR="009A0635" w:rsidRPr="006A1797" w:rsidRDefault="009A0635" w:rsidP="00A21CB9">
                        <w:pPr>
                          <w:pStyle w:val="ListParagraph"/>
                          <w:numPr>
                            <w:ilvl w:val="0"/>
                            <w:numId w:val="4"/>
                          </w:numPr>
                          <w:spacing w:after="60"/>
                          <w:ind w:left="241" w:right="-79" w:hanging="241"/>
                          <w:jc w:val="both"/>
                          <w:rPr>
                            <w:rFonts w:ascii="Arial" w:hAnsi="Arial" w:cs="Arial"/>
                            <w:sz w:val="20"/>
                            <w:szCs w:val="20"/>
                            <w:lang w:val="el-GR"/>
                          </w:rPr>
                        </w:pPr>
                        <w:r w:rsidRPr="006A1797">
                          <w:rPr>
                            <w:rFonts w:ascii="Arial" w:hAnsi="Arial" w:cs="Arial"/>
                            <w:sz w:val="20"/>
                            <w:szCs w:val="20"/>
                            <w:lang w:val="el-GR"/>
                          </w:rPr>
                          <w:t xml:space="preserve">Ποσοστό ΜΕΔ προς δάνεια στο </w:t>
                        </w:r>
                        <w:r w:rsidR="005E725B" w:rsidRPr="006A1797">
                          <w:rPr>
                            <w:rFonts w:ascii="Arial" w:hAnsi="Arial" w:cs="Arial"/>
                            <w:sz w:val="20"/>
                            <w:szCs w:val="20"/>
                            <w:lang w:val="el-GR"/>
                          </w:rPr>
                          <w:t>2</w:t>
                        </w:r>
                        <w:r w:rsidRPr="006A1797">
                          <w:rPr>
                            <w:rFonts w:ascii="Arial" w:hAnsi="Arial" w:cs="Arial"/>
                            <w:sz w:val="20"/>
                            <w:szCs w:val="20"/>
                            <w:lang w:val="el-GR"/>
                          </w:rPr>
                          <w:t>.</w:t>
                        </w:r>
                        <w:r w:rsidR="005E725B" w:rsidRPr="006A1797">
                          <w:rPr>
                            <w:rFonts w:ascii="Arial" w:hAnsi="Arial" w:cs="Arial"/>
                            <w:sz w:val="20"/>
                            <w:szCs w:val="20"/>
                            <w:lang w:val="el-GR"/>
                          </w:rPr>
                          <w:t>8</w:t>
                        </w:r>
                        <w:r w:rsidRPr="006A1797">
                          <w:rPr>
                            <w:rFonts w:ascii="Arial" w:hAnsi="Arial" w:cs="Arial"/>
                            <w:sz w:val="20"/>
                            <w:szCs w:val="20"/>
                            <w:lang w:val="el-GR"/>
                          </w:rPr>
                          <w:t>% (</w:t>
                        </w:r>
                        <w:r w:rsidR="002D5796" w:rsidRPr="006A1797">
                          <w:rPr>
                            <w:rFonts w:ascii="Arial" w:hAnsi="Arial" w:cs="Arial"/>
                            <w:sz w:val="20"/>
                            <w:szCs w:val="20"/>
                            <w:lang w:val="el-GR"/>
                          </w:rPr>
                          <w:t>0.</w:t>
                        </w:r>
                        <w:r w:rsidR="005E725B" w:rsidRPr="006A1797">
                          <w:rPr>
                            <w:rFonts w:ascii="Arial" w:hAnsi="Arial" w:cs="Arial"/>
                            <w:sz w:val="20"/>
                            <w:szCs w:val="20"/>
                            <w:lang w:val="el-GR"/>
                          </w:rPr>
                          <w:t>4</w:t>
                        </w:r>
                        <w:r w:rsidRPr="006A1797">
                          <w:rPr>
                            <w:rFonts w:ascii="Arial" w:hAnsi="Arial" w:cs="Arial"/>
                            <w:sz w:val="20"/>
                            <w:szCs w:val="20"/>
                            <w:lang w:val="el-GR"/>
                          </w:rPr>
                          <w:t>% μετά τις πιστωτικές ζημιές),</w:t>
                        </w:r>
                        <w:r w:rsidR="002D5796" w:rsidRPr="006A1797">
                          <w:rPr>
                            <w:rFonts w:ascii="Arial" w:hAnsi="Arial" w:cs="Arial"/>
                            <w:sz w:val="20"/>
                            <w:szCs w:val="20"/>
                            <w:lang w:val="el-GR"/>
                          </w:rPr>
                          <w:t xml:space="preserve"> </w:t>
                        </w:r>
                        <w:r w:rsidRPr="006A1797">
                          <w:rPr>
                            <w:rFonts w:ascii="Arial" w:hAnsi="Arial" w:cs="Arial"/>
                            <w:sz w:val="20"/>
                            <w:szCs w:val="20"/>
                            <w:lang w:val="el-GR"/>
                          </w:rPr>
                          <w:t xml:space="preserve">μειωμένο κατά </w:t>
                        </w:r>
                        <w:r w:rsidR="005E725B" w:rsidRPr="006A1797">
                          <w:rPr>
                            <w:rFonts w:ascii="Arial" w:hAnsi="Arial" w:cs="Arial"/>
                            <w:sz w:val="20"/>
                            <w:szCs w:val="20"/>
                            <w:lang w:val="el-GR"/>
                          </w:rPr>
                          <w:t xml:space="preserve">60 </w:t>
                        </w:r>
                        <w:r w:rsidRPr="006A1797">
                          <w:rPr>
                            <w:rFonts w:ascii="Arial" w:hAnsi="Arial" w:cs="Arial"/>
                            <w:sz w:val="20"/>
                            <w:szCs w:val="20"/>
                            <w:lang w:val="el-GR"/>
                          </w:rPr>
                          <w:t xml:space="preserve">μ.β. σε </w:t>
                        </w:r>
                        <w:r w:rsidR="00510864">
                          <w:rPr>
                            <w:rFonts w:ascii="Arial" w:hAnsi="Arial" w:cs="Arial"/>
                            <w:sz w:val="20"/>
                            <w:szCs w:val="20"/>
                            <w:lang w:val="el-GR"/>
                          </w:rPr>
                          <w:t>τριμηνιαία</w:t>
                        </w:r>
                        <w:r w:rsidR="005E725B" w:rsidRPr="006A1797">
                          <w:rPr>
                            <w:rFonts w:ascii="Arial" w:hAnsi="Arial" w:cs="Arial"/>
                            <w:sz w:val="20"/>
                            <w:szCs w:val="20"/>
                            <w:lang w:val="el-GR"/>
                          </w:rPr>
                          <w:t xml:space="preserve"> </w:t>
                        </w:r>
                        <w:r w:rsidRPr="006A1797">
                          <w:rPr>
                            <w:rFonts w:ascii="Arial" w:hAnsi="Arial" w:cs="Arial"/>
                            <w:sz w:val="20"/>
                            <w:szCs w:val="20"/>
                            <w:lang w:val="el-GR"/>
                          </w:rPr>
                          <w:t>βάση</w:t>
                        </w:r>
                      </w:p>
                      <w:p w14:paraId="69AA3A25" w14:textId="08009342" w:rsidR="009A0635" w:rsidRPr="006A1797" w:rsidRDefault="009A0635" w:rsidP="00A21CB9">
                        <w:pPr>
                          <w:pStyle w:val="ListParagraph"/>
                          <w:numPr>
                            <w:ilvl w:val="0"/>
                            <w:numId w:val="4"/>
                          </w:numPr>
                          <w:spacing w:after="60"/>
                          <w:ind w:left="241" w:right="-79" w:hanging="241"/>
                          <w:jc w:val="both"/>
                          <w:rPr>
                            <w:rFonts w:ascii="Arial" w:hAnsi="Arial" w:cs="Arial"/>
                            <w:sz w:val="20"/>
                            <w:szCs w:val="20"/>
                            <w:lang w:val="el-GR"/>
                          </w:rPr>
                        </w:pPr>
                        <w:r w:rsidRPr="006A1797">
                          <w:rPr>
                            <w:rFonts w:ascii="Arial" w:hAnsi="Arial" w:cs="Arial"/>
                            <w:sz w:val="20"/>
                            <w:szCs w:val="20"/>
                            <w:lang w:val="el-GR"/>
                          </w:rPr>
                          <w:t xml:space="preserve">Δείκτης κάλυψης ΜΕΔ ύψους </w:t>
                        </w:r>
                        <w:r w:rsidR="005E725B" w:rsidRPr="006A1797">
                          <w:rPr>
                            <w:rFonts w:ascii="Arial" w:hAnsi="Arial" w:cs="Arial"/>
                            <w:sz w:val="20"/>
                            <w:szCs w:val="20"/>
                            <w:lang w:val="el-GR"/>
                          </w:rPr>
                          <w:t>85</w:t>
                        </w:r>
                        <w:r w:rsidRPr="006A1797">
                          <w:rPr>
                            <w:rFonts w:ascii="Arial" w:hAnsi="Arial" w:cs="Arial"/>
                            <w:sz w:val="20"/>
                            <w:szCs w:val="20"/>
                            <w:lang w:val="el-GR"/>
                          </w:rPr>
                          <w:t>%</w:t>
                        </w:r>
                        <w:r w:rsidR="005E725B" w:rsidRPr="006A1797">
                          <w:rPr>
                            <w:rFonts w:ascii="Arial" w:hAnsi="Arial" w:cs="Arial"/>
                            <w:sz w:val="20"/>
                            <w:szCs w:val="20"/>
                            <w:lang w:val="el-GR"/>
                          </w:rPr>
                          <w:t xml:space="preserve">. </w:t>
                        </w:r>
                        <w:r w:rsidRPr="006A1797">
                          <w:rPr>
                            <w:rFonts w:ascii="Arial" w:hAnsi="Arial" w:cs="Arial"/>
                            <w:sz w:val="20"/>
                            <w:szCs w:val="20"/>
                            <w:lang w:val="el-GR"/>
                          </w:rPr>
                          <w:t xml:space="preserve">Χρέωση πιστωτικών ζημιών δανείων ύψους </w:t>
                        </w:r>
                        <w:r w:rsidR="005E725B" w:rsidRPr="006A1797">
                          <w:rPr>
                            <w:rFonts w:ascii="Arial" w:hAnsi="Arial" w:cs="Arial"/>
                            <w:sz w:val="20"/>
                            <w:szCs w:val="20"/>
                            <w:lang w:val="el-GR"/>
                          </w:rPr>
                          <w:t xml:space="preserve">31 </w:t>
                        </w:r>
                        <w:r w:rsidRPr="006A1797">
                          <w:rPr>
                            <w:rFonts w:ascii="Arial" w:hAnsi="Arial" w:cs="Arial"/>
                            <w:sz w:val="20"/>
                            <w:szCs w:val="20"/>
                            <w:lang w:val="el-GR"/>
                          </w:rPr>
                          <w:t>μ.β.</w:t>
                        </w:r>
                      </w:p>
                      <w:p w14:paraId="53323576" w14:textId="02F18789" w:rsidR="008165C1" w:rsidRPr="006A1797" w:rsidRDefault="009A0635" w:rsidP="00E16774">
                        <w:pPr>
                          <w:pStyle w:val="ListParagraph"/>
                          <w:numPr>
                            <w:ilvl w:val="0"/>
                            <w:numId w:val="4"/>
                          </w:numPr>
                          <w:spacing w:after="60"/>
                          <w:ind w:left="241" w:right="-79" w:hanging="241"/>
                          <w:jc w:val="both"/>
                          <w:rPr>
                            <w:rFonts w:ascii="Arial" w:hAnsi="Arial" w:cs="Arial"/>
                            <w:sz w:val="20"/>
                            <w:szCs w:val="20"/>
                            <w:lang w:val="el-GR"/>
                          </w:rPr>
                        </w:pPr>
                        <w:r w:rsidRPr="006A1797">
                          <w:rPr>
                            <w:rFonts w:ascii="Arial" w:hAnsi="Arial" w:cs="Arial"/>
                            <w:sz w:val="20"/>
                            <w:szCs w:val="20"/>
                            <w:lang w:val="el-GR"/>
                          </w:rPr>
                          <w:t>Καταθετική βάση, στην πλειονότητα της λιανική, ύψους €19.</w:t>
                        </w:r>
                        <w:r w:rsidR="005E725B" w:rsidRPr="006A1797">
                          <w:rPr>
                            <w:rFonts w:ascii="Arial" w:hAnsi="Arial" w:cs="Arial"/>
                            <w:sz w:val="20"/>
                            <w:szCs w:val="20"/>
                            <w:lang w:val="el-GR"/>
                          </w:rPr>
                          <w:t xml:space="preserve">7 </w:t>
                        </w:r>
                        <w:r w:rsidRPr="006A1797">
                          <w:rPr>
                            <w:rFonts w:ascii="Arial" w:hAnsi="Arial" w:cs="Arial"/>
                            <w:sz w:val="20"/>
                            <w:szCs w:val="20"/>
                            <w:lang w:val="el-GR"/>
                          </w:rPr>
                          <w:t>δις,</w:t>
                        </w:r>
                        <w:r w:rsidR="005E725B" w:rsidRPr="006A1797">
                          <w:rPr>
                            <w:rFonts w:ascii="Arial" w:hAnsi="Arial" w:cs="Arial"/>
                            <w:sz w:val="20"/>
                            <w:szCs w:val="20"/>
                            <w:lang w:val="el-GR"/>
                          </w:rPr>
                          <w:t xml:space="preserve"> </w:t>
                        </w:r>
                        <w:r w:rsidRPr="006A1797">
                          <w:rPr>
                            <w:rFonts w:ascii="Arial" w:hAnsi="Arial" w:cs="Arial"/>
                            <w:sz w:val="20"/>
                            <w:szCs w:val="20"/>
                            <w:lang w:val="el-GR"/>
                          </w:rPr>
                          <w:t xml:space="preserve">αυξημένη κατά </w:t>
                        </w:r>
                        <w:r w:rsidR="005E725B" w:rsidRPr="006A1797">
                          <w:rPr>
                            <w:rFonts w:ascii="Arial" w:hAnsi="Arial" w:cs="Arial"/>
                            <w:sz w:val="20"/>
                            <w:szCs w:val="20"/>
                            <w:lang w:val="el-GR"/>
                          </w:rPr>
                          <w:t>3</w:t>
                        </w:r>
                        <w:r w:rsidRPr="006A1797">
                          <w:rPr>
                            <w:rFonts w:ascii="Arial" w:hAnsi="Arial" w:cs="Arial"/>
                            <w:sz w:val="20"/>
                            <w:szCs w:val="20"/>
                            <w:lang w:val="el-GR"/>
                          </w:rPr>
                          <w:t>% σε ετήσια βάση</w:t>
                        </w:r>
                        <w:r w:rsidR="005E725B" w:rsidRPr="006A1797">
                          <w:rPr>
                            <w:rFonts w:ascii="Arial" w:hAnsi="Arial" w:cs="Arial"/>
                            <w:sz w:val="20"/>
                            <w:szCs w:val="20"/>
                            <w:lang w:val="el-GR"/>
                          </w:rPr>
                          <w:t xml:space="preserve"> και 2% σε τριμηνιαία βάση</w:t>
                        </w:r>
                      </w:p>
                      <w:p w14:paraId="5736B7F6" w14:textId="411C7191" w:rsidR="008165C1" w:rsidRPr="006A1797" w:rsidRDefault="009A0635" w:rsidP="002354D5">
                        <w:pPr>
                          <w:pStyle w:val="ListParagraph"/>
                          <w:numPr>
                            <w:ilvl w:val="0"/>
                            <w:numId w:val="4"/>
                          </w:numPr>
                          <w:spacing w:after="60"/>
                          <w:ind w:left="241" w:right="-79" w:hanging="241"/>
                          <w:jc w:val="both"/>
                          <w:rPr>
                            <w:rFonts w:ascii="Arial" w:hAnsi="Arial" w:cs="Arial"/>
                            <w:sz w:val="20"/>
                            <w:szCs w:val="20"/>
                            <w:lang w:val="el-GR"/>
                          </w:rPr>
                        </w:pPr>
                        <w:r w:rsidRPr="006A1797">
                          <w:rPr>
                            <w:rFonts w:ascii="Arial" w:hAnsi="Arial" w:cs="Arial"/>
                            <w:sz w:val="20"/>
                            <w:szCs w:val="20"/>
                            <w:lang w:val="el-GR"/>
                          </w:rPr>
                          <w:t>Υψηλή ρευστότητα στον ισολογισμό με €</w:t>
                        </w:r>
                        <w:r w:rsidR="00E16774" w:rsidRPr="006A1797">
                          <w:rPr>
                            <w:rFonts w:ascii="Arial" w:hAnsi="Arial" w:cs="Arial"/>
                            <w:sz w:val="20"/>
                            <w:szCs w:val="20"/>
                            <w:lang w:val="el-GR"/>
                          </w:rPr>
                          <w:t>7</w:t>
                        </w:r>
                        <w:r w:rsidRPr="006A1797">
                          <w:rPr>
                            <w:rFonts w:ascii="Arial" w:hAnsi="Arial" w:cs="Arial"/>
                            <w:sz w:val="20"/>
                            <w:szCs w:val="20"/>
                            <w:lang w:val="el-GR"/>
                          </w:rPr>
                          <w:t>.</w:t>
                        </w:r>
                        <w:r w:rsidR="005E725B" w:rsidRPr="006A1797">
                          <w:rPr>
                            <w:rFonts w:ascii="Arial" w:hAnsi="Arial" w:cs="Arial"/>
                            <w:sz w:val="20"/>
                            <w:szCs w:val="20"/>
                            <w:lang w:val="el-GR"/>
                          </w:rPr>
                          <w:t xml:space="preserve">3 </w:t>
                        </w:r>
                        <w:r w:rsidRPr="006A1797">
                          <w:rPr>
                            <w:rFonts w:ascii="Arial" w:hAnsi="Arial" w:cs="Arial"/>
                            <w:sz w:val="20"/>
                            <w:szCs w:val="20"/>
                            <w:lang w:val="el-GR"/>
                          </w:rPr>
                          <w:t>δις τοποθετημένα στην ΕΚΤ</w:t>
                        </w:r>
                        <w:r w:rsidR="00E16774" w:rsidRPr="006A1797">
                          <w:rPr>
                            <w:rFonts w:ascii="Arial" w:hAnsi="Arial" w:cs="Arial"/>
                            <w:sz w:val="20"/>
                            <w:szCs w:val="20"/>
                            <w:lang w:val="el-GR"/>
                          </w:rPr>
                          <w:t>.</w:t>
                        </w:r>
                        <w:r w:rsidR="00280550" w:rsidRPr="006A1797">
                          <w:rPr>
                            <w:rFonts w:ascii="Arial" w:hAnsi="Arial" w:cs="Arial"/>
                            <w:sz w:val="20"/>
                            <w:szCs w:val="20"/>
                            <w:lang w:val="el-GR"/>
                          </w:rPr>
                          <w:t xml:space="preserve"> </w:t>
                        </w:r>
                        <w:r w:rsidR="005E725B" w:rsidRPr="005E725B">
                          <w:rPr>
                            <w:rFonts w:ascii="Arial" w:hAnsi="Arial" w:cs="Arial"/>
                            <w:sz w:val="20"/>
                            <w:szCs w:val="20"/>
                            <w:lang w:val="el-GR"/>
                          </w:rPr>
                          <w:t xml:space="preserve">Πλήρης </w:t>
                        </w:r>
                        <w:r w:rsidR="005E725B" w:rsidRPr="006A1797">
                          <w:rPr>
                            <w:rFonts w:ascii="Arial" w:hAnsi="Arial" w:cs="Arial"/>
                            <w:sz w:val="20"/>
                            <w:szCs w:val="20"/>
                            <w:lang w:val="el-GR"/>
                          </w:rPr>
                          <w:t>α</w:t>
                        </w:r>
                        <w:r w:rsidR="008165C1" w:rsidRPr="006A1797">
                          <w:rPr>
                            <w:rFonts w:ascii="Arial" w:hAnsi="Arial" w:cs="Arial"/>
                            <w:sz w:val="20"/>
                            <w:szCs w:val="20"/>
                            <w:lang w:val="el-GR"/>
                          </w:rPr>
                          <w:t>ποπληρωμή δανεισμού ΣΠΠΜΑ</w:t>
                        </w:r>
                        <w:r w:rsidR="00592CB9" w:rsidRPr="006A1797">
                          <w:rPr>
                            <w:rFonts w:ascii="Arial" w:hAnsi="Arial" w:cs="Arial"/>
                            <w:sz w:val="20"/>
                            <w:szCs w:val="20"/>
                            <w:vertAlign w:val="superscript"/>
                            <w:lang w:val="el-GR"/>
                          </w:rPr>
                          <w:t>3</w:t>
                        </w:r>
                        <w:r w:rsidR="00AE059B" w:rsidRPr="006A1797">
                          <w:rPr>
                            <w:rFonts w:ascii="Arial" w:hAnsi="Arial" w:cs="Arial"/>
                            <w:sz w:val="20"/>
                            <w:szCs w:val="20"/>
                            <w:lang w:val="el-GR"/>
                          </w:rPr>
                          <w:t xml:space="preserve"> </w:t>
                        </w:r>
                        <w:r w:rsidR="005E725B" w:rsidRPr="006A1797">
                          <w:rPr>
                            <w:rFonts w:ascii="Arial" w:hAnsi="Arial" w:cs="Arial"/>
                            <w:sz w:val="20"/>
                            <w:szCs w:val="20"/>
                            <w:lang w:val="el-GR"/>
                          </w:rPr>
                          <w:t>τον Ιούνιο</w:t>
                        </w:r>
                        <w:r w:rsidR="008165C1" w:rsidRPr="006A1797">
                          <w:rPr>
                            <w:rFonts w:ascii="Arial" w:hAnsi="Arial" w:cs="Arial"/>
                            <w:sz w:val="20"/>
                            <w:szCs w:val="20"/>
                            <w:lang w:val="el-GR"/>
                          </w:rPr>
                          <w:t xml:space="preserve"> 2024</w:t>
                        </w:r>
                      </w:p>
                      <w:p w14:paraId="29114FB6" w14:textId="00533EA3" w:rsidR="008165C1" w:rsidRPr="006A1797" w:rsidRDefault="004473CE" w:rsidP="002354D5">
                        <w:pPr>
                          <w:pStyle w:val="ListParagraph"/>
                          <w:numPr>
                            <w:ilvl w:val="0"/>
                            <w:numId w:val="4"/>
                          </w:numPr>
                          <w:spacing w:after="60"/>
                          <w:ind w:left="241" w:right="-79" w:hanging="241"/>
                          <w:jc w:val="both"/>
                          <w:rPr>
                            <w:rFonts w:ascii="Arial" w:hAnsi="Arial" w:cs="Arial"/>
                            <w:sz w:val="20"/>
                            <w:szCs w:val="20"/>
                            <w:lang w:val="el-GR"/>
                          </w:rPr>
                        </w:pPr>
                        <w:r w:rsidRPr="006A1797">
                          <w:rPr>
                            <w:rFonts w:ascii="Arial" w:hAnsi="Arial" w:cs="Arial"/>
                            <w:sz w:val="20"/>
                            <w:szCs w:val="20"/>
                            <w:lang w:val="el-GR"/>
                          </w:rPr>
                          <w:t>Συμμόρφωση με την τελική ελάχιστη απαίτηση</w:t>
                        </w:r>
                        <w:r w:rsidR="006010BE" w:rsidRPr="006A1797">
                          <w:rPr>
                            <w:rFonts w:ascii="Arial" w:hAnsi="Arial" w:cs="Arial"/>
                            <w:sz w:val="20"/>
                            <w:szCs w:val="20"/>
                            <w:lang w:val="el-GR"/>
                          </w:rPr>
                          <w:t xml:space="preserve"> του Δεκέμβ</w:t>
                        </w:r>
                        <w:r w:rsidR="00946880">
                          <w:rPr>
                            <w:rFonts w:ascii="Arial" w:hAnsi="Arial" w:cs="Arial"/>
                            <w:sz w:val="20"/>
                            <w:szCs w:val="20"/>
                            <w:lang w:val="el-GR"/>
                          </w:rPr>
                          <w:t>ρη</w:t>
                        </w:r>
                        <w:r w:rsidR="006010BE" w:rsidRPr="006A1797">
                          <w:rPr>
                            <w:rFonts w:ascii="Arial" w:hAnsi="Arial" w:cs="Arial"/>
                            <w:sz w:val="20"/>
                            <w:szCs w:val="20"/>
                            <w:lang w:val="el-GR"/>
                          </w:rPr>
                          <w:t xml:space="preserve"> 2024</w:t>
                        </w:r>
                        <w:r w:rsidRPr="006A1797">
                          <w:rPr>
                            <w:rFonts w:ascii="Arial" w:hAnsi="Arial" w:cs="Arial"/>
                            <w:sz w:val="20"/>
                            <w:szCs w:val="20"/>
                            <w:lang w:val="el-GR"/>
                          </w:rPr>
                          <w:t xml:space="preserve"> για ίδια κεφάλαια και επιλέξιμες υποχρεώσεις (MREL), μετά την επιτυχή</w:t>
                        </w:r>
                        <w:r w:rsidR="00A90F96" w:rsidRPr="006A1797">
                          <w:rPr>
                            <w:rFonts w:ascii="Arial" w:hAnsi="Arial" w:cs="Arial"/>
                            <w:sz w:val="20"/>
                            <w:szCs w:val="20"/>
                            <w:lang w:val="el-GR"/>
                          </w:rPr>
                          <w:t xml:space="preserve"> έκδοση</w:t>
                        </w:r>
                        <w:r w:rsidR="006010BE" w:rsidRPr="006A1797">
                          <w:rPr>
                            <w:rFonts w:ascii="Arial" w:hAnsi="Arial" w:cs="Arial"/>
                            <w:sz w:val="20"/>
                            <w:szCs w:val="20"/>
                            <w:lang w:val="el-GR"/>
                          </w:rPr>
                          <w:t xml:space="preserve"> τον Απρίλιο 2024</w:t>
                        </w:r>
                        <w:r w:rsidR="00A90F96" w:rsidRPr="006A1797">
                          <w:rPr>
                            <w:rFonts w:ascii="Arial" w:hAnsi="Arial" w:cs="Arial"/>
                            <w:sz w:val="20"/>
                            <w:szCs w:val="20"/>
                            <w:lang w:val="el-GR"/>
                          </w:rPr>
                          <w:t xml:space="preserve"> Πράσινου Ομολόγου Υψηλής Εξοφλητικής Προτεραιότητας ύψους €300 εκατ. </w:t>
                        </w:r>
                      </w:p>
                      <w:p w14:paraId="60C1F850" w14:textId="77777777" w:rsidR="009A0635" w:rsidRPr="006A1797" w:rsidRDefault="009A0635" w:rsidP="002354D5">
                        <w:pPr>
                          <w:pStyle w:val="ListParagraph"/>
                          <w:rPr>
                            <w:rFonts w:ascii="Arial" w:hAnsi="Arial" w:cs="Arial"/>
                            <w:lang w:val="el-GR"/>
                          </w:rPr>
                        </w:pPr>
                      </w:p>
                      <w:p w14:paraId="0C5FFF04" w14:textId="77777777" w:rsidR="009A0635" w:rsidRPr="006A1797" w:rsidRDefault="009A0635" w:rsidP="00A21CB9">
                        <w:pPr>
                          <w:spacing w:after="60"/>
                          <w:ind w:right="-81" w:hanging="42"/>
                          <w:rPr>
                            <w:rFonts w:ascii="Arial" w:hAnsi="Arial" w:cs="Arial"/>
                            <w:b/>
                            <w:lang w:val="el-GR"/>
                          </w:rPr>
                        </w:pPr>
                        <w:r w:rsidRPr="006A1797">
                          <w:rPr>
                            <w:rFonts w:ascii="Arial" w:hAnsi="Arial" w:cs="Arial"/>
                            <w:b/>
                            <w:lang w:val="el-GR"/>
                          </w:rPr>
                          <w:t>Ισχυρή κεφαλαιακή θέση και επικέντρωση στη δημιουργία αξίας για τους μετόχους</w:t>
                        </w:r>
                      </w:p>
                      <w:p w14:paraId="68004F76" w14:textId="6D7D709A" w:rsidR="00760575" w:rsidRPr="006A1797" w:rsidRDefault="009A0635" w:rsidP="00E83230">
                        <w:pPr>
                          <w:pStyle w:val="ListParagraph"/>
                          <w:numPr>
                            <w:ilvl w:val="0"/>
                            <w:numId w:val="4"/>
                          </w:numPr>
                          <w:spacing w:after="60"/>
                          <w:ind w:left="241" w:right="-79" w:hanging="241"/>
                          <w:jc w:val="both"/>
                          <w:rPr>
                            <w:rFonts w:ascii="Arial" w:hAnsi="Arial" w:cs="Arial"/>
                            <w:sz w:val="20"/>
                            <w:szCs w:val="20"/>
                            <w:lang w:val="el-GR"/>
                          </w:rPr>
                        </w:pPr>
                        <w:r w:rsidRPr="006A1797">
                          <w:rPr>
                            <w:rFonts w:ascii="Arial" w:hAnsi="Arial" w:cs="Arial"/>
                            <w:sz w:val="20"/>
                            <w:szCs w:val="20"/>
                            <w:lang w:val="el-GR"/>
                          </w:rPr>
                          <w:t>Δείκτης Κεφαλαίου Κοινών Μετοχών Κατηγορίας 1 (CET1) και Συνολικός Δείκτης Κεφαλαιακής Επάρκειας</w:t>
                        </w:r>
                        <w:r w:rsidR="00730655" w:rsidRPr="006A1797">
                          <w:rPr>
                            <w:rFonts w:ascii="Arial" w:hAnsi="Arial" w:cs="Arial"/>
                            <w:sz w:val="20"/>
                            <w:szCs w:val="20"/>
                            <w:lang w:val="el-GR"/>
                          </w:rPr>
                          <w:t xml:space="preserve"> </w:t>
                        </w:r>
                        <w:bookmarkStart w:id="1" w:name="_Hlk162348348"/>
                        <w:bookmarkStart w:id="2" w:name="_Hlk162343726"/>
                        <w:r w:rsidR="00573323" w:rsidRPr="006A1797">
                          <w:rPr>
                            <w:rFonts w:ascii="Arial" w:hAnsi="Arial" w:cs="Arial"/>
                            <w:sz w:val="20"/>
                            <w:szCs w:val="20"/>
                            <w:lang w:val="el-GR"/>
                          </w:rPr>
                          <w:t>ύψους</w:t>
                        </w:r>
                        <w:r w:rsidR="00760575" w:rsidRPr="006A1797">
                          <w:rPr>
                            <w:rFonts w:ascii="Arial" w:hAnsi="Arial" w:cs="Arial"/>
                            <w:sz w:val="20"/>
                            <w:szCs w:val="20"/>
                            <w:lang w:val="el-GR"/>
                          </w:rPr>
                          <w:t xml:space="preserve"> </w:t>
                        </w:r>
                        <w:r w:rsidR="00573323" w:rsidRPr="006A1797">
                          <w:rPr>
                            <w:rFonts w:ascii="Arial" w:hAnsi="Arial" w:cs="Arial"/>
                            <w:sz w:val="20"/>
                            <w:szCs w:val="20"/>
                            <w:lang w:val="el-GR"/>
                          </w:rPr>
                          <w:t>18</w:t>
                        </w:r>
                        <w:r w:rsidR="00760575" w:rsidRPr="006A1797">
                          <w:rPr>
                            <w:rFonts w:ascii="Arial" w:hAnsi="Arial" w:cs="Arial"/>
                            <w:sz w:val="20"/>
                            <w:szCs w:val="20"/>
                            <w:lang w:val="el-GR"/>
                          </w:rPr>
                          <w:t>.</w:t>
                        </w:r>
                        <w:r w:rsidR="00573323" w:rsidRPr="006A1797">
                          <w:rPr>
                            <w:rFonts w:ascii="Arial" w:hAnsi="Arial" w:cs="Arial"/>
                            <w:sz w:val="20"/>
                            <w:szCs w:val="20"/>
                            <w:lang w:val="el-GR"/>
                          </w:rPr>
                          <w:t>3% και 23.3</w:t>
                        </w:r>
                        <w:r w:rsidR="00760575" w:rsidRPr="006A1797">
                          <w:rPr>
                            <w:rFonts w:ascii="Arial" w:hAnsi="Arial" w:cs="Arial"/>
                            <w:sz w:val="20"/>
                            <w:szCs w:val="20"/>
                            <w:lang w:val="el-GR"/>
                          </w:rPr>
                          <w:t>%</w:t>
                        </w:r>
                        <w:r w:rsidR="00573323" w:rsidRPr="006A1797">
                          <w:rPr>
                            <w:rFonts w:ascii="Arial" w:hAnsi="Arial" w:cs="Arial"/>
                            <w:sz w:val="20"/>
                            <w:szCs w:val="20"/>
                            <w:lang w:val="el-GR"/>
                          </w:rPr>
                          <w:t xml:space="preserve"> αντίστοιχα</w:t>
                        </w:r>
                      </w:p>
                      <w:bookmarkEnd w:id="1"/>
                      <w:bookmarkEnd w:id="2"/>
                      <w:p w14:paraId="3F0399BD" w14:textId="40DAA872" w:rsidR="009A0635" w:rsidRPr="006A1797" w:rsidRDefault="00573323" w:rsidP="00510864">
                        <w:pPr>
                          <w:pStyle w:val="ListParagraph"/>
                          <w:numPr>
                            <w:ilvl w:val="0"/>
                            <w:numId w:val="4"/>
                          </w:numPr>
                          <w:spacing w:after="60"/>
                          <w:ind w:left="241" w:right="-79" w:hanging="241"/>
                          <w:jc w:val="both"/>
                          <w:rPr>
                            <w:rFonts w:ascii="Arial" w:hAnsi="Arial" w:cs="Arial"/>
                            <w:sz w:val="20"/>
                            <w:szCs w:val="20"/>
                            <w:lang w:val="el-GR"/>
                          </w:rPr>
                        </w:pPr>
                        <w:r w:rsidRPr="006A1797">
                          <w:rPr>
                            <w:rFonts w:ascii="Arial" w:hAnsi="Arial" w:cs="Arial"/>
                            <w:sz w:val="20"/>
                            <w:szCs w:val="20"/>
                            <w:lang w:val="el-GR"/>
                          </w:rPr>
                          <w:t xml:space="preserve">Δημιουργία </w:t>
                        </w:r>
                        <w:r w:rsidR="00A92737">
                          <w:rPr>
                            <w:rFonts w:ascii="Arial" w:hAnsi="Arial" w:cs="Arial"/>
                            <w:sz w:val="20"/>
                            <w:szCs w:val="20"/>
                            <w:lang w:val="el-GR"/>
                          </w:rPr>
                          <w:t>κεφαλαίων (</w:t>
                        </w:r>
                        <w:r w:rsidRPr="00510864">
                          <w:rPr>
                            <w:rFonts w:ascii="Arial" w:hAnsi="Arial" w:cs="Arial"/>
                            <w:sz w:val="20"/>
                            <w:szCs w:val="20"/>
                            <w:lang w:val="el-GR"/>
                          </w:rPr>
                          <w:t>CET1)</w:t>
                        </w:r>
                        <w:r w:rsidR="005B7A39" w:rsidRPr="005B7A39">
                          <w:rPr>
                            <w:rFonts w:ascii="Arial" w:hAnsi="Arial" w:cs="Arial"/>
                            <w:sz w:val="20"/>
                            <w:szCs w:val="20"/>
                            <w:vertAlign w:val="superscript"/>
                            <w:lang w:val="el-GR"/>
                          </w:rPr>
                          <w:t>4</w:t>
                        </w:r>
                        <w:r w:rsidR="009A0635" w:rsidRPr="006A1797">
                          <w:rPr>
                            <w:rFonts w:ascii="Arial" w:hAnsi="Arial" w:cs="Arial"/>
                            <w:sz w:val="20"/>
                            <w:szCs w:val="20"/>
                            <w:lang w:val="el-GR"/>
                          </w:rPr>
                          <w:t xml:space="preserve"> ύψους</w:t>
                        </w:r>
                        <w:r w:rsidRPr="006A1797">
                          <w:rPr>
                            <w:rFonts w:ascii="Arial" w:hAnsi="Arial" w:cs="Arial"/>
                            <w:sz w:val="20"/>
                            <w:szCs w:val="20"/>
                            <w:lang w:val="el-GR"/>
                          </w:rPr>
                          <w:t xml:space="preserve"> </w:t>
                        </w:r>
                        <w:r w:rsidR="00730655" w:rsidRPr="006A1797">
                          <w:rPr>
                            <w:rFonts w:ascii="Arial" w:hAnsi="Arial" w:cs="Arial"/>
                            <w:sz w:val="20"/>
                            <w:szCs w:val="20"/>
                            <w:lang w:val="el-GR"/>
                          </w:rPr>
                          <w:t>214</w:t>
                        </w:r>
                        <w:r w:rsidRPr="006A1797">
                          <w:rPr>
                            <w:rFonts w:ascii="Arial" w:hAnsi="Arial" w:cs="Arial"/>
                            <w:sz w:val="20"/>
                            <w:szCs w:val="20"/>
                            <w:lang w:val="el-GR"/>
                          </w:rPr>
                          <w:t xml:space="preserve"> </w:t>
                        </w:r>
                        <w:r w:rsidR="009A0635" w:rsidRPr="006A1797">
                          <w:rPr>
                            <w:rFonts w:ascii="Arial" w:hAnsi="Arial" w:cs="Arial"/>
                            <w:sz w:val="20"/>
                            <w:szCs w:val="20"/>
                            <w:lang w:val="el-GR"/>
                          </w:rPr>
                          <w:t xml:space="preserve">μ.β. </w:t>
                        </w:r>
                        <w:r w:rsidR="00760575" w:rsidRPr="006A1797">
                          <w:rPr>
                            <w:rFonts w:ascii="Arial" w:hAnsi="Arial" w:cs="Arial"/>
                            <w:sz w:val="20"/>
                            <w:szCs w:val="20"/>
                            <w:lang w:val="el-GR"/>
                          </w:rPr>
                          <w:t xml:space="preserve">κατά το α’ </w:t>
                        </w:r>
                        <w:r w:rsidRPr="006A1797">
                          <w:rPr>
                            <w:rFonts w:ascii="Arial" w:hAnsi="Arial" w:cs="Arial"/>
                            <w:sz w:val="20"/>
                            <w:szCs w:val="20"/>
                            <w:lang w:val="el-GR"/>
                          </w:rPr>
                          <w:t xml:space="preserve">εξάμηνο </w:t>
                        </w:r>
                        <w:r w:rsidR="00760575" w:rsidRPr="006A1797">
                          <w:rPr>
                            <w:rFonts w:ascii="Arial" w:hAnsi="Arial" w:cs="Arial"/>
                            <w:sz w:val="20"/>
                            <w:szCs w:val="20"/>
                            <w:lang w:val="el-GR"/>
                          </w:rPr>
                          <w:t>2024</w:t>
                        </w:r>
                        <w:r w:rsidRPr="006A1797">
                          <w:rPr>
                            <w:rFonts w:ascii="Arial" w:hAnsi="Arial" w:cs="Arial"/>
                            <w:sz w:val="20"/>
                            <w:szCs w:val="20"/>
                            <w:lang w:val="el-GR"/>
                          </w:rPr>
                          <w:t xml:space="preserve">, εκ </w:t>
                        </w:r>
                        <w:r w:rsidR="005B7A39">
                          <w:rPr>
                            <w:rFonts w:ascii="Arial" w:hAnsi="Arial" w:cs="Arial"/>
                            <w:sz w:val="20"/>
                            <w:szCs w:val="20"/>
                            <w:lang w:val="el-GR"/>
                          </w:rPr>
                          <w:t>των</w:t>
                        </w:r>
                        <w:r w:rsidRPr="009F73D8">
                          <w:rPr>
                            <w:rFonts w:ascii="Arial" w:hAnsi="Arial" w:cs="Arial"/>
                            <w:sz w:val="20"/>
                            <w:szCs w:val="20"/>
                            <w:lang w:val="el-GR"/>
                          </w:rPr>
                          <w:t xml:space="preserve"> </w:t>
                        </w:r>
                        <w:r w:rsidR="005B7A39">
                          <w:rPr>
                            <w:rFonts w:ascii="Arial" w:hAnsi="Arial" w:cs="Arial"/>
                            <w:sz w:val="20"/>
                            <w:szCs w:val="20"/>
                            <w:lang w:val="el-GR"/>
                          </w:rPr>
                          <w:t>οποίων</w:t>
                        </w:r>
                        <w:r w:rsidRPr="009F73D8">
                          <w:rPr>
                            <w:rFonts w:ascii="Arial" w:hAnsi="Arial" w:cs="Arial"/>
                            <w:sz w:val="20"/>
                            <w:szCs w:val="20"/>
                            <w:lang w:val="el-GR"/>
                          </w:rPr>
                          <w:t xml:space="preserve"> </w:t>
                        </w:r>
                        <w:r w:rsidR="00730655" w:rsidRPr="006A1797">
                          <w:rPr>
                            <w:rFonts w:ascii="Arial" w:hAnsi="Arial" w:cs="Arial"/>
                            <w:sz w:val="20"/>
                            <w:szCs w:val="20"/>
                            <w:lang w:val="el-GR"/>
                          </w:rPr>
                          <w:t>129</w:t>
                        </w:r>
                        <w:r w:rsidRPr="009F73D8">
                          <w:rPr>
                            <w:rFonts w:ascii="Arial" w:hAnsi="Arial" w:cs="Arial"/>
                            <w:sz w:val="20"/>
                            <w:szCs w:val="20"/>
                            <w:lang w:val="el-GR"/>
                          </w:rPr>
                          <w:t xml:space="preserve"> μ.β. κατά το β’ τρίμηνο</w:t>
                        </w:r>
                        <w:r w:rsidR="00510864" w:rsidRPr="009F73D8">
                          <w:rPr>
                            <w:rFonts w:ascii="Arial" w:hAnsi="Arial" w:cs="Arial"/>
                            <w:sz w:val="20"/>
                            <w:szCs w:val="20"/>
                            <w:lang w:val="el-GR"/>
                          </w:rPr>
                          <w:t xml:space="preserve"> 2024</w:t>
                        </w:r>
                      </w:p>
                      <w:p w14:paraId="082DB9B6" w14:textId="176D2A78" w:rsidR="009A0635" w:rsidRPr="006A1797" w:rsidRDefault="009A0635" w:rsidP="00510864">
                        <w:pPr>
                          <w:pStyle w:val="ListParagraph"/>
                          <w:numPr>
                            <w:ilvl w:val="0"/>
                            <w:numId w:val="4"/>
                          </w:numPr>
                          <w:spacing w:after="60"/>
                          <w:ind w:left="241" w:right="-79" w:hanging="241"/>
                          <w:jc w:val="both"/>
                          <w:rPr>
                            <w:rFonts w:ascii="Arial" w:hAnsi="Arial" w:cs="Arial"/>
                            <w:sz w:val="20"/>
                            <w:szCs w:val="20"/>
                            <w:lang w:val="el-GR"/>
                          </w:rPr>
                        </w:pPr>
                        <w:r w:rsidRPr="006A1797">
                          <w:rPr>
                            <w:rFonts w:ascii="Arial" w:hAnsi="Arial" w:cs="Arial"/>
                            <w:sz w:val="20"/>
                            <w:szCs w:val="20"/>
                            <w:lang w:val="el-GR"/>
                          </w:rPr>
                          <w:t>Ενσώματη λογιστική αξία ανά μετοχή ύψους €</w:t>
                        </w:r>
                        <w:r w:rsidR="00760575" w:rsidRPr="006A1797">
                          <w:rPr>
                            <w:rFonts w:ascii="Arial" w:hAnsi="Arial" w:cs="Arial"/>
                            <w:sz w:val="20"/>
                            <w:szCs w:val="20"/>
                            <w:lang w:val="el-GR"/>
                          </w:rPr>
                          <w:t>5</w:t>
                        </w:r>
                        <w:r w:rsidRPr="006A1797">
                          <w:rPr>
                            <w:rFonts w:ascii="Arial" w:hAnsi="Arial" w:cs="Arial"/>
                            <w:sz w:val="20"/>
                            <w:szCs w:val="20"/>
                            <w:lang w:val="el-GR"/>
                          </w:rPr>
                          <w:t>.</w:t>
                        </w:r>
                        <w:r w:rsidR="009F73D8">
                          <w:rPr>
                            <w:rFonts w:ascii="Arial" w:hAnsi="Arial" w:cs="Arial"/>
                            <w:sz w:val="20"/>
                            <w:szCs w:val="20"/>
                            <w:lang w:val="el-GR"/>
                          </w:rPr>
                          <w:t>2</w:t>
                        </w:r>
                        <w:r w:rsidR="00181D02" w:rsidRPr="006A1797">
                          <w:rPr>
                            <w:rFonts w:ascii="Arial" w:hAnsi="Arial" w:cs="Arial"/>
                            <w:sz w:val="20"/>
                            <w:szCs w:val="20"/>
                            <w:lang w:val="el-GR"/>
                          </w:rPr>
                          <w:t>7</w:t>
                        </w:r>
                        <w:r w:rsidR="00475AF8">
                          <w:rPr>
                            <w:rFonts w:ascii="Arial" w:hAnsi="Arial" w:cs="Arial"/>
                            <w:sz w:val="20"/>
                            <w:szCs w:val="20"/>
                            <w:vertAlign w:val="superscript"/>
                            <w:lang w:val="el-GR"/>
                          </w:rPr>
                          <w:t>5</w:t>
                        </w:r>
                        <w:r w:rsidR="00573323" w:rsidRPr="006A1797">
                          <w:rPr>
                            <w:rFonts w:ascii="Arial" w:hAnsi="Arial" w:cs="Arial"/>
                            <w:sz w:val="20"/>
                            <w:szCs w:val="20"/>
                            <w:lang w:val="el-GR"/>
                          </w:rPr>
                          <w:t xml:space="preserve"> </w:t>
                        </w:r>
                        <w:r w:rsidRPr="006A1797">
                          <w:rPr>
                            <w:rFonts w:ascii="Arial" w:hAnsi="Arial" w:cs="Arial"/>
                            <w:sz w:val="20"/>
                            <w:szCs w:val="20"/>
                            <w:lang w:val="el-GR"/>
                          </w:rPr>
                          <w:t xml:space="preserve">στις </w:t>
                        </w:r>
                        <w:r w:rsidR="00573323" w:rsidRPr="006A1797">
                          <w:rPr>
                            <w:rFonts w:ascii="Arial" w:hAnsi="Arial" w:cs="Arial"/>
                            <w:sz w:val="20"/>
                            <w:szCs w:val="20"/>
                            <w:lang w:val="el-GR"/>
                          </w:rPr>
                          <w:t xml:space="preserve">30 Ιουνίου </w:t>
                        </w:r>
                        <w:r w:rsidR="00760575" w:rsidRPr="006A1797">
                          <w:rPr>
                            <w:rFonts w:ascii="Arial" w:hAnsi="Arial" w:cs="Arial"/>
                            <w:sz w:val="20"/>
                            <w:szCs w:val="20"/>
                            <w:lang w:val="el-GR"/>
                          </w:rPr>
                          <w:t>2024</w:t>
                        </w:r>
                        <w:r w:rsidRPr="006A1797">
                          <w:rPr>
                            <w:rFonts w:ascii="Arial" w:hAnsi="Arial" w:cs="Arial"/>
                            <w:sz w:val="20"/>
                            <w:szCs w:val="20"/>
                            <w:lang w:val="el-GR"/>
                          </w:rPr>
                          <w:t xml:space="preserve">, αυξημένη κατά </w:t>
                        </w:r>
                        <w:r w:rsidR="00F731CA" w:rsidRPr="006A1797">
                          <w:rPr>
                            <w:rFonts w:ascii="Arial" w:hAnsi="Arial" w:cs="Arial"/>
                            <w:sz w:val="20"/>
                            <w:szCs w:val="20"/>
                            <w:lang w:val="el-GR"/>
                          </w:rPr>
                          <w:t>2</w:t>
                        </w:r>
                        <w:r w:rsidR="00573323" w:rsidRPr="006A1797">
                          <w:rPr>
                            <w:rFonts w:ascii="Arial" w:hAnsi="Arial" w:cs="Arial"/>
                            <w:sz w:val="20"/>
                            <w:szCs w:val="20"/>
                            <w:lang w:val="el-GR"/>
                          </w:rPr>
                          <w:t>1</w:t>
                        </w:r>
                        <w:r w:rsidRPr="006A1797">
                          <w:rPr>
                            <w:rFonts w:ascii="Arial" w:hAnsi="Arial" w:cs="Arial"/>
                            <w:sz w:val="20"/>
                            <w:szCs w:val="20"/>
                            <w:lang w:val="el-GR"/>
                          </w:rPr>
                          <w:t xml:space="preserve">% σε ετήσια βάση </w:t>
                        </w:r>
                      </w:p>
                      <w:p w14:paraId="79D323DE" w14:textId="12EB2A89" w:rsidR="00573323" w:rsidRPr="006A1797" w:rsidRDefault="00573323" w:rsidP="00510864">
                        <w:pPr>
                          <w:pStyle w:val="ListParagraph"/>
                          <w:numPr>
                            <w:ilvl w:val="0"/>
                            <w:numId w:val="4"/>
                          </w:numPr>
                          <w:spacing w:after="60"/>
                          <w:ind w:left="241" w:right="-79" w:hanging="241"/>
                          <w:jc w:val="both"/>
                          <w:rPr>
                            <w:rFonts w:ascii="Arial" w:hAnsi="Arial" w:cs="Arial"/>
                            <w:sz w:val="20"/>
                            <w:szCs w:val="20"/>
                            <w:lang w:val="el-GR"/>
                          </w:rPr>
                        </w:pPr>
                        <w:r w:rsidRPr="006A1797">
                          <w:rPr>
                            <w:rFonts w:ascii="Arial" w:hAnsi="Arial" w:cs="Arial"/>
                            <w:sz w:val="20"/>
                            <w:szCs w:val="20"/>
                            <w:lang w:val="el-GR"/>
                          </w:rPr>
                          <w:t xml:space="preserve">Απόδοση </w:t>
                        </w:r>
                        <w:r w:rsidR="00A92737">
                          <w:rPr>
                            <w:rFonts w:ascii="Arial" w:hAnsi="Arial" w:cs="Arial"/>
                            <w:sz w:val="20"/>
                            <w:szCs w:val="20"/>
                            <w:lang w:val="el-GR"/>
                          </w:rPr>
                          <w:t>μερίσματος (</w:t>
                        </w:r>
                        <w:r w:rsidR="00A92737">
                          <w:rPr>
                            <w:rFonts w:ascii="Arial" w:hAnsi="Arial" w:cs="Arial"/>
                            <w:sz w:val="20"/>
                            <w:szCs w:val="20"/>
                          </w:rPr>
                          <w:t>distribution</w:t>
                        </w:r>
                        <w:r w:rsidR="00A92737" w:rsidRPr="00A92737">
                          <w:rPr>
                            <w:rFonts w:ascii="Arial" w:hAnsi="Arial" w:cs="Arial"/>
                            <w:sz w:val="20"/>
                            <w:szCs w:val="20"/>
                            <w:lang w:val="el-GR"/>
                          </w:rPr>
                          <w:t xml:space="preserve"> </w:t>
                        </w:r>
                        <w:r w:rsidR="00A92737">
                          <w:rPr>
                            <w:rFonts w:ascii="Arial" w:hAnsi="Arial" w:cs="Arial"/>
                            <w:sz w:val="20"/>
                            <w:szCs w:val="20"/>
                          </w:rPr>
                          <w:t>yield</w:t>
                        </w:r>
                        <w:r w:rsidR="00A92737" w:rsidRPr="00A92737">
                          <w:rPr>
                            <w:rFonts w:ascii="Arial" w:hAnsi="Arial" w:cs="Arial"/>
                            <w:sz w:val="20"/>
                            <w:szCs w:val="20"/>
                            <w:lang w:val="el-GR"/>
                          </w:rPr>
                          <w:t>)</w:t>
                        </w:r>
                        <w:r w:rsidRPr="006A1797">
                          <w:rPr>
                            <w:rFonts w:ascii="Arial" w:hAnsi="Arial" w:cs="Arial"/>
                            <w:sz w:val="20"/>
                            <w:szCs w:val="20"/>
                            <w:lang w:val="el-GR"/>
                          </w:rPr>
                          <w:t xml:space="preserve"> ύψους 8%</w:t>
                        </w:r>
                        <w:r w:rsidR="00946880">
                          <w:rPr>
                            <w:rFonts w:ascii="Arial" w:hAnsi="Arial" w:cs="Arial"/>
                            <w:sz w:val="20"/>
                            <w:szCs w:val="20"/>
                            <w:vertAlign w:val="superscript"/>
                            <w:lang w:val="el-GR"/>
                          </w:rPr>
                          <w:t>6</w:t>
                        </w:r>
                        <w:r w:rsidRPr="006A1797">
                          <w:rPr>
                            <w:rFonts w:ascii="Arial" w:hAnsi="Arial" w:cs="Arial"/>
                            <w:sz w:val="20"/>
                            <w:szCs w:val="20"/>
                            <w:lang w:val="el-GR"/>
                          </w:rPr>
                          <w:t xml:space="preserve">, </w:t>
                        </w:r>
                        <w:r w:rsidR="000C761A" w:rsidRPr="000C761A">
                          <w:rPr>
                            <w:rFonts w:ascii="Arial" w:hAnsi="Arial" w:cs="Arial"/>
                            <w:sz w:val="20"/>
                            <w:szCs w:val="20"/>
                            <w:lang w:val="el-GR"/>
                          </w:rPr>
                          <w:t>περιλαμβάνοντας πληρωμή μερίσματος σε μετρητά ύψους €112 εκατ. τον Ιούνιο 2024 και έναρξη επαναγοράς ιδίων μετοχών ύψους €25 εκατ. τον Απρίλιο 2024</w:t>
                        </w:r>
                      </w:p>
                      <w:p w14:paraId="31E0EF75" w14:textId="352DA492" w:rsidR="00F731CA" w:rsidRPr="005B7A39" w:rsidRDefault="00F731CA" w:rsidP="005C4C9A">
                        <w:pPr>
                          <w:spacing w:after="60"/>
                          <w:ind w:right="-81"/>
                          <w:rPr>
                            <w:rFonts w:ascii="Arial" w:hAnsi="Arial" w:cs="Arial"/>
                            <w:b/>
                            <w:sz w:val="14"/>
                            <w:szCs w:val="14"/>
                            <w:lang w:val="el-GR"/>
                          </w:rPr>
                        </w:pPr>
                      </w:p>
                      <w:p w14:paraId="42EA1270" w14:textId="3F342646" w:rsidR="00573323" w:rsidRPr="006A1797" w:rsidRDefault="00DE3033" w:rsidP="005C4C9A">
                        <w:pPr>
                          <w:spacing w:after="60"/>
                          <w:ind w:right="-81"/>
                          <w:rPr>
                            <w:rFonts w:ascii="Arial" w:hAnsi="Arial" w:cs="Arial"/>
                            <w:b/>
                            <w:lang w:val="el-GR"/>
                          </w:rPr>
                        </w:pPr>
                        <w:r w:rsidRPr="006A1797">
                          <w:rPr>
                            <w:rFonts w:ascii="Arial" w:hAnsi="Arial" w:cs="Arial"/>
                            <w:b/>
                            <w:lang w:val="el-GR"/>
                          </w:rPr>
                          <w:t xml:space="preserve">Αναβάθμιση της μακροπρόθεσμης πιστοληπτικής αξιολόγησης της Τράπεζας από την </w:t>
                        </w:r>
                        <w:r w:rsidRPr="006A1797">
                          <w:rPr>
                            <w:rFonts w:ascii="Arial" w:hAnsi="Arial" w:cs="Arial"/>
                            <w:b/>
                          </w:rPr>
                          <w:t>Moody</w:t>
                        </w:r>
                        <w:r w:rsidRPr="006A1797">
                          <w:rPr>
                            <w:rFonts w:ascii="Arial" w:hAnsi="Arial" w:cs="Arial"/>
                            <w:b/>
                            <w:lang w:val="el-GR"/>
                          </w:rPr>
                          <w:t>'</w:t>
                        </w:r>
                        <w:r w:rsidRPr="006A1797">
                          <w:rPr>
                            <w:rFonts w:ascii="Arial" w:hAnsi="Arial" w:cs="Arial"/>
                            <w:b/>
                          </w:rPr>
                          <w:t>s</w:t>
                        </w:r>
                        <w:r>
                          <w:rPr>
                            <w:rFonts w:ascii="Arial" w:hAnsi="Arial" w:cs="Arial"/>
                            <w:b/>
                            <w:lang w:val="el-GR"/>
                          </w:rPr>
                          <w:t xml:space="preserve"> σε </w:t>
                        </w:r>
                        <w:r>
                          <w:rPr>
                            <w:rFonts w:ascii="Arial" w:hAnsi="Arial" w:cs="Arial"/>
                            <w:b/>
                          </w:rPr>
                          <w:t>Baa</w:t>
                        </w:r>
                        <w:r w:rsidRPr="006A1797">
                          <w:rPr>
                            <w:rFonts w:ascii="Arial" w:hAnsi="Arial" w:cs="Arial"/>
                            <w:b/>
                            <w:lang w:val="el-GR"/>
                          </w:rPr>
                          <w:t xml:space="preserve">1 τον </w:t>
                        </w:r>
                        <w:r>
                          <w:rPr>
                            <w:rFonts w:ascii="Arial" w:hAnsi="Arial" w:cs="Arial"/>
                            <w:b/>
                            <w:lang w:val="el-GR"/>
                          </w:rPr>
                          <w:t xml:space="preserve">Ιούλιο 2024, 2 βαθμίδες πάνω από την επενδυτική βαθμίδα </w:t>
                        </w:r>
                      </w:p>
                      <w:p w14:paraId="1B81F5BF" w14:textId="4ECC5C80" w:rsidR="009A0635" w:rsidRPr="009F73D8" w:rsidRDefault="009A0635" w:rsidP="002354D5">
                        <w:pPr>
                          <w:pStyle w:val="ListParagraph"/>
                          <w:spacing w:after="60"/>
                          <w:ind w:left="241" w:right="-79"/>
                          <w:jc w:val="both"/>
                          <w:rPr>
                            <w:rFonts w:ascii="Arial" w:hAnsi="Arial" w:cs="Arial"/>
                            <w:b/>
                            <w:bCs/>
                            <w:sz w:val="19"/>
                            <w:szCs w:val="19"/>
                            <w:highlight w:val="yellow"/>
                            <w:lang w:val="el-GR"/>
                          </w:rPr>
                        </w:pPr>
                      </w:p>
                    </w:tc>
                  </w:tr>
                </w:tbl>
                <w:p w14:paraId="753249D2" w14:textId="77777777" w:rsidR="009A0635" w:rsidRPr="006B5511" w:rsidRDefault="009A0635" w:rsidP="00A21CB9">
                  <w:pPr>
                    <w:spacing w:after="60"/>
                    <w:ind w:right="-81"/>
                    <w:rPr>
                      <w:rFonts w:ascii="Arial" w:hAnsi="Arial" w:cs="Arial"/>
                      <w:sz w:val="19"/>
                      <w:szCs w:val="19"/>
                      <w:highlight w:val="yellow"/>
                      <w:lang w:val="el-GR"/>
                    </w:rPr>
                  </w:pPr>
                </w:p>
              </w:tc>
            </w:tr>
          </w:tbl>
          <w:p w14:paraId="2A79AE70" w14:textId="788A923E" w:rsidR="009A0635" w:rsidRPr="006B5511" w:rsidRDefault="00442875" w:rsidP="005C4C9A">
            <w:pPr>
              <w:rPr>
                <w:highlight w:val="yellow"/>
                <w:lang w:val="el-GR"/>
              </w:rPr>
            </w:pPr>
            <w:r w:rsidRPr="006B5511" w:rsidDel="00442875">
              <w:rPr>
                <w:rFonts w:ascii="Arial" w:hAnsi="Arial" w:cs="Arial"/>
                <w:sz w:val="18"/>
                <w:szCs w:val="18"/>
                <w:highlight w:val="yellow"/>
                <w:lang w:val="el-GR"/>
              </w:rPr>
              <w:t xml:space="preserve"> </w:t>
            </w:r>
          </w:p>
        </w:tc>
      </w:tr>
    </w:tbl>
    <w:p w14:paraId="72E65C11" w14:textId="77777777" w:rsidR="00810CB1" w:rsidRPr="006A1797" w:rsidRDefault="00810CB1" w:rsidP="009A0635">
      <w:pPr>
        <w:spacing w:after="0" w:line="240" w:lineRule="auto"/>
        <w:jc w:val="both"/>
        <w:rPr>
          <w:rFonts w:ascii="Arial" w:hAnsi="Arial" w:cs="Arial"/>
          <w:sz w:val="16"/>
          <w:lang w:val="el-GR"/>
        </w:rPr>
      </w:pPr>
    </w:p>
    <w:p w14:paraId="5E4875FE" w14:textId="5C502C51" w:rsidR="00810CB1" w:rsidRPr="006A1797" w:rsidRDefault="00810CB1" w:rsidP="008D10DD">
      <w:pPr>
        <w:pStyle w:val="ListParagraph"/>
        <w:numPr>
          <w:ilvl w:val="0"/>
          <w:numId w:val="13"/>
        </w:numPr>
        <w:jc w:val="both"/>
        <w:rPr>
          <w:rFonts w:ascii="Arial" w:hAnsi="Arial" w:cs="Arial"/>
          <w:sz w:val="16"/>
          <w:lang w:val="el-GR"/>
        </w:rPr>
      </w:pPr>
      <w:r w:rsidRPr="006A1797">
        <w:rPr>
          <w:rFonts w:ascii="Arial" w:hAnsi="Arial" w:cs="Arial"/>
          <w:sz w:val="16"/>
          <w:lang w:val="el-GR"/>
        </w:rPr>
        <w:t>Πηγή: Υπουργείο Οικονομικών Κύπρου</w:t>
      </w:r>
      <w:r w:rsidR="008A3030" w:rsidRPr="006A1797">
        <w:rPr>
          <w:rFonts w:ascii="Arial" w:hAnsi="Arial" w:cs="Arial"/>
          <w:sz w:val="16"/>
          <w:lang w:val="el-GR"/>
        </w:rPr>
        <w:t xml:space="preserve">, προβλέψεις </w:t>
      </w:r>
      <w:r w:rsidR="00475AF8">
        <w:rPr>
          <w:rFonts w:ascii="Arial" w:hAnsi="Arial" w:cs="Arial"/>
          <w:sz w:val="16"/>
          <w:lang w:val="el-GR"/>
        </w:rPr>
        <w:t>Μαΐου</w:t>
      </w:r>
      <w:r w:rsidR="008A3030" w:rsidRPr="006A1797">
        <w:rPr>
          <w:rFonts w:ascii="Arial" w:hAnsi="Arial" w:cs="Arial"/>
          <w:sz w:val="16"/>
          <w:lang w:val="el-GR"/>
        </w:rPr>
        <w:t xml:space="preserve"> 2024</w:t>
      </w:r>
    </w:p>
    <w:p w14:paraId="1CE3796D" w14:textId="77777777" w:rsidR="00810CB1" w:rsidRDefault="00810CB1" w:rsidP="008D10DD">
      <w:pPr>
        <w:pStyle w:val="ListParagraph"/>
        <w:numPr>
          <w:ilvl w:val="0"/>
          <w:numId w:val="13"/>
        </w:numPr>
        <w:jc w:val="both"/>
        <w:rPr>
          <w:rFonts w:ascii="Arial" w:hAnsi="Arial" w:cs="Arial"/>
          <w:sz w:val="16"/>
          <w:lang w:val="el-GR"/>
        </w:rPr>
      </w:pPr>
      <w:r w:rsidRPr="006A1797">
        <w:rPr>
          <w:rFonts w:ascii="Arial" w:hAnsi="Arial" w:cs="Arial"/>
          <w:sz w:val="16"/>
          <w:lang w:val="el-GR"/>
        </w:rPr>
        <w:t>Αναπροσαρμοσμένα για τον ειδικό φόρο επί των καταθέσεων και άλλα τέλη/εισφορές</w:t>
      </w:r>
    </w:p>
    <w:p w14:paraId="2AB6F922" w14:textId="692C8DBE" w:rsidR="005B7A39" w:rsidRPr="006A1797" w:rsidRDefault="005B7A39" w:rsidP="008D10DD">
      <w:pPr>
        <w:pStyle w:val="ListParagraph"/>
        <w:numPr>
          <w:ilvl w:val="0"/>
          <w:numId w:val="13"/>
        </w:numPr>
        <w:jc w:val="both"/>
        <w:rPr>
          <w:rFonts w:ascii="Arial" w:hAnsi="Arial" w:cs="Arial"/>
          <w:sz w:val="16"/>
          <w:lang w:val="el-GR"/>
        </w:rPr>
      </w:pPr>
      <w:r w:rsidRPr="005B7A39">
        <w:rPr>
          <w:rFonts w:ascii="Arial" w:hAnsi="Arial" w:cs="Arial"/>
          <w:sz w:val="16"/>
          <w:lang w:val="el-GR"/>
        </w:rPr>
        <w:t>Στοχευμένες Πράξεις Πιο Μακροπρόθεσμης Αναχρηματοδότησης (ΣΠΠΜΑ)</w:t>
      </w:r>
    </w:p>
    <w:p w14:paraId="35716197" w14:textId="3944EBA9" w:rsidR="00BC7C8C" w:rsidRPr="00704BA9" w:rsidRDefault="00704BA9" w:rsidP="008D10DD">
      <w:pPr>
        <w:pStyle w:val="ListParagraph"/>
        <w:numPr>
          <w:ilvl w:val="0"/>
          <w:numId w:val="13"/>
        </w:numPr>
        <w:jc w:val="both"/>
        <w:rPr>
          <w:rFonts w:ascii="Arial" w:hAnsi="Arial" w:cs="Arial"/>
          <w:sz w:val="16"/>
          <w:lang w:val="el-GR"/>
        </w:rPr>
      </w:pPr>
      <w:r w:rsidRPr="00704BA9">
        <w:rPr>
          <w:rFonts w:ascii="Arial" w:hAnsi="Arial" w:cs="Arial"/>
          <w:sz w:val="16"/>
          <w:lang w:val="el-GR"/>
        </w:rPr>
        <w:t xml:space="preserve">Αύξηση στο Δείκτη Κεφαλαίου Κοινών Μετοχών Κατηγορίας 1 (CET1), πριν την αφαίρεση των </w:t>
      </w:r>
      <w:r w:rsidR="00475AF8">
        <w:rPr>
          <w:rFonts w:ascii="Arial" w:hAnsi="Arial" w:cs="Arial"/>
          <w:sz w:val="16"/>
          <w:lang w:val="el-GR"/>
        </w:rPr>
        <w:t>διανομών</w:t>
      </w:r>
    </w:p>
    <w:p w14:paraId="52EB827F" w14:textId="78881E55" w:rsidR="00437D6E" w:rsidRPr="006A1797" w:rsidRDefault="00437D6E" w:rsidP="00BC7C8C">
      <w:pPr>
        <w:pStyle w:val="ListParagraph"/>
        <w:numPr>
          <w:ilvl w:val="0"/>
          <w:numId w:val="13"/>
        </w:numPr>
        <w:jc w:val="both"/>
        <w:rPr>
          <w:rFonts w:ascii="Arial" w:hAnsi="Arial" w:cs="Arial"/>
          <w:sz w:val="16"/>
          <w:szCs w:val="16"/>
          <w:lang w:val="el-GR"/>
        </w:rPr>
      </w:pPr>
      <w:r>
        <w:rPr>
          <w:rFonts w:ascii="Arial" w:hAnsi="Arial" w:cs="Arial"/>
          <w:sz w:val="16"/>
          <w:szCs w:val="16"/>
          <w:lang w:val="el-GR"/>
        </w:rPr>
        <w:t>Υπολογίζεται ως τα ίδια κεφάλαια που αναλογούν στους ιδιοκτήτες της Εταιρίας (εξαιρουμένων των λοιπών συμμετοχικών τίτλων) και μείον των α</w:t>
      </w:r>
      <w:r w:rsidRPr="00437D6E">
        <w:rPr>
          <w:rFonts w:ascii="Arial" w:hAnsi="Arial" w:cs="Arial"/>
          <w:sz w:val="16"/>
          <w:szCs w:val="16"/>
          <w:lang w:val="el-GR"/>
        </w:rPr>
        <w:t>ύλ</w:t>
      </w:r>
      <w:r>
        <w:rPr>
          <w:rFonts w:ascii="Arial" w:hAnsi="Arial" w:cs="Arial"/>
          <w:sz w:val="16"/>
          <w:szCs w:val="16"/>
          <w:lang w:val="el-GR"/>
        </w:rPr>
        <w:t>ων</w:t>
      </w:r>
      <w:r w:rsidRPr="006A1797">
        <w:rPr>
          <w:rFonts w:ascii="Arial" w:hAnsi="Arial" w:cs="Arial"/>
          <w:sz w:val="16"/>
          <w:szCs w:val="16"/>
          <w:lang w:val="el-GR"/>
        </w:rPr>
        <w:t xml:space="preserve"> </w:t>
      </w:r>
      <w:r>
        <w:rPr>
          <w:rFonts w:ascii="Arial" w:hAnsi="Arial" w:cs="Arial"/>
          <w:sz w:val="16"/>
          <w:szCs w:val="16"/>
          <w:lang w:val="el-GR"/>
        </w:rPr>
        <w:t>περιουσιακών</w:t>
      </w:r>
      <w:r w:rsidRPr="006A1797">
        <w:rPr>
          <w:rFonts w:ascii="Arial" w:hAnsi="Arial" w:cs="Arial"/>
          <w:sz w:val="16"/>
          <w:szCs w:val="16"/>
          <w:lang w:val="el-GR"/>
        </w:rPr>
        <w:t xml:space="preserve"> στοιχεί</w:t>
      </w:r>
      <w:r>
        <w:rPr>
          <w:rFonts w:ascii="Arial" w:hAnsi="Arial" w:cs="Arial"/>
          <w:sz w:val="16"/>
          <w:szCs w:val="16"/>
          <w:lang w:val="el-GR"/>
        </w:rPr>
        <w:t>ων/</w:t>
      </w:r>
      <w:r w:rsidRPr="006A1797">
        <w:rPr>
          <w:rFonts w:ascii="Arial" w:hAnsi="Arial" w:cs="Arial"/>
          <w:sz w:val="16"/>
          <w:szCs w:val="16"/>
          <w:lang w:val="el-GR"/>
        </w:rPr>
        <w:t xml:space="preserve"> ως προς τον </w:t>
      </w:r>
      <w:r>
        <w:rPr>
          <w:rFonts w:ascii="Arial" w:hAnsi="Arial" w:cs="Arial"/>
          <w:sz w:val="16"/>
          <w:szCs w:val="16"/>
          <w:lang w:val="el-GR"/>
        </w:rPr>
        <w:t xml:space="preserve">συνολικό αριθμό κοινών μετοχών μείον των </w:t>
      </w:r>
      <w:r w:rsidRPr="00437D6E">
        <w:rPr>
          <w:rFonts w:ascii="Arial" w:hAnsi="Arial" w:cs="Arial"/>
          <w:sz w:val="16"/>
          <w:szCs w:val="16"/>
          <w:lang w:val="el-GR"/>
        </w:rPr>
        <w:t>ιδίων μετοχών</w:t>
      </w:r>
      <w:r>
        <w:rPr>
          <w:rFonts w:ascii="Arial" w:hAnsi="Arial" w:cs="Arial"/>
          <w:sz w:val="16"/>
          <w:szCs w:val="16"/>
          <w:lang w:val="el-GR"/>
        </w:rPr>
        <w:t xml:space="preserve"> </w:t>
      </w:r>
      <w:r w:rsidR="00526A45">
        <w:rPr>
          <w:rFonts w:ascii="Arial" w:hAnsi="Arial" w:cs="Arial"/>
          <w:sz w:val="16"/>
          <w:szCs w:val="16"/>
          <w:lang w:val="el-GR"/>
        </w:rPr>
        <w:t>που κατέχονται κατά το τέλος του τριμήνου</w:t>
      </w:r>
    </w:p>
    <w:p w14:paraId="3FED3821" w14:textId="44A4168B" w:rsidR="005B7A39" w:rsidRPr="005B7A39" w:rsidRDefault="00704BA9" w:rsidP="005B7A39">
      <w:pPr>
        <w:pStyle w:val="ListParagraph"/>
        <w:numPr>
          <w:ilvl w:val="0"/>
          <w:numId w:val="13"/>
        </w:numPr>
        <w:jc w:val="both"/>
        <w:rPr>
          <w:rFonts w:ascii="Arial" w:hAnsi="Arial" w:cs="Arial"/>
          <w:sz w:val="16"/>
          <w:lang w:val="el-GR"/>
        </w:rPr>
      </w:pPr>
      <w:r>
        <w:rPr>
          <w:rFonts w:ascii="Arial" w:hAnsi="Arial" w:cs="Arial"/>
          <w:sz w:val="16"/>
          <w:lang w:val="el-GR"/>
        </w:rPr>
        <w:t>Με βάση την</w:t>
      </w:r>
      <w:r w:rsidR="00510864" w:rsidRPr="006A1797">
        <w:rPr>
          <w:rFonts w:ascii="Arial" w:hAnsi="Arial" w:cs="Arial"/>
          <w:sz w:val="16"/>
          <w:lang w:val="el-GR"/>
        </w:rPr>
        <w:t xml:space="preserve"> </w:t>
      </w:r>
      <w:r>
        <w:rPr>
          <w:rFonts w:ascii="Arial" w:hAnsi="Arial" w:cs="Arial"/>
          <w:sz w:val="16"/>
          <w:lang w:val="el-GR"/>
        </w:rPr>
        <w:t>τιμή μετοχής κατά την ημερομηνία</w:t>
      </w:r>
      <w:r w:rsidR="00510864" w:rsidRPr="006A1797">
        <w:rPr>
          <w:rFonts w:ascii="Arial" w:hAnsi="Arial" w:cs="Arial"/>
          <w:sz w:val="16"/>
          <w:lang w:val="el-GR"/>
        </w:rPr>
        <w:t xml:space="preserve"> </w:t>
      </w:r>
      <w:r w:rsidR="00510864">
        <w:rPr>
          <w:rFonts w:ascii="Arial" w:hAnsi="Arial" w:cs="Arial"/>
          <w:sz w:val="16"/>
          <w:lang w:val="el-GR"/>
        </w:rPr>
        <w:t>της</w:t>
      </w:r>
      <w:r>
        <w:rPr>
          <w:rFonts w:ascii="Arial" w:hAnsi="Arial" w:cs="Arial"/>
          <w:sz w:val="16"/>
          <w:lang w:val="el-GR"/>
        </w:rPr>
        <w:t xml:space="preserve"> ανακοίνωσης για διανομή στις 20 Μαρτίου 2024 </w:t>
      </w:r>
    </w:p>
    <w:p w14:paraId="6CB6E592" w14:textId="77777777" w:rsidR="005B7A39" w:rsidRDefault="005B7A39" w:rsidP="00D022B5">
      <w:pPr>
        <w:spacing w:after="0" w:line="240" w:lineRule="auto"/>
        <w:jc w:val="both"/>
        <w:rPr>
          <w:rFonts w:ascii="Arial" w:hAnsi="Arial" w:cs="Arial"/>
          <w:sz w:val="16"/>
          <w:lang w:val="el-GR"/>
        </w:rPr>
      </w:pPr>
    </w:p>
    <w:p w14:paraId="68A49B11" w14:textId="77777777" w:rsidR="005B7A39" w:rsidRDefault="00810CB1" w:rsidP="005B7A39">
      <w:pPr>
        <w:spacing w:after="0" w:line="240" w:lineRule="auto"/>
        <w:jc w:val="both"/>
        <w:rPr>
          <w:rFonts w:ascii="Arial" w:hAnsi="Arial" w:cs="Arial"/>
          <w:sz w:val="16"/>
          <w:lang w:val="el-GR"/>
        </w:rPr>
      </w:pPr>
      <w:r w:rsidRPr="006A1797">
        <w:rPr>
          <w:rFonts w:ascii="Arial" w:hAnsi="Arial" w:cs="Arial"/>
          <w:sz w:val="16"/>
          <w:lang w:val="el-GR"/>
        </w:rPr>
        <w:t>*Τα κύρια σημεία παρουσιάζονται με βάση τα οικονομικά αποτελέσματα στην ‘Υποκείμενη Βάση’.</w:t>
      </w:r>
      <w:bookmarkStart w:id="3" w:name="_Hlk119483714"/>
    </w:p>
    <w:p w14:paraId="392FDAE0" w14:textId="75055541" w:rsidR="00D921BD" w:rsidRPr="005B7A39" w:rsidRDefault="000A2BEF" w:rsidP="005B7A39">
      <w:pPr>
        <w:spacing w:after="0" w:line="240" w:lineRule="auto"/>
        <w:jc w:val="both"/>
        <w:rPr>
          <w:rFonts w:ascii="Arial" w:hAnsi="Arial" w:cs="Arial"/>
          <w:sz w:val="16"/>
          <w:lang w:val="el-GR"/>
        </w:rPr>
      </w:pPr>
      <w:r w:rsidRPr="006A1797">
        <w:rPr>
          <w:rFonts w:ascii="Arial" w:hAnsi="Arial" w:cs="Arial"/>
          <w:b/>
          <w:color w:val="FF9900"/>
          <w:sz w:val="24"/>
          <w:szCs w:val="18"/>
          <w:lang w:val="el-GR"/>
        </w:rPr>
        <w:lastRenderedPageBreak/>
        <w:t>Δ</w:t>
      </w:r>
      <w:r w:rsidRPr="006A1797">
        <w:rPr>
          <w:rFonts w:ascii="Arial" w:eastAsia="Times New Roman" w:hAnsi="Arial" w:cs="Arial"/>
          <w:b/>
          <w:bCs/>
          <w:color w:val="FF9900"/>
          <w:sz w:val="24"/>
          <w:szCs w:val="24"/>
          <w:lang w:val="el-GR" w:eastAsia="en-US"/>
        </w:rPr>
        <w:t>ήλωση Διευθύνοντος Συμβούλου Συγκροτήματος</w:t>
      </w:r>
    </w:p>
    <w:p w14:paraId="5994574E" w14:textId="77777777" w:rsidR="000122F2" w:rsidRPr="006A1797" w:rsidRDefault="000122F2" w:rsidP="000A2BEF">
      <w:pPr>
        <w:spacing w:after="0" w:line="360" w:lineRule="auto"/>
        <w:rPr>
          <w:rFonts w:ascii="Arial" w:eastAsia="Times New Roman" w:hAnsi="Arial" w:cs="Arial"/>
          <w:b/>
          <w:bCs/>
          <w:color w:val="FF9900"/>
          <w:sz w:val="16"/>
          <w:szCs w:val="16"/>
          <w:lang w:val="el-GR" w:eastAsia="en-US"/>
        </w:rPr>
      </w:pPr>
    </w:p>
    <w:p w14:paraId="6DFB3059" w14:textId="5AEB6D11" w:rsidR="00A92737" w:rsidRPr="003A434B" w:rsidRDefault="00A92737" w:rsidP="00A92737">
      <w:pPr>
        <w:spacing w:line="240" w:lineRule="auto"/>
        <w:jc w:val="both"/>
        <w:rPr>
          <w:rFonts w:ascii="Arial" w:hAnsi="Arial" w:cs="Arial"/>
          <w:i/>
          <w:iCs/>
          <w:sz w:val="18"/>
          <w:szCs w:val="18"/>
          <w:lang w:val="el-GR"/>
        </w:rPr>
      </w:pPr>
      <w:r w:rsidRPr="003A434B">
        <w:rPr>
          <w:rFonts w:ascii="Arial" w:hAnsi="Arial" w:cs="Arial"/>
          <w:i/>
          <w:iCs/>
          <w:sz w:val="18"/>
          <w:szCs w:val="18"/>
          <w:lang w:val="el-GR"/>
        </w:rPr>
        <w:t xml:space="preserve">«’Εχουμε επιτύχει άλλο ένα τρίμηνο ισχυρής κερδοφορίας, αποδεικνύοντας τη βιωσιμότητα του επιχειρηματικού μας μοντέλου. Για έκτο συνεχόμενο τρίμηνο, σημειώσαμε Απόδοση Ενσώματων Ιδίων Κεφαλαίων (ROTE) </w:t>
      </w:r>
      <w:r>
        <w:rPr>
          <w:rFonts w:ascii="Arial" w:hAnsi="Arial" w:cs="Arial"/>
          <w:i/>
          <w:iCs/>
          <w:sz w:val="18"/>
          <w:szCs w:val="18"/>
          <w:lang w:val="el-GR"/>
        </w:rPr>
        <w:t>υψηλότερη</w:t>
      </w:r>
      <w:r w:rsidRPr="003A434B">
        <w:rPr>
          <w:rFonts w:ascii="Arial" w:hAnsi="Arial" w:cs="Arial"/>
          <w:i/>
          <w:iCs/>
          <w:sz w:val="18"/>
          <w:szCs w:val="18"/>
          <w:lang w:val="el-GR"/>
        </w:rPr>
        <w:t xml:space="preserve"> από 20%, ξεπερνώντας σημαντικά τους στόχους του 2024 που θέσαμε τον Φεβρουάριο 2024. Η ισχυρή αυτή επίδοση </w:t>
      </w:r>
      <w:r>
        <w:rPr>
          <w:rFonts w:ascii="Arial" w:hAnsi="Arial" w:cs="Arial"/>
          <w:i/>
          <w:iCs/>
          <w:sz w:val="18"/>
          <w:szCs w:val="18"/>
          <w:lang w:val="el-GR"/>
        </w:rPr>
        <w:t>υποστηρίχθηκε από τα συνεχιζόμενα ισχυρά και ανθεκτικά</w:t>
      </w:r>
      <w:r w:rsidRPr="003A434B">
        <w:rPr>
          <w:rFonts w:ascii="Arial" w:hAnsi="Arial" w:cs="Arial"/>
          <w:i/>
          <w:iCs/>
          <w:sz w:val="18"/>
          <w:szCs w:val="18"/>
          <w:lang w:val="el-GR"/>
        </w:rPr>
        <w:t xml:space="preserve"> καθαρ</w:t>
      </w:r>
      <w:r>
        <w:rPr>
          <w:rFonts w:ascii="Arial" w:hAnsi="Arial" w:cs="Arial"/>
          <w:i/>
          <w:iCs/>
          <w:sz w:val="18"/>
          <w:szCs w:val="18"/>
          <w:lang w:val="el-GR"/>
        </w:rPr>
        <w:t>ά</w:t>
      </w:r>
      <w:r w:rsidRPr="003A434B">
        <w:rPr>
          <w:rFonts w:ascii="Arial" w:hAnsi="Arial" w:cs="Arial"/>
          <w:i/>
          <w:iCs/>
          <w:sz w:val="18"/>
          <w:szCs w:val="18"/>
          <w:lang w:val="el-GR"/>
        </w:rPr>
        <w:t xml:space="preserve"> </w:t>
      </w:r>
      <w:r>
        <w:rPr>
          <w:rFonts w:ascii="Arial" w:hAnsi="Arial" w:cs="Arial"/>
          <w:i/>
          <w:iCs/>
          <w:sz w:val="18"/>
          <w:szCs w:val="18"/>
          <w:lang w:val="el-GR"/>
        </w:rPr>
        <w:t>έ</w:t>
      </w:r>
      <w:r w:rsidRPr="003A434B">
        <w:rPr>
          <w:rFonts w:ascii="Arial" w:hAnsi="Arial" w:cs="Arial"/>
          <w:i/>
          <w:iCs/>
          <w:sz w:val="18"/>
          <w:szCs w:val="18"/>
          <w:lang w:val="el-GR"/>
        </w:rPr>
        <w:t>σ</w:t>
      </w:r>
      <w:r>
        <w:rPr>
          <w:rFonts w:ascii="Arial" w:hAnsi="Arial" w:cs="Arial"/>
          <w:i/>
          <w:iCs/>
          <w:sz w:val="18"/>
          <w:szCs w:val="18"/>
          <w:lang w:val="el-GR"/>
        </w:rPr>
        <w:t>ο</w:t>
      </w:r>
      <w:r w:rsidRPr="003A434B">
        <w:rPr>
          <w:rFonts w:ascii="Arial" w:hAnsi="Arial" w:cs="Arial"/>
          <w:i/>
          <w:iCs/>
          <w:sz w:val="18"/>
          <w:szCs w:val="18"/>
          <w:lang w:val="el-GR"/>
        </w:rPr>
        <w:t>δ</w:t>
      </w:r>
      <w:r>
        <w:rPr>
          <w:rFonts w:ascii="Arial" w:hAnsi="Arial" w:cs="Arial"/>
          <w:i/>
          <w:iCs/>
          <w:sz w:val="18"/>
          <w:szCs w:val="18"/>
          <w:lang w:val="el-GR"/>
        </w:rPr>
        <w:t>α</w:t>
      </w:r>
      <w:r w:rsidRPr="003A434B">
        <w:rPr>
          <w:rFonts w:ascii="Arial" w:hAnsi="Arial" w:cs="Arial"/>
          <w:i/>
          <w:iCs/>
          <w:sz w:val="18"/>
          <w:szCs w:val="18"/>
          <w:lang w:val="el-GR"/>
        </w:rPr>
        <w:t xml:space="preserve"> από τόκους, τη </w:t>
      </w:r>
      <w:r>
        <w:rPr>
          <w:rFonts w:ascii="Arial" w:hAnsi="Arial" w:cs="Arial"/>
          <w:i/>
          <w:iCs/>
          <w:sz w:val="18"/>
          <w:szCs w:val="18"/>
          <w:lang w:val="el-GR"/>
        </w:rPr>
        <w:t>συνεχή</w:t>
      </w:r>
      <w:r w:rsidRPr="003A434B">
        <w:rPr>
          <w:rFonts w:ascii="Arial" w:hAnsi="Arial" w:cs="Arial"/>
          <w:i/>
          <w:iCs/>
          <w:sz w:val="18"/>
          <w:szCs w:val="18"/>
          <w:lang w:val="el-GR"/>
        </w:rPr>
        <w:t xml:space="preserve"> πειθαρχημένη διαχείριση κόστους παρά τις πληθωριστικές πιέσ</w:t>
      </w:r>
      <w:r w:rsidRPr="002A7B98">
        <w:rPr>
          <w:rFonts w:ascii="Arial" w:hAnsi="Arial" w:cs="Arial"/>
          <w:i/>
          <w:iCs/>
          <w:sz w:val="18"/>
          <w:szCs w:val="18"/>
          <w:lang w:val="el-GR"/>
        </w:rPr>
        <w:t>ει</w:t>
      </w:r>
      <w:r w:rsidRPr="003A434B">
        <w:rPr>
          <w:rFonts w:ascii="Arial" w:hAnsi="Arial" w:cs="Arial"/>
          <w:i/>
          <w:iCs/>
          <w:sz w:val="18"/>
          <w:szCs w:val="18"/>
          <w:lang w:val="el-GR"/>
        </w:rPr>
        <w:t xml:space="preserve">ς καθώς και τη χαμηλή χρέωση πιστωτικών ζημιών δανείων (cost of risk). Συνολικά, κατά το α’ εξάμηνο 2024 καταγράψαμε βασικά κέρδη </w:t>
      </w:r>
      <w:r w:rsidRPr="002A7B98">
        <w:rPr>
          <w:rFonts w:ascii="Arial" w:hAnsi="Arial" w:cs="Arial"/>
          <w:i/>
          <w:iCs/>
          <w:sz w:val="18"/>
          <w:szCs w:val="18"/>
          <w:lang w:val="el-GR"/>
        </w:rPr>
        <w:t xml:space="preserve">ανά μετοχή </w:t>
      </w:r>
      <w:r w:rsidRPr="003A434B">
        <w:rPr>
          <w:rFonts w:ascii="Arial" w:hAnsi="Arial" w:cs="Arial"/>
          <w:i/>
          <w:iCs/>
          <w:sz w:val="18"/>
          <w:szCs w:val="18"/>
          <w:lang w:val="el-GR"/>
        </w:rPr>
        <w:t>ύψους €0.61, δημιουργώντας ισχυρή αξία για τους μετόχους, με την ενσώματη λογιστική αξία ανά μετοχή να βελτιώνεται κατά 21% σε ετήσια βάση, σε €5.27.</w:t>
      </w:r>
    </w:p>
    <w:p w14:paraId="587AB899" w14:textId="77777777" w:rsidR="00A92737" w:rsidRPr="003A434B" w:rsidRDefault="00A92737" w:rsidP="00A92737">
      <w:pPr>
        <w:spacing w:line="240" w:lineRule="auto"/>
        <w:jc w:val="both"/>
        <w:rPr>
          <w:rFonts w:ascii="Arial" w:hAnsi="Arial" w:cs="Arial"/>
          <w:i/>
          <w:iCs/>
          <w:sz w:val="18"/>
          <w:szCs w:val="18"/>
          <w:lang w:val="el-GR"/>
        </w:rPr>
      </w:pPr>
      <w:r w:rsidRPr="003A434B">
        <w:rPr>
          <w:rFonts w:ascii="Arial" w:hAnsi="Arial" w:cs="Arial"/>
          <w:i/>
          <w:iCs/>
          <w:sz w:val="18"/>
          <w:szCs w:val="18"/>
          <w:lang w:val="el-GR"/>
        </w:rPr>
        <w:t>Η κεφαλαιακή μας θέση παραμένει ισχυρή. Ο Δείκτης Κεφαλαίου Κοινών Μετοχών Κατηγορίας 1 (CET1) και ο Συνολικός Δείκτης Κεφαλαιακής Επάρκειας, μετά από σχετική πρόβλεψη για διανομή</w:t>
      </w:r>
      <w:r w:rsidRPr="003A434B">
        <w:rPr>
          <w:rFonts w:ascii="Arial" w:hAnsi="Arial" w:cs="Arial"/>
          <w:i/>
          <w:iCs/>
          <w:sz w:val="18"/>
          <w:szCs w:val="18"/>
          <w:vertAlign w:val="superscript"/>
          <w:lang w:val="el-GR"/>
        </w:rPr>
        <w:t xml:space="preserve">1 </w:t>
      </w:r>
      <w:r w:rsidRPr="003A434B">
        <w:rPr>
          <w:rFonts w:ascii="Arial" w:hAnsi="Arial" w:cs="Arial"/>
          <w:i/>
          <w:iCs/>
          <w:sz w:val="18"/>
          <w:szCs w:val="18"/>
          <w:lang w:val="el-GR"/>
        </w:rPr>
        <w:t xml:space="preserve">ανήλθαν σε 18.3% και 23.3% αντίστοιχα στις 30 Ιουνίου 2024. </w:t>
      </w:r>
      <w:r w:rsidRPr="003A434B">
        <w:rPr>
          <w:rFonts w:ascii="Arial" w:hAnsi="Arial" w:cs="Arial"/>
          <w:i/>
          <w:iCs/>
          <w:sz w:val="18"/>
          <w:szCs w:val="18"/>
          <w:lang w:val="en-US"/>
        </w:rPr>
        <w:t>H</w:t>
      </w:r>
      <w:r w:rsidRPr="003A434B">
        <w:rPr>
          <w:rFonts w:ascii="Arial" w:hAnsi="Arial" w:cs="Arial"/>
          <w:i/>
          <w:iCs/>
          <w:sz w:val="18"/>
          <w:szCs w:val="18"/>
          <w:lang w:val="el-GR"/>
        </w:rPr>
        <w:t xml:space="preserve"> ποιότητα του δανειακού χαρτοφυλακίου παραμένει υγιής και συνεχίζει να βελτιώνεται, με το ποσοστό ΜΕΔ προς δάνεια να μειώνεται για πρώτη φορά κάτω από 3%. </w:t>
      </w:r>
    </w:p>
    <w:p w14:paraId="77089F91" w14:textId="77777777" w:rsidR="00A92737" w:rsidRPr="003A434B" w:rsidRDefault="00A92737" w:rsidP="00A92737">
      <w:pPr>
        <w:spacing w:line="240" w:lineRule="auto"/>
        <w:jc w:val="both"/>
        <w:rPr>
          <w:rFonts w:ascii="Arial" w:hAnsi="Arial" w:cs="Arial"/>
          <w:i/>
          <w:iCs/>
          <w:sz w:val="18"/>
          <w:szCs w:val="18"/>
          <w:lang w:val="el-GR"/>
        </w:rPr>
      </w:pPr>
      <w:r w:rsidRPr="003A434B">
        <w:rPr>
          <w:rFonts w:ascii="Arial" w:hAnsi="Arial" w:cs="Arial"/>
          <w:i/>
          <w:iCs/>
          <w:sz w:val="18"/>
          <w:szCs w:val="18"/>
          <w:lang w:val="el-GR"/>
        </w:rPr>
        <w:t>Η κυπριακή οικονομία συνεχίζει να επιδεικνύει δύναμη και ανθεκτικότητα, παρά τη γεωπολιτική αβεβαιότητα. Ο ρυθμός ανάπτυξης της Κύπρου αναμένεται να αυξηθεί κατά περίπου 2.9%</w:t>
      </w:r>
      <w:r w:rsidRPr="003A434B">
        <w:rPr>
          <w:rFonts w:ascii="Arial" w:hAnsi="Arial" w:cs="Arial"/>
          <w:i/>
          <w:iCs/>
          <w:sz w:val="18"/>
          <w:szCs w:val="18"/>
          <w:vertAlign w:val="superscript"/>
          <w:lang w:val="el-GR"/>
        </w:rPr>
        <w:t>2</w:t>
      </w:r>
      <w:r w:rsidRPr="003A434B">
        <w:rPr>
          <w:rFonts w:ascii="Arial" w:hAnsi="Arial" w:cs="Arial"/>
          <w:i/>
          <w:iCs/>
          <w:sz w:val="18"/>
          <w:szCs w:val="18"/>
          <w:lang w:val="el-GR"/>
        </w:rPr>
        <w:t xml:space="preserve"> το 2024, ξεπερνώντας τον μέσο όρο της ευρωζώνης.</w:t>
      </w:r>
    </w:p>
    <w:p w14:paraId="20DE83A6" w14:textId="77777777" w:rsidR="00A92737" w:rsidRPr="003A434B" w:rsidRDefault="00A92737" w:rsidP="00A92737">
      <w:pPr>
        <w:spacing w:line="240" w:lineRule="auto"/>
        <w:jc w:val="both"/>
        <w:rPr>
          <w:rFonts w:ascii="Arial" w:hAnsi="Arial" w:cs="Arial"/>
          <w:i/>
          <w:iCs/>
          <w:sz w:val="18"/>
          <w:szCs w:val="18"/>
          <w:lang w:val="el-GR"/>
        </w:rPr>
      </w:pPr>
      <w:r w:rsidRPr="003A434B">
        <w:rPr>
          <w:rFonts w:ascii="Arial" w:hAnsi="Arial" w:cs="Arial"/>
          <w:i/>
          <w:iCs/>
          <w:sz w:val="18"/>
          <w:szCs w:val="18"/>
          <w:lang w:val="el-GR"/>
        </w:rPr>
        <w:t xml:space="preserve">Η ισχυρή οικονομική και λειτουργική μας επίδοση αντανακλάται επίσης στις υψηλότερες πιστοληπτικές αξιολογήσεις, καθώς πρόσφατα οι οίκοι αξιολόγησής </w:t>
      </w:r>
      <w:r w:rsidRPr="003A434B">
        <w:rPr>
          <w:rFonts w:ascii="Arial" w:hAnsi="Arial" w:cs="Arial"/>
          <w:i/>
          <w:iCs/>
          <w:sz w:val="18"/>
          <w:szCs w:val="18"/>
          <w:lang w:val="en-US"/>
        </w:rPr>
        <w:t>Moody</w:t>
      </w:r>
      <w:r w:rsidRPr="003A434B">
        <w:rPr>
          <w:rFonts w:ascii="Arial" w:hAnsi="Arial" w:cs="Arial"/>
          <w:i/>
          <w:iCs/>
          <w:sz w:val="18"/>
          <w:szCs w:val="18"/>
          <w:lang w:val="el-GR"/>
        </w:rPr>
        <w:t>’</w:t>
      </w:r>
      <w:r w:rsidRPr="003A434B">
        <w:rPr>
          <w:rFonts w:ascii="Arial" w:hAnsi="Arial" w:cs="Arial"/>
          <w:i/>
          <w:iCs/>
          <w:sz w:val="18"/>
          <w:szCs w:val="18"/>
          <w:lang w:val="en-US"/>
        </w:rPr>
        <w:t>s</w:t>
      </w:r>
      <w:r w:rsidRPr="003A434B">
        <w:rPr>
          <w:rFonts w:ascii="Arial" w:hAnsi="Arial" w:cs="Arial"/>
          <w:i/>
          <w:iCs/>
          <w:sz w:val="18"/>
          <w:szCs w:val="18"/>
          <w:lang w:val="el-GR"/>
        </w:rPr>
        <w:t xml:space="preserve">, </w:t>
      </w:r>
      <w:r w:rsidRPr="003A434B">
        <w:rPr>
          <w:rFonts w:ascii="Arial" w:hAnsi="Arial" w:cs="Arial"/>
          <w:i/>
          <w:iCs/>
          <w:sz w:val="18"/>
          <w:szCs w:val="18"/>
          <w:lang w:val="en-US"/>
        </w:rPr>
        <w:t>S</w:t>
      </w:r>
      <w:r w:rsidRPr="003A434B">
        <w:rPr>
          <w:rFonts w:ascii="Arial" w:hAnsi="Arial" w:cs="Arial"/>
          <w:i/>
          <w:iCs/>
          <w:sz w:val="18"/>
          <w:szCs w:val="18"/>
          <w:lang w:val="el-GR"/>
        </w:rPr>
        <w:t>&amp;</w:t>
      </w:r>
      <w:r w:rsidRPr="003A434B">
        <w:rPr>
          <w:rFonts w:ascii="Arial" w:hAnsi="Arial" w:cs="Arial"/>
          <w:i/>
          <w:iCs/>
          <w:sz w:val="18"/>
          <w:szCs w:val="18"/>
          <w:lang w:val="en-US"/>
        </w:rPr>
        <w:t>P</w:t>
      </w:r>
      <w:r w:rsidRPr="003A434B">
        <w:rPr>
          <w:rFonts w:ascii="Arial" w:hAnsi="Arial" w:cs="Arial"/>
          <w:i/>
          <w:iCs/>
          <w:sz w:val="18"/>
          <w:szCs w:val="18"/>
          <w:lang w:val="el-GR"/>
        </w:rPr>
        <w:t xml:space="preserve"> και </w:t>
      </w:r>
      <w:r w:rsidRPr="003A434B">
        <w:rPr>
          <w:rFonts w:ascii="Arial" w:hAnsi="Arial" w:cs="Arial"/>
          <w:i/>
          <w:iCs/>
          <w:sz w:val="18"/>
          <w:szCs w:val="18"/>
          <w:lang w:val="en-US"/>
        </w:rPr>
        <w:t>Fitch</w:t>
      </w:r>
      <w:r w:rsidRPr="003A434B">
        <w:rPr>
          <w:rFonts w:ascii="Arial" w:hAnsi="Arial" w:cs="Arial"/>
          <w:i/>
          <w:iCs/>
          <w:sz w:val="18"/>
          <w:szCs w:val="18"/>
          <w:lang w:val="el-GR"/>
        </w:rPr>
        <w:t xml:space="preserve"> προχώρησαν με αναβαθμίσεις. Συγκεκριμένα ο οίκος Moody’s αναβάθμισε τη μακροπρόθεσμη πιστοληπτική αξιολόγηση της Τράπεζας σε Baa1, 2 βαθμίδες πάνω από την επενδυτική βαθμίδα, που αποτελεί την υψηλότερη μακροπρόθεσμη πιστοληπτική αξιολόγηση της Τράπεζας από το 2011.</w:t>
      </w:r>
    </w:p>
    <w:p w14:paraId="136D4874" w14:textId="14C40A1B" w:rsidR="00A92737" w:rsidRPr="003A434B" w:rsidRDefault="00A92737" w:rsidP="00A92737">
      <w:pPr>
        <w:spacing w:line="240" w:lineRule="auto"/>
        <w:jc w:val="both"/>
        <w:rPr>
          <w:rFonts w:ascii="Arial" w:hAnsi="Arial" w:cs="Arial"/>
          <w:i/>
          <w:iCs/>
          <w:sz w:val="18"/>
          <w:szCs w:val="18"/>
          <w:lang w:val="el-GR"/>
        </w:rPr>
      </w:pPr>
      <w:r w:rsidRPr="003A434B">
        <w:rPr>
          <w:rFonts w:ascii="Arial" w:hAnsi="Arial" w:cs="Arial"/>
          <w:i/>
          <w:iCs/>
          <w:sz w:val="18"/>
          <w:szCs w:val="18"/>
          <w:lang w:val="el-GR"/>
        </w:rPr>
        <w:t>Λαμβάνοντας υπόψη την ισχυρή επίδοση καθώς και το ευνοϊκό μακροοικονομικό περιβάλλον, αναβαθμίζουμε σήμερα τους οικονομικούς μας στόχους για το 2024 και 2025. Αναμένουμε Απόδοση Ενσώματων Ιδίων Κεφαλαίων (ROTE) μεγαλύτερη από 19% για το 2024 και σε επίπεδα mid-teens για το 2025, με ισχυρή ετήσια δημιουργία κεφαλαί</w:t>
      </w:r>
      <w:r>
        <w:rPr>
          <w:rFonts w:ascii="Arial" w:hAnsi="Arial" w:cs="Arial"/>
          <w:i/>
          <w:iCs/>
          <w:sz w:val="18"/>
          <w:szCs w:val="18"/>
          <w:lang w:val="el-GR"/>
        </w:rPr>
        <w:t>ων</w:t>
      </w:r>
      <w:r w:rsidRPr="003A434B">
        <w:rPr>
          <w:rFonts w:ascii="Arial" w:hAnsi="Arial" w:cs="Arial"/>
          <w:i/>
          <w:iCs/>
          <w:sz w:val="18"/>
          <w:szCs w:val="18"/>
          <w:lang w:val="el-GR"/>
        </w:rPr>
        <w:t xml:space="preserve"> (CET1) πριν την αφαίρεση των διανομών</w:t>
      </w:r>
      <w:r w:rsidR="00CA05EE">
        <w:rPr>
          <w:rFonts w:ascii="Arial" w:hAnsi="Arial" w:cs="Arial"/>
          <w:i/>
          <w:iCs/>
          <w:sz w:val="18"/>
          <w:szCs w:val="18"/>
          <w:lang w:val="el-GR"/>
        </w:rPr>
        <w:t>,</w:t>
      </w:r>
      <w:r w:rsidRPr="003A434B">
        <w:rPr>
          <w:rFonts w:ascii="Arial" w:hAnsi="Arial" w:cs="Arial"/>
          <w:i/>
          <w:iCs/>
          <w:sz w:val="18"/>
          <w:szCs w:val="18"/>
          <w:lang w:val="el-GR"/>
        </w:rPr>
        <w:t xml:space="preserve"> μεγαλύτερη από 300 μ.β.</w:t>
      </w:r>
    </w:p>
    <w:p w14:paraId="6281591D" w14:textId="62A4DEFC" w:rsidR="00A92737" w:rsidRPr="003A434B" w:rsidRDefault="00A92737" w:rsidP="00A92737">
      <w:pPr>
        <w:spacing w:line="240" w:lineRule="auto"/>
        <w:jc w:val="both"/>
        <w:rPr>
          <w:rFonts w:ascii="Arial" w:hAnsi="Arial" w:cs="Arial"/>
          <w:i/>
          <w:iCs/>
          <w:sz w:val="18"/>
          <w:szCs w:val="18"/>
          <w:lang w:val="el-GR"/>
        </w:rPr>
      </w:pPr>
      <w:r w:rsidRPr="003A434B">
        <w:rPr>
          <w:rFonts w:ascii="Arial" w:hAnsi="Arial" w:cs="Arial"/>
          <w:i/>
          <w:iCs/>
          <w:sz w:val="18"/>
          <w:szCs w:val="18"/>
          <w:lang w:val="el-GR"/>
        </w:rPr>
        <w:t xml:space="preserve">H </w:t>
      </w:r>
      <w:r>
        <w:rPr>
          <w:rFonts w:ascii="Arial" w:hAnsi="Arial" w:cs="Arial"/>
          <w:i/>
          <w:iCs/>
          <w:sz w:val="18"/>
          <w:szCs w:val="18"/>
          <w:lang w:val="el-GR"/>
        </w:rPr>
        <w:t>δέσμευση μας</w:t>
      </w:r>
      <w:r w:rsidRPr="003A434B">
        <w:rPr>
          <w:rFonts w:ascii="Arial" w:hAnsi="Arial" w:cs="Arial"/>
          <w:i/>
          <w:iCs/>
          <w:sz w:val="18"/>
          <w:szCs w:val="18"/>
          <w:lang w:val="el-GR"/>
        </w:rPr>
        <w:t xml:space="preserve"> για </w:t>
      </w:r>
      <w:r>
        <w:rPr>
          <w:rFonts w:ascii="Arial" w:hAnsi="Arial" w:cs="Arial"/>
          <w:i/>
          <w:iCs/>
          <w:sz w:val="18"/>
          <w:szCs w:val="18"/>
          <w:lang w:val="el-GR"/>
        </w:rPr>
        <w:t xml:space="preserve">επίτευξη </w:t>
      </w:r>
      <w:r w:rsidRPr="003A434B">
        <w:rPr>
          <w:rFonts w:ascii="Arial" w:hAnsi="Arial" w:cs="Arial"/>
          <w:i/>
          <w:iCs/>
          <w:sz w:val="18"/>
          <w:szCs w:val="18"/>
          <w:lang w:val="el-GR"/>
        </w:rPr>
        <w:t xml:space="preserve">σταθερής απόδοσης </w:t>
      </w:r>
      <w:r>
        <w:rPr>
          <w:rFonts w:ascii="Arial" w:hAnsi="Arial" w:cs="Arial"/>
          <w:i/>
          <w:iCs/>
          <w:sz w:val="18"/>
          <w:szCs w:val="18"/>
          <w:lang w:val="el-GR"/>
        </w:rPr>
        <w:t>για τους</w:t>
      </w:r>
      <w:r w:rsidRPr="003A434B">
        <w:rPr>
          <w:rFonts w:ascii="Arial" w:hAnsi="Arial" w:cs="Arial"/>
          <w:i/>
          <w:iCs/>
          <w:sz w:val="18"/>
          <w:szCs w:val="18"/>
          <w:lang w:val="el-GR"/>
        </w:rPr>
        <w:t xml:space="preserve"> μετόχους μας αποδεικνύεται από τη</w:t>
      </w:r>
      <w:r>
        <w:rPr>
          <w:rFonts w:ascii="Arial" w:hAnsi="Arial" w:cs="Arial"/>
          <w:i/>
          <w:iCs/>
          <w:sz w:val="18"/>
          <w:szCs w:val="18"/>
          <w:lang w:val="el-GR"/>
        </w:rPr>
        <w:t>ν συνολική</w:t>
      </w:r>
      <w:r w:rsidRPr="003A434B">
        <w:rPr>
          <w:rFonts w:ascii="Arial" w:hAnsi="Arial" w:cs="Arial"/>
          <w:i/>
          <w:iCs/>
          <w:sz w:val="18"/>
          <w:szCs w:val="18"/>
          <w:lang w:val="el-GR"/>
        </w:rPr>
        <w:t xml:space="preserve"> διανομή ύψους €137 εκατ. από την κερδοφορία του 2023</w:t>
      </w:r>
      <w:r>
        <w:rPr>
          <w:rFonts w:ascii="Arial" w:hAnsi="Arial" w:cs="Arial"/>
          <w:i/>
          <w:iCs/>
          <w:sz w:val="18"/>
          <w:szCs w:val="18"/>
          <w:lang w:val="el-GR"/>
        </w:rPr>
        <w:t xml:space="preserve"> </w:t>
      </w:r>
      <w:r w:rsidRPr="00BF4546">
        <w:rPr>
          <w:rFonts w:ascii="Arial" w:hAnsi="Arial" w:cs="Arial"/>
          <w:i/>
          <w:iCs/>
          <w:sz w:val="18"/>
          <w:szCs w:val="18"/>
          <w:lang w:val="el-GR"/>
        </w:rPr>
        <w:t>η οποία περιλάμβανε</w:t>
      </w:r>
      <w:r w:rsidRPr="003A434B">
        <w:rPr>
          <w:rFonts w:ascii="Arial" w:hAnsi="Arial" w:cs="Arial"/>
          <w:i/>
          <w:iCs/>
          <w:sz w:val="18"/>
          <w:szCs w:val="18"/>
          <w:lang w:val="el-GR"/>
        </w:rPr>
        <w:t xml:space="preserve"> πληρωμή μερίσματος σε μετρητά ύψους €112 εκατ. που πραγματοποιήθηκε τον Ιούνιο 2024 και επαναγορά ιδίων μετοχών ύψους €25 εκατ. που ξεκίνησε τον Απρίλιο 2024. </w:t>
      </w:r>
      <w:r>
        <w:rPr>
          <w:rFonts w:ascii="Arial" w:hAnsi="Arial" w:cs="Arial"/>
          <w:i/>
          <w:iCs/>
          <w:sz w:val="18"/>
          <w:szCs w:val="18"/>
          <w:lang w:val="el-GR"/>
        </w:rPr>
        <w:t>Για το 2024 σ</w:t>
      </w:r>
      <w:r w:rsidRPr="00BF4546">
        <w:rPr>
          <w:rFonts w:ascii="Arial" w:hAnsi="Arial" w:cs="Arial"/>
          <w:i/>
          <w:iCs/>
          <w:sz w:val="18"/>
          <w:szCs w:val="18"/>
          <w:lang w:val="el-GR"/>
        </w:rPr>
        <w:t xml:space="preserve">τοχεύουμε σε διανομή προς το υψηλότερο άκρο του εύρους του </w:t>
      </w:r>
      <w:r>
        <w:rPr>
          <w:rFonts w:ascii="Arial" w:hAnsi="Arial" w:cs="Arial"/>
          <w:i/>
          <w:iCs/>
          <w:sz w:val="18"/>
          <w:szCs w:val="18"/>
          <w:lang w:val="el-GR"/>
        </w:rPr>
        <w:t>ποσοστού</w:t>
      </w:r>
      <w:r w:rsidRPr="00BF4546">
        <w:rPr>
          <w:rFonts w:ascii="Arial" w:hAnsi="Arial" w:cs="Arial"/>
          <w:i/>
          <w:iCs/>
          <w:sz w:val="18"/>
          <w:szCs w:val="18"/>
          <w:lang w:val="el-GR"/>
        </w:rPr>
        <w:t xml:space="preserve"> διανομής μας (δηλαδή 50%), ανάλογα με τις συνθήκες της αγοράς και τις απαιτούμενες εγκρίσεις. Δεδομένης της ισχυρής δημιουργίας κεφαλαίων, θα επανεξετάσουμε την πολιτική διανομής μας μαζί με τα </w:t>
      </w:r>
      <w:r w:rsidRPr="003A434B">
        <w:rPr>
          <w:rFonts w:ascii="Arial" w:hAnsi="Arial" w:cs="Arial"/>
          <w:i/>
          <w:iCs/>
          <w:sz w:val="18"/>
          <w:szCs w:val="18"/>
          <w:lang w:val="el-GR"/>
        </w:rPr>
        <w:t>οικονομικά αποτελέσματα του 2024 στο πλαίσιο των εκάστοτε συνθηκών της αγοράς</w:t>
      </w:r>
      <w:r w:rsidRPr="007C545D">
        <w:rPr>
          <w:rFonts w:ascii="Arial" w:hAnsi="Arial" w:cs="Arial"/>
          <w:i/>
          <w:iCs/>
          <w:sz w:val="18"/>
          <w:szCs w:val="18"/>
          <w:lang w:val="el-GR"/>
        </w:rPr>
        <w:t>.</w:t>
      </w:r>
    </w:p>
    <w:p w14:paraId="1744989C" w14:textId="77777777" w:rsidR="00A92737" w:rsidRPr="003A434B" w:rsidRDefault="00A92737" w:rsidP="00A92737">
      <w:pPr>
        <w:spacing w:line="240" w:lineRule="auto"/>
        <w:jc w:val="both"/>
        <w:rPr>
          <w:rFonts w:ascii="Arial" w:hAnsi="Arial" w:cs="Arial"/>
          <w:i/>
          <w:iCs/>
          <w:sz w:val="18"/>
          <w:szCs w:val="18"/>
          <w:lang w:val="el-GR"/>
        </w:rPr>
      </w:pPr>
      <w:r w:rsidRPr="003A434B">
        <w:rPr>
          <w:rFonts w:ascii="Arial" w:hAnsi="Arial" w:cs="Arial"/>
          <w:i/>
          <w:iCs/>
          <w:sz w:val="18"/>
          <w:szCs w:val="18"/>
          <w:lang w:val="el-GR"/>
        </w:rPr>
        <w:t xml:space="preserve">Στην Τράπεζα Κύπρου αξιολογούμε τακτικά </w:t>
      </w:r>
      <w:r>
        <w:rPr>
          <w:rFonts w:ascii="Arial" w:hAnsi="Arial" w:cs="Arial"/>
          <w:i/>
          <w:iCs/>
          <w:sz w:val="18"/>
          <w:szCs w:val="18"/>
          <w:lang w:val="el-GR"/>
        </w:rPr>
        <w:t xml:space="preserve">την στρατηγική μας </w:t>
      </w:r>
      <w:r w:rsidRPr="003A434B">
        <w:rPr>
          <w:rFonts w:ascii="Arial" w:hAnsi="Arial" w:cs="Arial"/>
          <w:i/>
          <w:iCs/>
          <w:sz w:val="18"/>
          <w:szCs w:val="18"/>
          <w:lang w:val="el-GR"/>
        </w:rPr>
        <w:t xml:space="preserve">για δημιουργία σταθερής αξίας για τους μετόχους. Ένα από τα θέματα που αξιολογούμε είναι </w:t>
      </w:r>
      <w:r>
        <w:rPr>
          <w:rFonts w:ascii="Arial" w:hAnsi="Arial" w:cs="Arial"/>
          <w:i/>
          <w:iCs/>
          <w:sz w:val="18"/>
          <w:szCs w:val="18"/>
          <w:lang w:val="el-GR"/>
        </w:rPr>
        <w:t>ο καλύτερος τρόπος παρουσίας του</w:t>
      </w:r>
      <w:r w:rsidRPr="003A434B">
        <w:rPr>
          <w:rFonts w:ascii="Arial" w:hAnsi="Arial" w:cs="Arial"/>
          <w:i/>
          <w:iCs/>
          <w:sz w:val="18"/>
          <w:szCs w:val="18"/>
          <w:lang w:val="el-GR"/>
        </w:rPr>
        <w:t xml:space="preserve"> Συγκροτήματος στις αγορές</w:t>
      </w:r>
      <w:r w:rsidRPr="007C545D">
        <w:rPr>
          <w:rFonts w:ascii="Arial" w:hAnsi="Arial" w:cs="Arial"/>
          <w:i/>
          <w:iCs/>
          <w:sz w:val="18"/>
          <w:szCs w:val="18"/>
          <w:lang w:val="el-GR"/>
        </w:rPr>
        <w:t xml:space="preserve"> με στόχο </w:t>
      </w:r>
      <w:r>
        <w:rPr>
          <w:rFonts w:ascii="Arial" w:hAnsi="Arial" w:cs="Arial"/>
          <w:i/>
          <w:iCs/>
          <w:sz w:val="18"/>
          <w:szCs w:val="18"/>
          <w:lang w:val="el-GR"/>
        </w:rPr>
        <w:t>την πιο εύκολη προσέλκυση νέων επενδυτών</w:t>
      </w:r>
      <w:r w:rsidRPr="003A434B">
        <w:rPr>
          <w:rFonts w:ascii="Arial" w:hAnsi="Arial" w:cs="Arial"/>
          <w:i/>
          <w:iCs/>
          <w:sz w:val="18"/>
          <w:szCs w:val="18"/>
          <w:lang w:val="el-GR"/>
        </w:rPr>
        <w:t xml:space="preserve">. Σε αυτό το πλαίσιο, το Διοικητικό Συμβούλιο κατέληξε πως η εισαγωγή στο Χρηματιστήριο Αθηνών, σε συνδυασμό με τη διαγραφή από το Χρηματιστήριο Αξιών του Λονδίνου, θα αποφέρει μια σειρά από μακροπρόθεσμα στρατηγικά οφέλη και θα ενισχύσει την παρουσία του Συγκροτήματος στις αγορές. Στις επόμενες εβδομάδες θα παρουσιάσουμε τους λόγους για τους οποίους προτείνουμε τα πιο πάνω, με πρόταση που θα τεθεί στους μετόχους σε επερχόμενη Έκτακτη Γενική Συνέλευση που θα συγκληθεί σε εύθετο χρονικό πλαίσιο. </w:t>
      </w:r>
    </w:p>
    <w:p w14:paraId="3D9F61CD" w14:textId="77777777" w:rsidR="00A92737" w:rsidRPr="003A434B" w:rsidRDefault="00A92737" w:rsidP="00A92737">
      <w:pPr>
        <w:spacing w:line="240" w:lineRule="auto"/>
        <w:jc w:val="both"/>
        <w:rPr>
          <w:rFonts w:ascii="Arial" w:hAnsi="Arial" w:cs="Arial"/>
          <w:i/>
          <w:iCs/>
          <w:sz w:val="18"/>
          <w:szCs w:val="18"/>
          <w:lang w:val="el-GR"/>
        </w:rPr>
      </w:pPr>
      <w:r w:rsidRPr="003A434B">
        <w:rPr>
          <w:rFonts w:ascii="Arial" w:hAnsi="Arial" w:cs="Arial"/>
          <w:i/>
          <w:iCs/>
          <w:sz w:val="18"/>
          <w:szCs w:val="18"/>
          <w:lang w:val="el-GR"/>
        </w:rPr>
        <w:t>Είμαστε ευχαριστημένοι με την πρόοδο που έχουμε σημειώσει μέχρι σήμερα και παραμένουμε επικεντρωμένοι στην επίτευξη αποτελεσμάτων για τα βασικά ενδιαφερόμενα μέρη μας. Συνεχίζουμε να υλοποιούμε τη στρατηγική που έχουμε θέσει, ενδυναμώνοντας τη θέση ισχύος μας, εστιάζοντας στη στήριξη των πελατών μας και στη δημιουργία αξίας για τους μετόχους, στηρίζοντας παράλληλα την ανάπτυξη της κυπριακής οικονομίας.»</w:t>
      </w:r>
    </w:p>
    <w:p w14:paraId="04F46D33" w14:textId="77777777" w:rsidR="000A2BEF" w:rsidRPr="006A1797" w:rsidRDefault="000A2BEF" w:rsidP="000A2BEF">
      <w:pPr>
        <w:spacing w:after="0" w:line="360" w:lineRule="auto"/>
        <w:jc w:val="both"/>
        <w:rPr>
          <w:rFonts w:ascii="Arial" w:hAnsi="Arial" w:cs="Arial"/>
          <w:i/>
          <w:iCs/>
          <w:sz w:val="18"/>
          <w:szCs w:val="18"/>
          <w:lang w:val="el-GR"/>
        </w:rPr>
      </w:pPr>
    </w:p>
    <w:p w14:paraId="00D69458" w14:textId="58D10C0C" w:rsidR="000A2BEF" w:rsidRPr="006A1797" w:rsidRDefault="000A2BEF" w:rsidP="00555781">
      <w:pPr>
        <w:jc w:val="right"/>
        <w:rPr>
          <w:rFonts w:ascii="Arial" w:hAnsi="Arial" w:cs="Arial"/>
          <w:b/>
          <w:color w:val="FF9900"/>
          <w:sz w:val="24"/>
          <w:szCs w:val="18"/>
          <w:lang w:val="el-GR"/>
        </w:rPr>
      </w:pPr>
      <w:r w:rsidRPr="006A1797">
        <w:rPr>
          <w:rFonts w:ascii="Arial" w:hAnsi="Arial" w:cs="Arial"/>
          <w:b/>
          <w:bCs/>
          <w:i/>
          <w:iCs/>
          <w:sz w:val="18"/>
          <w:szCs w:val="18"/>
          <w:lang w:val="el-GR"/>
        </w:rPr>
        <w:t>Πανίκος Νικολάου</w:t>
      </w:r>
      <w:bookmarkEnd w:id="3"/>
    </w:p>
    <w:p w14:paraId="60B1E5FF" w14:textId="77777777" w:rsidR="007E2884" w:rsidRPr="006B5511" w:rsidRDefault="007E2884" w:rsidP="000A2BEF">
      <w:pPr>
        <w:jc w:val="both"/>
        <w:rPr>
          <w:rFonts w:ascii="Arial" w:hAnsi="Arial" w:cs="Arial"/>
          <w:i/>
          <w:iCs/>
          <w:sz w:val="18"/>
          <w:szCs w:val="18"/>
          <w:highlight w:val="yellow"/>
          <w:vertAlign w:val="superscript"/>
          <w:lang w:val="el-GR"/>
        </w:rPr>
      </w:pPr>
    </w:p>
    <w:p w14:paraId="76FFDDD7" w14:textId="77777777" w:rsidR="007E2884" w:rsidRDefault="007E2884" w:rsidP="000A2BEF">
      <w:pPr>
        <w:jc w:val="both"/>
        <w:rPr>
          <w:rFonts w:ascii="Arial" w:hAnsi="Arial" w:cs="Arial"/>
          <w:i/>
          <w:iCs/>
          <w:sz w:val="18"/>
          <w:szCs w:val="18"/>
          <w:highlight w:val="yellow"/>
          <w:vertAlign w:val="superscript"/>
          <w:lang w:val="en-US"/>
        </w:rPr>
      </w:pPr>
    </w:p>
    <w:p w14:paraId="6498DB4A" w14:textId="77777777" w:rsidR="00A92737" w:rsidRPr="00A92737" w:rsidRDefault="00A92737" w:rsidP="000A2BEF">
      <w:pPr>
        <w:jc w:val="both"/>
        <w:rPr>
          <w:rFonts w:ascii="Arial" w:hAnsi="Arial" w:cs="Arial"/>
          <w:i/>
          <w:iCs/>
          <w:sz w:val="18"/>
          <w:szCs w:val="18"/>
          <w:highlight w:val="yellow"/>
          <w:vertAlign w:val="superscript"/>
          <w:lang w:val="en-US"/>
        </w:rPr>
      </w:pPr>
    </w:p>
    <w:p w14:paraId="4503D318" w14:textId="77777777" w:rsidR="000122F2" w:rsidRDefault="000122F2" w:rsidP="000A2BEF">
      <w:pPr>
        <w:jc w:val="both"/>
        <w:rPr>
          <w:rFonts w:ascii="Arial" w:hAnsi="Arial" w:cs="Arial"/>
          <w:i/>
          <w:iCs/>
          <w:sz w:val="16"/>
          <w:szCs w:val="16"/>
          <w:lang w:val="el-GR"/>
        </w:rPr>
      </w:pPr>
    </w:p>
    <w:p w14:paraId="57BE56F7" w14:textId="77777777" w:rsidR="002E7729" w:rsidRDefault="002E7729" w:rsidP="000A2BEF">
      <w:pPr>
        <w:jc w:val="both"/>
        <w:rPr>
          <w:rFonts w:ascii="Arial" w:hAnsi="Arial" w:cs="Arial"/>
          <w:i/>
          <w:iCs/>
          <w:sz w:val="16"/>
          <w:szCs w:val="16"/>
          <w:lang w:val="en-US"/>
        </w:rPr>
      </w:pPr>
    </w:p>
    <w:p w14:paraId="488C85D4" w14:textId="77777777" w:rsidR="007525A8" w:rsidRPr="007525A8" w:rsidRDefault="007525A8" w:rsidP="000A2BEF">
      <w:pPr>
        <w:jc w:val="both"/>
        <w:rPr>
          <w:rFonts w:ascii="Arial" w:hAnsi="Arial" w:cs="Arial"/>
          <w:i/>
          <w:iCs/>
          <w:sz w:val="16"/>
          <w:szCs w:val="16"/>
          <w:lang w:val="en-US"/>
        </w:rPr>
      </w:pPr>
    </w:p>
    <w:p w14:paraId="4305B5AE" w14:textId="2B757C5D" w:rsidR="000A2BEF" w:rsidRPr="006A1797" w:rsidRDefault="000A2BEF" w:rsidP="008D10DD">
      <w:pPr>
        <w:pStyle w:val="ListParagraph"/>
        <w:numPr>
          <w:ilvl w:val="0"/>
          <w:numId w:val="21"/>
        </w:numPr>
        <w:jc w:val="both"/>
        <w:rPr>
          <w:rFonts w:ascii="Arial" w:hAnsi="Arial" w:cs="Arial"/>
          <w:sz w:val="16"/>
          <w:lang w:val="el-GR"/>
        </w:rPr>
      </w:pPr>
      <w:r w:rsidRPr="006A1797">
        <w:rPr>
          <w:rFonts w:ascii="Arial" w:hAnsi="Arial" w:cs="Arial"/>
          <w:sz w:val="16"/>
          <w:lang w:val="el-GR"/>
        </w:rPr>
        <w:t xml:space="preserve">Σύμφωνα με τις αρχές του κατ’ εξουσιοδότηση Κανονισμού της (ΕΕ) αριθ. 241/2014. Η πρόβλεψη για </w:t>
      </w:r>
      <w:r w:rsidR="007E2884" w:rsidRPr="006A1797">
        <w:rPr>
          <w:rFonts w:ascii="Arial" w:hAnsi="Arial" w:cs="Arial"/>
          <w:sz w:val="16"/>
          <w:lang w:val="el-GR"/>
        </w:rPr>
        <w:t xml:space="preserve">διανομή </w:t>
      </w:r>
      <w:r w:rsidRPr="006A1797">
        <w:rPr>
          <w:rFonts w:ascii="Arial" w:hAnsi="Arial" w:cs="Arial"/>
          <w:sz w:val="16"/>
          <w:lang w:val="el-GR"/>
        </w:rPr>
        <w:t>δεν αποτελεί</w:t>
      </w:r>
      <w:r w:rsidR="007525A8" w:rsidRPr="007525A8">
        <w:rPr>
          <w:rFonts w:ascii="Arial" w:hAnsi="Arial" w:cs="Arial"/>
          <w:sz w:val="16"/>
          <w:lang w:val="el-GR"/>
        </w:rPr>
        <w:t xml:space="preserve"> </w:t>
      </w:r>
      <w:r w:rsidRPr="006A1797">
        <w:rPr>
          <w:rFonts w:ascii="Arial" w:hAnsi="Arial" w:cs="Arial"/>
          <w:sz w:val="16"/>
          <w:lang w:val="el-GR"/>
        </w:rPr>
        <w:t xml:space="preserve">έγκριση, ούτε αποτελεί απόφαση από την Τράπεζα για καταβολή </w:t>
      </w:r>
      <w:r w:rsidR="007E2884" w:rsidRPr="006A1797">
        <w:rPr>
          <w:rFonts w:ascii="Arial" w:hAnsi="Arial" w:cs="Arial"/>
          <w:sz w:val="16"/>
          <w:lang w:val="el-GR"/>
        </w:rPr>
        <w:t xml:space="preserve">διανομής </w:t>
      </w:r>
      <w:r w:rsidRPr="006A1797">
        <w:rPr>
          <w:rFonts w:ascii="Arial" w:hAnsi="Arial" w:cs="Arial"/>
          <w:sz w:val="16"/>
          <w:lang w:val="el-GR"/>
        </w:rPr>
        <w:t xml:space="preserve">για το έτος </w:t>
      </w:r>
      <w:r w:rsidR="007E2884" w:rsidRPr="006A1797">
        <w:rPr>
          <w:rFonts w:ascii="Arial" w:hAnsi="Arial" w:cs="Arial"/>
          <w:sz w:val="16"/>
          <w:lang w:val="el-GR"/>
        </w:rPr>
        <w:t>2024</w:t>
      </w:r>
      <w:r w:rsidRPr="006A1797">
        <w:rPr>
          <w:rFonts w:ascii="Arial" w:hAnsi="Arial" w:cs="Arial"/>
          <w:sz w:val="16"/>
          <w:lang w:val="el-GR"/>
        </w:rPr>
        <w:t xml:space="preserve">. </w:t>
      </w:r>
    </w:p>
    <w:p w14:paraId="47BE903C" w14:textId="282FAA34" w:rsidR="007E5108" w:rsidRPr="006A1797" w:rsidRDefault="007E5108" w:rsidP="007E5108">
      <w:pPr>
        <w:pStyle w:val="ListParagraph"/>
        <w:numPr>
          <w:ilvl w:val="0"/>
          <w:numId w:val="21"/>
        </w:numPr>
        <w:jc w:val="both"/>
        <w:rPr>
          <w:rFonts w:ascii="Arial" w:hAnsi="Arial" w:cs="Arial"/>
          <w:sz w:val="16"/>
          <w:lang w:val="el-GR"/>
        </w:rPr>
      </w:pPr>
      <w:r w:rsidRPr="006A1797">
        <w:rPr>
          <w:rFonts w:ascii="Arial" w:hAnsi="Arial" w:cs="Arial"/>
          <w:sz w:val="16"/>
          <w:lang w:val="el-GR"/>
        </w:rPr>
        <w:t xml:space="preserve">Πηγή: Υπουργείο Οικονομικών Κύπρου, προβλέψεις </w:t>
      </w:r>
      <w:r w:rsidR="00E33277" w:rsidRPr="006A1797">
        <w:rPr>
          <w:rFonts w:ascii="Arial" w:hAnsi="Arial" w:cs="Arial"/>
          <w:sz w:val="16"/>
          <w:lang w:val="el-GR"/>
        </w:rPr>
        <w:t>Μαΐου</w:t>
      </w:r>
      <w:r w:rsidRPr="006A1797">
        <w:rPr>
          <w:rFonts w:ascii="Arial" w:hAnsi="Arial" w:cs="Arial"/>
          <w:sz w:val="16"/>
          <w:lang w:val="el-GR"/>
        </w:rPr>
        <w:t xml:space="preserve"> 2024</w:t>
      </w:r>
    </w:p>
    <w:p w14:paraId="03B8A377" w14:textId="77777777" w:rsidR="006B5511" w:rsidRPr="00CB38F0" w:rsidRDefault="006B5511" w:rsidP="00CB38F0">
      <w:pPr>
        <w:ind w:right="133"/>
        <w:rPr>
          <w:rFonts w:ascii="Arial" w:hAnsi="Arial" w:cs="Arial"/>
          <w:b/>
          <w:color w:val="FF9900"/>
          <w:sz w:val="24"/>
          <w:szCs w:val="24"/>
          <w:lang w:val="el-GR"/>
        </w:rPr>
      </w:pPr>
      <w:r w:rsidRPr="00F95BEB">
        <w:rPr>
          <w:rFonts w:ascii="Arial" w:hAnsi="Arial" w:cs="Arial"/>
          <w:b/>
          <w:color w:val="FF9900"/>
          <w:sz w:val="24"/>
          <w:szCs w:val="24"/>
          <w:lang w:val="en-US"/>
        </w:rPr>
        <w:lastRenderedPageBreak/>
        <w:t>A</w:t>
      </w:r>
      <w:r w:rsidRPr="00CB38F0">
        <w:rPr>
          <w:rFonts w:ascii="Arial" w:hAnsi="Arial" w:cs="Arial"/>
          <w:b/>
          <w:color w:val="FF9900"/>
          <w:sz w:val="24"/>
          <w:szCs w:val="24"/>
          <w:lang w:val="el-GR"/>
        </w:rPr>
        <w:t xml:space="preserve">. Οικονομικά Αποτελέσματα Συγκροτήματος - στην απαιτούμενη από τη νομοθεσία βάση </w:t>
      </w:r>
    </w:p>
    <w:p w14:paraId="5D63B97C" w14:textId="1DD83A5B" w:rsidR="006B5511" w:rsidRPr="00DD7572" w:rsidRDefault="006B5511" w:rsidP="006B5511">
      <w:pPr>
        <w:tabs>
          <w:tab w:val="left" w:pos="851"/>
        </w:tabs>
        <w:spacing w:line="240" w:lineRule="auto"/>
        <w:jc w:val="both"/>
        <w:rPr>
          <w:rFonts w:ascii="Arial" w:hAnsi="Arial" w:cs="Arial"/>
          <w:b/>
          <w:color w:val="FF9900"/>
          <w:lang w:val="el-GR"/>
        </w:rPr>
      </w:pPr>
      <w:r w:rsidRPr="00DD7572">
        <w:rPr>
          <w:rFonts w:ascii="Arial" w:hAnsi="Arial" w:cs="Arial"/>
          <w:b/>
          <w:color w:val="FF9900"/>
          <w:lang w:val="el-GR"/>
        </w:rPr>
        <w:t xml:space="preserve">Ενδιάμεση Ενοποιημένη Κατάσταση Λογαριασμού Αποτελεσμάτων για το εξάμηνο που έληξε στις 30 Ιουνίου </w:t>
      </w:r>
      <w:r w:rsidR="00962DAE">
        <w:rPr>
          <w:rFonts w:ascii="Arial" w:hAnsi="Arial" w:cs="Arial"/>
          <w:b/>
          <w:color w:val="FF9900"/>
          <w:lang w:val="el-GR"/>
        </w:rPr>
        <w:t>2024</w:t>
      </w:r>
    </w:p>
    <w:tbl>
      <w:tblPr>
        <w:tblW w:w="1006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6941"/>
        <w:gridCol w:w="1559"/>
        <w:gridCol w:w="1560"/>
      </w:tblGrid>
      <w:tr w:rsidR="00F940C8" w:rsidRPr="00F931DF" w14:paraId="140009E6" w14:textId="77777777" w:rsidTr="00A21CB9">
        <w:trPr>
          <w:trHeight w:val="170"/>
          <w:jc w:val="center"/>
        </w:trPr>
        <w:tc>
          <w:tcPr>
            <w:tcW w:w="6941" w:type="dxa"/>
            <w:vMerge w:val="restart"/>
            <w:shd w:val="clear" w:color="auto" w:fill="auto"/>
            <w:vAlign w:val="center"/>
          </w:tcPr>
          <w:p w14:paraId="207CD93A" w14:textId="77777777" w:rsidR="00F940C8" w:rsidRPr="006A1797" w:rsidRDefault="00F940C8" w:rsidP="00A21CB9">
            <w:pPr>
              <w:spacing w:after="0" w:line="240" w:lineRule="auto"/>
              <w:rPr>
                <w:rFonts w:ascii="Arial" w:eastAsia="Batang" w:hAnsi="Arial" w:cs="Arial"/>
                <w:b/>
                <w:color w:val="000000" w:themeColor="text1"/>
                <w:sz w:val="16"/>
                <w:szCs w:val="16"/>
                <w:lang w:val="el-GR" w:eastAsia="en-US"/>
              </w:rPr>
            </w:pPr>
          </w:p>
        </w:tc>
        <w:tc>
          <w:tcPr>
            <w:tcW w:w="3119" w:type="dxa"/>
            <w:gridSpan w:val="2"/>
            <w:tcBorders>
              <w:bottom w:val="single" w:sz="4" w:space="0" w:color="C0C0C0"/>
            </w:tcBorders>
            <w:shd w:val="clear" w:color="auto" w:fill="auto"/>
            <w:vAlign w:val="center"/>
          </w:tcPr>
          <w:p w14:paraId="24AF8056" w14:textId="77777777" w:rsidR="00F940C8" w:rsidRPr="006A1797" w:rsidRDefault="00F940C8" w:rsidP="00F940C8">
            <w:pPr>
              <w:spacing w:after="0" w:line="240" w:lineRule="auto"/>
              <w:jc w:val="center"/>
              <w:rPr>
                <w:rFonts w:ascii="Arial" w:eastAsia="Batang" w:hAnsi="Arial" w:cs="Arial"/>
                <w:b/>
                <w:color w:val="000000" w:themeColor="text1"/>
                <w:sz w:val="18"/>
                <w:szCs w:val="18"/>
                <w:lang w:val="el-GR" w:eastAsia="en-US"/>
              </w:rPr>
            </w:pPr>
            <w:r w:rsidRPr="006A1797">
              <w:rPr>
                <w:rFonts w:ascii="Arial" w:eastAsia="Batang" w:hAnsi="Arial" w:cs="Arial"/>
                <w:b/>
                <w:color w:val="000000" w:themeColor="text1"/>
                <w:sz w:val="18"/>
                <w:szCs w:val="18"/>
                <w:lang w:val="el-GR" w:eastAsia="en-US"/>
              </w:rPr>
              <w:t xml:space="preserve">Εξάμηνο που έληξε στις </w:t>
            </w:r>
          </w:p>
          <w:p w14:paraId="37E2D487" w14:textId="7BDB18D0" w:rsidR="00F940C8" w:rsidRPr="006A1797" w:rsidRDefault="00F940C8" w:rsidP="00F940C8">
            <w:pPr>
              <w:spacing w:after="0" w:line="240" w:lineRule="auto"/>
              <w:jc w:val="center"/>
              <w:rPr>
                <w:rFonts w:ascii="Arial" w:eastAsia="Batang" w:hAnsi="Arial" w:cs="Arial"/>
                <w:b/>
                <w:color w:val="000000" w:themeColor="text1"/>
                <w:sz w:val="16"/>
                <w:szCs w:val="16"/>
                <w:lang w:val="el-GR" w:eastAsia="en-US"/>
              </w:rPr>
            </w:pPr>
            <w:r w:rsidRPr="006A1797">
              <w:rPr>
                <w:rFonts w:ascii="Arial" w:eastAsia="Batang" w:hAnsi="Arial" w:cs="Arial"/>
                <w:b/>
                <w:color w:val="000000" w:themeColor="text1"/>
                <w:sz w:val="18"/>
                <w:szCs w:val="18"/>
                <w:lang w:val="el-GR" w:eastAsia="en-US"/>
              </w:rPr>
              <w:t>30 Ιουνίου</w:t>
            </w:r>
          </w:p>
        </w:tc>
      </w:tr>
      <w:tr w:rsidR="00F940C8" w:rsidRPr="000F2475" w14:paraId="0E034B69" w14:textId="77777777" w:rsidTr="00A21CB9">
        <w:trPr>
          <w:trHeight w:val="478"/>
          <w:jc w:val="center"/>
        </w:trPr>
        <w:tc>
          <w:tcPr>
            <w:tcW w:w="6941" w:type="dxa"/>
            <w:vMerge/>
            <w:shd w:val="clear" w:color="auto" w:fill="auto"/>
            <w:vAlign w:val="center"/>
          </w:tcPr>
          <w:p w14:paraId="608881A3" w14:textId="77777777" w:rsidR="00F940C8" w:rsidRPr="006A1797" w:rsidRDefault="00F940C8" w:rsidP="00A21CB9">
            <w:pPr>
              <w:spacing w:after="0" w:line="240" w:lineRule="auto"/>
              <w:rPr>
                <w:rFonts w:ascii="Arial" w:eastAsia="Batang" w:hAnsi="Arial" w:cs="Arial"/>
                <w:b/>
                <w:color w:val="000000" w:themeColor="text1"/>
                <w:sz w:val="16"/>
                <w:szCs w:val="16"/>
                <w:lang w:val="el-GR" w:eastAsia="en-US"/>
              </w:rPr>
            </w:pPr>
          </w:p>
        </w:tc>
        <w:tc>
          <w:tcPr>
            <w:tcW w:w="1559" w:type="dxa"/>
            <w:tcBorders>
              <w:bottom w:val="single" w:sz="4" w:space="0" w:color="C0C0C0"/>
            </w:tcBorders>
            <w:shd w:val="clear" w:color="auto" w:fill="auto"/>
            <w:vAlign w:val="center"/>
          </w:tcPr>
          <w:p w14:paraId="6FE2362F" w14:textId="77777777" w:rsidR="00F940C8" w:rsidRPr="006A1797" w:rsidRDefault="00F940C8" w:rsidP="00A21CB9">
            <w:pPr>
              <w:spacing w:after="0" w:line="240" w:lineRule="auto"/>
              <w:jc w:val="center"/>
              <w:rPr>
                <w:rFonts w:ascii="Arial" w:eastAsia="Batang" w:hAnsi="Arial" w:cs="Arial"/>
                <w:b/>
                <w:color w:val="000000" w:themeColor="text1"/>
                <w:sz w:val="18"/>
                <w:szCs w:val="18"/>
                <w:lang w:val="en-US" w:eastAsia="en-US"/>
              </w:rPr>
            </w:pPr>
            <w:r w:rsidRPr="006A1797">
              <w:rPr>
                <w:rFonts w:ascii="Arial" w:eastAsia="Batang" w:hAnsi="Arial" w:cs="Arial"/>
                <w:b/>
                <w:color w:val="000000" w:themeColor="text1"/>
                <w:sz w:val="18"/>
                <w:szCs w:val="18"/>
                <w:lang w:val="el-GR" w:eastAsia="en-US"/>
              </w:rPr>
              <w:t>202</w:t>
            </w:r>
            <w:r w:rsidRPr="006A1797">
              <w:rPr>
                <w:rFonts w:ascii="Arial" w:eastAsia="Batang" w:hAnsi="Arial" w:cs="Arial"/>
                <w:b/>
                <w:color w:val="000000" w:themeColor="text1"/>
                <w:sz w:val="18"/>
                <w:szCs w:val="18"/>
                <w:lang w:val="en-US" w:eastAsia="en-US"/>
              </w:rPr>
              <w:t>4</w:t>
            </w:r>
          </w:p>
        </w:tc>
        <w:tc>
          <w:tcPr>
            <w:tcW w:w="1560" w:type="dxa"/>
            <w:tcBorders>
              <w:bottom w:val="single" w:sz="4" w:space="0" w:color="C0C0C0"/>
            </w:tcBorders>
            <w:shd w:val="clear" w:color="auto" w:fill="auto"/>
            <w:vAlign w:val="center"/>
          </w:tcPr>
          <w:p w14:paraId="54459F76" w14:textId="77777777" w:rsidR="00F940C8" w:rsidRPr="006A1797" w:rsidRDefault="00F940C8" w:rsidP="00A21CB9">
            <w:pPr>
              <w:spacing w:after="0" w:line="240" w:lineRule="auto"/>
              <w:ind w:left="-110" w:right="-101"/>
              <w:jc w:val="center"/>
              <w:rPr>
                <w:rFonts w:ascii="Arial" w:eastAsia="Batang" w:hAnsi="Arial" w:cs="Arial"/>
                <w:color w:val="000000" w:themeColor="text1"/>
                <w:sz w:val="18"/>
                <w:szCs w:val="18"/>
                <w:lang w:val="en-US" w:eastAsia="en-US"/>
              </w:rPr>
            </w:pPr>
            <w:r w:rsidRPr="006A1797">
              <w:rPr>
                <w:rFonts w:ascii="Arial" w:eastAsia="Batang" w:hAnsi="Arial" w:cs="Arial"/>
                <w:color w:val="000000" w:themeColor="text1"/>
                <w:sz w:val="18"/>
                <w:szCs w:val="18"/>
                <w:lang w:val="el-GR" w:eastAsia="en-US"/>
              </w:rPr>
              <w:t>202</w:t>
            </w:r>
            <w:r w:rsidRPr="006A1797">
              <w:rPr>
                <w:rFonts w:ascii="Arial" w:eastAsia="Batang" w:hAnsi="Arial" w:cs="Arial"/>
                <w:color w:val="000000" w:themeColor="text1"/>
                <w:sz w:val="18"/>
                <w:szCs w:val="18"/>
                <w:lang w:val="en-US" w:eastAsia="en-US"/>
              </w:rPr>
              <w:t>3</w:t>
            </w:r>
          </w:p>
        </w:tc>
      </w:tr>
      <w:tr w:rsidR="00F940C8" w:rsidRPr="000F2475" w14:paraId="131792FF" w14:textId="77777777" w:rsidTr="00A21CB9">
        <w:trPr>
          <w:trHeight w:val="255"/>
          <w:jc w:val="center"/>
        </w:trPr>
        <w:tc>
          <w:tcPr>
            <w:tcW w:w="6941" w:type="dxa"/>
            <w:vMerge/>
            <w:shd w:val="clear" w:color="auto" w:fill="auto"/>
            <w:vAlign w:val="center"/>
          </w:tcPr>
          <w:p w14:paraId="2F70B0F2" w14:textId="77777777" w:rsidR="00F940C8" w:rsidRPr="006A1797" w:rsidRDefault="00F940C8" w:rsidP="00A21CB9">
            <w:pPr>
              <w:spacing w:after="0" w:line="240" w:lineRule="auto"/>
              <w:rPr>
                <w:rFonts w:ascii="Arial" w:eastAsia="Batang" w:hAnsi="Arial" w:cs="Arial"/>
                <w:b/>
                <w:color w:val="000000" w:themeColor="text1"/>
                <w:sz w:val="16"/>
                <w:szCs w:val="16"/>
                <w:lang w:val="el-GR" w:eastAsia="en-US"/>
              </w:rPr>
            </w:pPr>
          </w:p>
        </w:tc>
        <w:tc>
          <w:tcPr>
            <w:tcW w:w="1559" w:type="dxa"/>
            <w:tcBorders>
              <w:bottom w:val="single" w:sz="4" w:space="0" w:color="D9D9D9" w:themeColor="background1" w:themeShade="D9"/>
            </w:tcBorders>
            <w:shd w:val="clear" w:color="auto" w:fill="auto"/>
            <w:vAlign w:val="center"/>
          </w:tcPr>
          <w:p w14:paraId="1140F76D" w14:textId="77777777" w:rsidR="00F940C8" w:rsidRPr="006A1797" w:rsidRDefault="00F940C8" w:rsidP="00A21CB9">
            <w:pPr>
              <w:spacing w:after="0" w:line="240" w:lineRule="auto"/>
              <w:jc w:val="center"/>
              <w:rPr>
                <w:rFonts w:ascii="Arial" w:eastAsia="Batang" w:hAnsi="Arial" w:cs="Arial"/>
                <w:b/>
                <w:color w:val="000000" w:themeColor="text1"/>
                <w:sz w:val="18"/>
                <w:szCs w:val="18"/>
                <w:lang w:eastAsia="en-US"/>
              </w:rPr>
            </w:pPr>
            <w:r w:rsidRPr="006A1797">
              <w:rPr>
                <w:rFonts w:ascii="Arial" w:eastAsia="Batang" w:hAnsi="Arial" w:cs="Arial"/>
                <w:b/>
                <w:color w:val="000000" w:themeColor="text1"/>
                <w:sz w:val="18"/>
                <w:szCs w:val="18"/>
                <w:lang w:eastAsia="en-US"/>
              </w:rPr>
              <w:t>€000</w:t>
            </w:r>
          </w:p>
        </w:tc>
        <w:tc>
          <w:tcPr>
            <w:tcW w:w="1560" w:type="dxa"/>
            <w:tcBorders>
              <w:bottom w:val="single" w:sz="4" w:space="0" w:color="D9D9D9" w:themeColor="background1" w:themeShade="D9"/>
            </w:tcBorders>
            <w:shd w:val="clear" w:color="auto" w:fill="auto"/>
            <w:vAlign w:val="center"/>
          </w:tcPr>
          <w:p w14:paraId="0460DD54" w14:textId="77777777" w:rsidR="00F940C8" w:rsidRPr="006A1797" w:rsidRDefault="00F940C8" w:rsidP="00A21CB9">
            <w:pPr>
              <w:spacing w:after="0" w:line="240" w:lineRule="auto"/>
              <w:jc w:val="center"/>
              <w:rPr>
                <w:rFonts w:ascii="Arial" w:eastAsia="Batang" w:hAnsi="Arial" w:cs="Arial"/>
                <w:color w:val="000000" w:themeColor="text1"/>
                <w:sz w:val="18"/>
                <w:szCs w:val="18"/>
                <w:lang w:eastAsia="en-US"/>
              </w:rPr>
            </w:pPr>
            <w:r w:rsidRPr="006A1797">
              <w:rPr>
                <w:rFonts w:ascii="Arial" w:eastAsia="Batang" w:hAnsi="Arial" w:cs="Arial"/>
                <w:color w:val="000000" w:themeColor="text1"/>
                <w:sz w:val="18"/>
                <w:szCs w:val="18"/>
                <w:lang w:eastAsia="en-US"/>
              </w:rPr>
              <w:t>€000</w:t>
            </w:r>
          </w:p>
        </w:tc>
      </w:tr>
      <w:tr w:rsidR="009F73D8" w:rsidRPr="000F2475" w14:paraId="61778210" w14:textId="77777777" w:rsidTr="00CB38F0">
        <w:trPr>
          <w:trHeight w:val="255"/>
          <w:jc w:val="center"/>
        </w:trPr>
        <w:tc>
          <w:tcPr>
            <w:tcW w:w="6941" w:type="dxa"/>
            <w:shd w:val="clear" w:color="auto" w:fill="auto"/>
            <w:vAlign w:val="center"/>
          </w:tcPr>
          <w:p w14:paraId="0A6EEBF3" w14:textId="77777777" w:rsidR="009F73D8" w:rsidRPr="006A1797" w:rsidRDefault="009F73D8" w:rsidP="009F73D8">
            <w:pPr>
              <w:spacing w:after="0" w:line="240" w:lineRule="auto"/>
              <w:jc w:val="both"/>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val="el-GR" w:eastAsia="en-US"/>
              </w:rPr>
              <w:t>Έσοδα από τόκους</w:t>
            </w:r>
          </w:p>
        </w:tc>
        <w:tc>
          <w:tcPr>
            <w:tcW w:w="1559" w:type="dxa"/>
            <w:tcBorders>
              <w:top w:val="single" w:sz="4" w:space="0" w:color="D9D9D9" w:themeColor="background1" w:themeShade="D9"/>
              <w:bottom w:val="single" w:sz="4" w:space="0" w:color="C0C0C0"/>
            </w:tcBorders>
            <w:shd w:val="clear" w:color="auto" w:fill="auto"/>
            <w:vAlign w:val="center"/>
          </w:tcPr>
          <w:p w14:paraId="5C5E7C4D" w14:textId="4B2B15A9"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n-US" w:eastAsia="en-US"/>
              </w:rPr>
            </w:pPr>
            <w:r w:rsidRPr="006A1797">
              <w:rPr>
                <w:rFonts w:ascii="Arial" w:eastAsia="Batang" w:hAnsi="Arial" w:cs="Arial"/>
                <w:b/>
                <w:bCs/>
                <w:color w:val="000000" w:themeColor="text1"/>
                <w:sz w:val="18"/>
                <w:szCs w:val="18"/>
                <w:lang w:eastAsia="en-US"/>
              </w:rPr>
              <w:t>504,330</w:t>
            </w:r>
          </w:p>
        </w:tc>
        <w:tc>
          <w:tcPr>
            <w:tcW w:w="1560" w:type="dxa"/>
            <w:tcBorders>
              <w:top w:val="single" w:sz="4" w:space="0" w:color="D9D9D9" w:themeColor="background1" w:themeShade="D9"/>
              <w:bottom w:val="single" w:sz="4" w:space="0" w:color="C0C0C0"/>
            </w:tcBorders>
            <w:shd w:val="clear" w:color="auto" w:fill="auto"/>
            <w:vAlign w:val="center"/>
          </w:tcPr>
          <w:p w14:paraId="2FD38A90" w14:textId="7DDDBE0D"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eastAsia="en-US"/>
              </w:rPr>
              <w:t>403,852</w:t>
            </w:r>
          </w:p>
        </w:tc>
      </w:tr>
      <w:tr w:rsidR="009F73D8" w:rsidRPr="000A3197" w14:paraId="3032862B" w14:textId="77777777" w:rsidTr="00CB38F0">
        <w:trPr>
          <w:trHeight w:val="255"/>
          <w:jc w:val="center"/>
        </w:trPr>
        <w:tc>
          <w:tcPr>
            <w:tcW w:w="6941" w:type="dxa"/>
            <w:shd w:val="clear" w:color="auto" w:fill="auto"/>
            <w:vAlign w:val="center"/>
          </w:tcPr>
          <w:p w14:paraId="40C59227" w14:textId="77777777" w:rsidR="009F73D8" w:rsidRPr="006A1797" w:rsidRDefault="009F73D8" w:rsidP="009F73D8">
            <w:pPr>
              <w:spacing w:after="0" w:line="240" w:lineRule="auto"/>
              <w:jc w:val="both"/>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val="el-GR" w:eastAsia="en-US"/>
              </w:rPr>
              <w:t>Έσοδα παρόμοια με έσοδα από τόκους</w:t>
            </w:r>
          </w:p>
        </w:tc>
        <w:tc>
          <w:tcPr>
            <w:tcW w:w="1559" w:type="dxa"/>
            <w:tcBorders>
              <w:top w:val="single" w:sz="4" w:space="0" w:color="C0C0C0"/>
              <w:bottom w:val="single" w:sz="4" w:space="0" w:color="C0C0C0"/>
            </w:tcBorders>
            <w:shd w:val="clear" w:color="auto" w:fill="auto"/>
            <w:vAlign w:val="center"/>
          </w:tcPr>
          <w:p w14:paraId="7684C30C" w14:textId="20418D9E"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67,456</w:t>
            </w:r>
          </w:p>
        </w:tc>
        <w:tc>
          <w:tcPr>
            <w:tcW w:w="1560" w:type="dxa"/>
            <w:tcBorders>
              <w:top w:val="single" w:sz="4" w:space="0" w:color="C0C0C0"/>
              <w:bottom w:val="single" w:sz="4" w:space="0" w:color="C0C0C0"/>
            </w:tcBorders>
            <w:shd w:val="clear" w:color="auto" w:fill="auto"/>
            <w:vAlign w:val="center"/>
          </w:tcPr>
          <w:p w14:paraId="5E3B9E3E" w14:textId="70665F3A"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eastAsia="en-US"/>
              </w:rPr>
              <w:t>22,172</w:t>
            </w:r>
          </w:p>
        </w:tc>
      </w:tr>
      <w:tr w:rsidR="009F73D8" w:rsidRPr="000F2475" w14:paraId="0E3392F7" w14:textId="77777777" w:rsidTr="00CB38F0">
        <w:trPr>
          <w:trHeight w:val="255"/>
          <w:jc w:val="center"/>
        </w:trPr>
        <w:tc>
          <w:tcPr>
            <w:tcW w:w="6941" w:type="dxa"/>
            <w:shd w:val="clear" w:color="auto" w:fill="auto"/>
            <w:vAlign w:val="center"/>
          </w:tcPr>
          <w:p w14:paraId="1D51EAB4" w14:textId="77777777" w:rsidR="009F73D8" w:rsidRPr="006A1797" w:rsidRDefault="009F73D8" w:rsidP="009F73D8">
            <w:pPr>
              <w:spacing w:after="0" w:line="240" w:lineRule="auto"/>
              <w:jc w:val="both"/>
              <w:rPr>
                <w:rFonts w:ascii="Arial" w:eastAsia="Batang" w:hAnsi="Arial" w:cs="Arial"/>
                <w:color w:val="000000" w:themeColor="text1"/>
                <w:sz w:val="18"/>
                <w:szCs w:val="18"/>
                <w:lang w:eastAsia="en-US"/>
              </w:rPr>
            </w:pPr>
            <w:r w:rsidRPr="006A1797">
              <w:rPr>
                <w:rFonts w:ascii="Arial" w:eastAsia="Batang" w:hAnsi="Arial" w:cs="Arial"/>
                <w:color w:val="000000" w:themeColor="text1"/>
                <w:sz w:val="18"/>
                <w:szCs w:val="18"/>
                <w:lang w:val="el-GR" w:eastAsia="en-US"/>
              </w:rPr>
              <w:t>Έξοδα από τόκους</w:t>
            </w:r>
            <w:r w:rsidRPr="006A1797">
              <w:rPr>
                <w:rFonts w:ascii="Arial" w:eastAsia="Batang" w:hAnsi="Arial" w:cs="Arial"/>
                <w:color w:val="000000" w:themeColor="text1"/>
                <w:sz w:val="18"/>
                <w:szCs w:val="18"/>
                <w:lang w:eastAsia="en-US"/>
              </w:rPr>
              <w:t xml:space="preserve">  </w:t>
            </w:r>
          </w:p>
        </w:tc>
        <w:tc>
          <w:tcPr>
            <w:tcW w:w="1559" w:type="dxa"/>
            <w:tcBorders>
              <w:bottom w:val="single" w:sz="4" w:space="0" w:color="C0C0C0"/>
            </w:tcBorders>
            <w:shd w:val="clear" w:color="auto" w:fill="auto"/>
            <w:vAlign w:val="center"/>
          </w:tcPr>
          <w:p w14:paraId="6AA5AF04" w14:textId="4D8E65FF"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n-US" w:eastAsia="en-US"/>
              </w:rPr>
            </w:pPr>
            <w:r w:rsidRPr="006A1797">
              <w:rPr>
                <w:rFonts w:ascii="Arial" w:eastAsia="Batang" w:hAnsi="Arial" w:cs="Arial"/>
                <w:b/>
                <w:bCs/>
                <w:color w:val="000000" w:themeColor="text1"/>
                <w:sz w:val="18"/>
                <w:szCs w:val="18"/>
                <w:lang w:eastAsia="en-US"/>
              </w:rPr>
              <w:t>(87,237)</w:t>
            </w:r>
          </w:p>
        </w:tc>
        <w:tc>
          <w:tcPr>
            <w:tcW w:w="1560" w:type="dxa"/>
            <w:tcBorders>
              <w:bottom w:val="single" w:sz="4" w:space="0" w:color="C0C0C0"/>
            </w:tcBorders>
            <w:shd w:val="clear" w:color="auto" w:fill="auto"/>
            <w:vAlign w:val="center"/>
          </w:tcPr>
          <w:p w14:paraId="71380C0F" w14:textId="5CD3F501"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eastAsia="en-US"/>
              </w:rPr>
              <w:t>(56,083)</w:t>
            </w:r>
          </w:p>
        </w:tc>
      </w:tr>
      <w:tr w:rsidR="009F73D8" w:rsidRPr="000A3197" w14:paraId="6EE70C2E" w14:textId="77777777" w:rsidTr="00CB38F0">
        <w:trPr>
          <w:trHeight w:val="255"/>
          <w:jc w:val="center"/>
        </w:trPr>
        <w:tc>
          <w:tcPr>
            <w:tcW w:w="6941" w:type="dxa"/>
            <w:shd w:val="clear" w:color="auto" w:fill="auto"/>
            <w:vAlign w:val="center"/>
          </w:tcPr>
          <w:p w14:paraId="6B99B66A" w14:textId="77777777" w:rsidR="009F73D8" w:rsidRPr="006A1797" w:rsidRDefault="009F73D8" w:rsidP="009F73D8">
            <w:pPr>
              <w:spacing w:after="0" w:line="240" w:lineRule="auto"/>
              <w:jc w:val="both"/>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val="el-GR" w:eastAsia="en-US"/>
              </w:rPr>
              <w:t>Έξοδα παρόμοια με έξοδα από τόκους</w:t>
            </w:r>
          </w:p>
        </w:tc>
        <w:tc>
          <w:tcPr>
            <w:tcW w:w="1559" w:type="dxa"/>
            <w:tcBorders>
              <w:top w:val="single" w:sz="4" w:space="0" w:color="C0C0C0"/>
              <w:bottom w:val="single" w:sz="6" w:space="0" w:color="000000" w:themeColor="text1"/>
            </w:tcBorders>
            <w:shd w:val="clear" w:color="auto" w:fill="auto"/>
            <w:vAlign w:val="center"/>
          </w:tcPr>
          <w:p w14:paraId="02F7F28E" w14:textId="73CE7B71"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(64,666)</w:t>
            </w:r>
          </w:p>
        </w:tc>
        <w:tc>
          <w:tcPr>
            <w:tcW w:w="1560" w:type="dxa"/>
            <w:tcBorders>
              <w:top w:val="single" w:sz="4" w:space="0" w:color="C0C0C0"/>
              <w:bottom w:val="single" w:sz="6" w:space="0" w:color="auto"/>
            </w:tcBorders>
            <w:shd w:val="clear" w:color="auto" w:fill="auto"/>
            <w:vAlign w:val="center"/>
          </w:tcPr>
          <w:p w14:paraId="7D20D061" w14:textId="0855FFD5"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eastAsia="en-US"/>
              </w:rPr>
              <w:t>(11,599)</w:t>
            </w:r>
          </w:p>
        </w:tc>
      </w:tr>
      <w:tr w:rsidR="009F73D8" w:rsidRPr="000F2475" w14:paraId="75BE8AFB" w14:textId="77777777" w:rsidTr="00A21CB9">
        <w:trPr>
          <w:trHeight w:val="255"/>
          <w:jc w:val="center"/>
        </w:trPr>
        <w:tc>
          <w:tcPr>
            <w:tcW w:w="6941" w:type="dxa"/>
            <w:shd w:val="clear" w:color="auto" w:fill="auto"/>
            <w:vAlign w:val="center"/>
          </w:tcPr>
          <w:p w14:paraId="30CB23B1" w14:textId="77777777" w:rsidR="009F73D8" w:rsidRPr="006A1797" w:rsidRDefault="009F73D8" w:rsidP="009F73D8">
            <w:pPr>
              <w:spacing w:after="0" w:line="240" w:lineRule="auto"/>
              <w:jc w:val="both"/>
              <w:rPr>
                <w:rFonts w:ascii="Arial" w:eastAsia="Batang" w:hAnsi="Arial" w:cs="Arial"/>
                <w:i/>
                <w:iCs/>
                <w:color w:val="000000" w:themeColor="text1"/>
                <w:sz w:val="18"/>
                <w:szCs w:val="18"/>
                <w:lang w:val="el-GR" w:eastAsia="en-US"/>
              </w:rPr>
            </w:pPr>
            <w:r w:rsidRPr="006A1797">
              <w:rPr>
                <w:rFonts w:ascii="Arial" w:eastAsia="Batang" w:hAnsi="Arial" w:cs="Arial"/>
                <w:i/>
                <w:iCs/>
                <w:color w:val="000000" w:themeColor="text1"/>
                <w:sz w:val="18"/>
                <w:szCs w:val="18"/>
                <w:lang w:val="el-GR" w:eastAsia="en-US"/>
              </w:rPr>
              <w:t>Καθαρά έσοδα από τόκους</w:t>
            </w:r>
          </w:p>
        </w:tc>
        <w:tc>
          <w:tcPr>
            <w:tcW w:w="1559" w:type="dxa"/>
            <w:tcBorders>
              <w:top w:val="single" w:sz="6" w:space="0" w:color="000000" w:themeColor="text1"/>
            </w:tcBorders>
            <w:shd w:val="clear" w:color="auto" w:fill="auto"/>
            <w:vAlign w:val="center"/>
          </w:tcPr>
          <w:p w14:paraId="7C251530" w14:textId="09FEEE1F"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n-US" w:eastAsia="en-US"/>
              </w:rPr>
            </w:pPr>
            <w:r w:rsidRPr="006A1797">
              <w:rPr>
                <w:rFonts w:ascii="Arial" w:eastAsia="Batang" w:hAnsi="Arial" w:cs="Arial"/>
                <w:b/>
                <w:bCs/>
                <w:color w:val="000000" w:themeColor="text1"/>
                <w:sz w:val="18"/>
                <w:szCs w:val="18"/>
                <w:lang w:eastAsia="en-US"/>
              </w:rPr>
              <w:t>419,883</w:t>
            </w:r>
          </w:p>
        </w:tc>
        <w:tc>
          <w:tcPr>
            <w:tcW w:w="1560" w:type="dxa"/>
            <w:tcBorders>
              <w:top w:val="single" w:sz="6" w:space="0" w:color="auto"/>
            </w:tcBorders>
            <w:shd w:val="clear" w:color="auto" w:fill="auto"/>
            <w:vAlign w:val="center"/>
          </w:tcPr>
          <w:p w14:paraId="35AAD51D" w14:textId="616339F7"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color w:val="000000" w:themeColor="text1"/>
                <w:sz w:val="18"/>
                <w:szCs w:val="18"/>
                <w:lang w:eastAsia="en-US"/>
              </w:rPr>
            </w:pPr>
            <w:r w:rsidRPr="006A1797">
              <w:rPr>
                <w:rFonts w:ascii="Arial" w:eastAsia="Batang" w:hAnsi="Arial" w:cs="Arial"/>
                <w:color w:val="000000" w:themeColor="text1"/>
                <w:sz w:val="18"/>
                <w:szCs w:val="18"/>
                <w:lang w:eastAsia="en-US"/>
              </w:rPr>
              <w:t>358,342</w:t>
            </w:r>
          </w:p>
        </w:tc>
      </w:tr>
      <w:tr w:rsidR="009F73D8" w:rsidRPr="000A3197" w14:paraId="0064DA88" w14:textId="77777777" w:rsidTr="00A21CB9">
        <w:trPr>
          <w:trHeight w:val="255"/>
          <w:jc w:val="center"/>
        </w:trPr>
        <w:tc>
          <w:tcPr>
            <w:tcW w:w="6941" w:type="dxa"/>
            <w:shd w:val="clear" w:color="auto" w:fill="auto"/>
            <w:vAlign w:val="center"/>
          </w:tcPr>
          <w:p w14:paraId="29E6AA08" w14:textId="77777777" w:rsidR="009F73D8" w:rsidRPr="006A1797" w:rsidRDefault="009F73D8" w:rsidP="009F73D8">
            <w:pPr>
              <w:spacing w:after="0" w:line="240" w:lineRule="auto"/>
              <w:jc w:val="both"/>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val="el-GR" w:eastAsia="en-US"/>
              </w:rPr>
              <w:t>Έσοδα από αμοιβές και προμήθειες</w:t>
            </w:r>
          </w:p>
        </w:tc>
        <w:tc>
          <w:tcPr>
            <w:tcW w:w="1559" w:type="dxa"/>
            <w:shd w:val="clear" w:color="auto" w:fill="auto"/>
            <w:vAlign w:val="center"/>
          </w:tcPr>
          <w:p w14:paraId="1115CFA6" w14:textId="2548101E"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89,872</w:t>
            </w:r>
          </w:p>
        </w:tc>
        <w:tc>
          <w:tcPr>
            <w:tcW w:w="1560" w:type="dxa"/>
            <w:shd w:val="clear" w:color="auto" w:fill="auto"/>
            <w:vAlign w:val="center"/>
          </w:tcPr>
          <w:p w14:paraId="0CCBC583" w14:textId="24244487"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eastAsia="en-US"/>
              </w:rPr>
              <w:t>93,879</w:t>
            </w:r>
          </w:p>
        </w:tc>
      </w:tr>
      <w:tr w:rsidR="009F73D8" w:rsidRPr="000A3197" w14:paraId="734B51EB" w14:textId="77777777" w:rsidTr="00A21CB9">
        <w:trPr>
          <w:trHeight w:val="255"/>
          <w:jc w:val="center"/>
        </w:trPr>
        <w:tc>
          <w:tcPr>
            <w:tcW w:w="6941" w:type="dxa"/>
            <w:shd w:val="clear" w:color="auto" w:fill="auto"/>
            <w:vAlign w:val="center"/>
          </w:tcPr>
          <w:p w14:paraId="38203FC4" w14:textId="77777777" w:rsidR="009F73D8" w:rsidRPr="006A1797" w:rsidRDefault="009F73D8" w:rsidP="009F73D8">
            <w:pPr>
              <w:spacing w:after="0" w:line="240" w:lineRule="auto"/>
              <w:jc w:val="both"/>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val="el-GR" w:eastAsia="en-US"/>
              </w:rPr>
              <w:t>Έξοδα από αμοιβές και προμήθειες</w:t>
            </w:r>
          </w:p>
        </w:tc>
        <w:tc>
          <w:tcPr>
            <w:tcW w:w="1559" w:type="dxa"/>
            <w:shd w:val="clear" w:color="auto" w:fill="auto"/>
            <w:vAlign w:val="center"/>
          </w:tcPr>
          <w:p w14:paraId="483B0A10" w14:textId="6A0DAD4F"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(3,657)</w:t>
            </w:r>
          </w:p>
        </w:tc>
        <w:tc>
          <w:tcPr>
            <w:tcW w:w="1560" w:type="dxa"/>
            <w:shd w:val="clear" w:color="auto" w:fill="auto"/>
            <w:vAlign w:val="center"/>
          </w:tcPr>
          <w:p w14:paraId="1BFDD118" w14:textId="4145BE5F"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eastAsia="en-US"/>
              </w:rPr>
              <w:t>(4,275)</w:t>
            </w:r>
          </w:p>
        </w:tc>
      </w:tr>
      <w:tr w:rsidR="009F73D8" w:rsidRPr="000A3197" w14:paraId="7F56BE48" w14:textId="77777777" w:rsidTr="00A21CB9">
        <w:trPr>
          <w:trHeight w:val="255"/>
          <w:jc w:val="center"/>
        </w:trPr>
        <w:tc>
          <w:tcPr>
            <w:tcW w:w="6941" w:type="dxa"/>
            <w:shd w:val="clear" w:color="auto" w:fill="auto"/>
            <w:vAlign w:val="center"/>
          </w:tcPr>
          <w:p w14:paraId="2B929A29" w14:textId="77777777" w:rsidR="009F73D8" w:rsidRPr="006A1797" w:rsidRDefault="009F73D8" w:rsidP="009F73D8">
            <w:pPr>
              <w:spacing w:after="0" w:line="240" w:lineRule="auto"/>
              <w:jc w:val="both"/>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val="el-GR" w:eastAsia="en-US"/>
              </w:rPr>
              <w:t>Καθαρά κέρδη από διαπραγμάτευση συναλλάγματος</w:t>
            </w:r>
          </w:p>
        </w:tc>
        <w:tc>
          <w:tcPr>
            <w:tcW w:w="1559" w:type="dxa"/>
            <w:shd w:val="clear" w:color="auto" w:fill="auto"/>
            <w:vAlign w:val="center"/>
          </w:tcPr>
          <w:p w14:paraId="3230DF0D" w14:textId="0FDFCB97"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13,034</w:t>
            </w:r>
          </w:p>
        </w:tc>
        <w:tc>
          <w:tcPr>
            <w:tcW w:w="1560" w:type="dxa"/>
            <w:shd w:val="clear" w:color="auto" w:fill="auto"/>
            <w:vAlign w:val="center"/>
          </w:tcPr>
          <w:p w14:paraId="17E9CC7E" w14:textId="752CBDAC"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eastAsia="en-US"/>
              </w:rPr>
              <w:t>15,839</w:t>
            </w:r>
          </w:p>
        </w:tc>
      </w:tr>
      <w:tr w:rsidR="009F73D8" w:rsidRPr="000A3197" w14:paraId="40BE2627" w14:textId="77777777" w:rsidTr="00A21CB9">
        <w:trPr>
          <w:trHeight w:val="255"/>
          <w:jc w:val="center"/>
        </w:trPr>
        <w:tc>
          <w:tcPr>
            <w:tcW w:w="6941" w:type="dxa"/>
            <w:shd w:val="clear" w:color="auto" w:fill="auto"/>
            <w:vAlign w:val="center"/>
          </w:tcPr>
          <w:p w14:paraId="3DCEDF6B" w14:textId="77777777" w:rsidR="009F73D8" w:rsidRPr="006A1797" w:rsidRDefault="009F73D8" w:rsidP="009F73D8">
            <w:pPr>
              <w:spacing w:after="0" w:line="240" w:lineRule="auto"/>
              <w:jc w:val="both"/>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val="el-GR" w:eastAsia="en-US"/>
              </w:rPr>
              <w:t xml:space="preserve">Καθαρά κέρδη από χρηματοοικονομικά μέσα </w:t>
            </w:r>
          </w:p>
        </w:tc>
        <w:tc>
          <w:tcPr>
            <w:tcW w:w="1559" w:type="dxa"/>
            <w:shd w:val="clear" w:color="auto" w:fill="FFFFFF" w:themeFill="background1"/>
            <w:vAlign w:val="center"/>
          </w:tcPr>
          <w:p w14:paraId="445DF119" w14:textId="5A38D2D5"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729</w:t>
            </w:r>
          </w:p>
        </w:tc>
        <w:tc>
          <w:tcPr>
            <w:tcW w:w="1560" w:type="dxa"/>
            <w:shd w:val="clear" w:color="auto" w:fill="FFFFFF" w:themeFill="background1"/>
            <w:vAlign w:val="center"/>
          </w:tcPr>
          <w:p w14:paraId="62F73521" w14:textId="40599201"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eastAsia="en-US"/>
              </w:rPr>
              <w:t>5,680</w:t>
            </w:r>
          </w:p>
        </w:tc>
      </w:tr>
      <w:tr w:rsidR="009F73D8" w:rsidRPr="000A3197" w14:paraId="17826E80" w14:textId="77777777" w:rsidTr="00A21CB9">
        <w:trPr>
          <w:trHeight w:val="255"/>
          <w:jc w:val="center"/>
        </w:trPr>
        <w:tc>
          <w:tcPr>
            <w:tcW w:w="6941" w:type="dxa"/>
            <w:shd w:val="clear" w:color="auto" w:fill="auto"/>
            <w:vAlign w:val="center"/>
          </w:tcPr>
          <w:p w14:paraId="59CA86F9" w14:textId="77777777" w:rsidR="009F73D8" w:rsidRPr="006A1797" w:rsidRDefault="009F73D8" w:rsidP="009F73D8">
            <w:pPr>
              <w:spacing w:after="0" w:line="240" w:lineRule="auto"/>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val="el-GR" w:eastAsia="en-US"/>
              </w:rPr>
              <w:t>Καθαρά κέρδη από αποαναγνώριση χρηματοοικονομικών περιουσιακών στοιχείων που επιμετρούνται σε αποσβεσμένο κόστος</w:t>
            </w:r>
          </w:p>
        </w:tc>
        <w:tc>
          <w:tcPr>
            <w:tcW w:w="1559" w:type="dxa"/>
            <w:shd w:val="clear" w:color="auto" w:fill="FFFFFF" w:themeFill="background1"/>
            <w:vAlign w:val="center"/>
          </w:tcPr>
          <w:p w14:paraId="49A8F25F" w14:textId="1B739885"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1,106</w:t>
            </w:r>
          </w:p>
        </w:tc>
        <w:tc>
          <w:tcPr>
            <w:tcW w:w="1560" w:type="dxa"/>
            <w:shd w:val="clear" w:color="auto" w:fill="FFFFFF" w:themeFill="background1"/>
            <w:vAlign w:val="center"/>
          </w:tcPr>
          <w:p w14:paraId="71670046" w14:textId="7027F2DD"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eastAsia="en-US"/>
              </w:rPr>
              <w:t>5,861</w:t>
            </w:r>
          </w:p>
        </w:tc>
      </w:tr>
      <w:tr w:rsidR="009F73D8" w:rsidRPr="000A3197" w14:paraId="500B849D" w14:textId="77777777" w:rsidTr="00A21CB9">
        <w:trPr>
          <w:trHeight w:val="255"/>
          <w:jc w:val="center"/>
        </w:trPr>
        <w:tc>
          <w:tcPr>
            <w:tcW w:w="6941" w:type="dxa"/>
            <w:vAlign w:val="center"/>
          </w:tcPr>
          <w:p w14:paraId="01D5DBBA" w14:textId="77777777" w:rsidR="009F73D8" w:rsidRPr="006A1797" w:rsidDel="00312F39" w:rsidRDefault="009F73D8" w:rsidP="009F73D8">
            <w:pPr>
              <w:spacing w:after="0" w:line="240" w:lineRule="auto"/>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val="el-GR" w:eastAsia="en-US"/>
              </w:rPr>
              <w:t>Καθαρά χρηματοοικονομικά έσοδα/(έξοδα) ασφάλισης και καθαρά χρηματοοικονομικά έσοδα/(έξοδα) αντασφάλισης</w:t>
            </w:r>
          </w:p>
        </w:tc>
        <w:tc>
          <w:tcPr>
            <w:tcW w:w="1559" w:type="dxa"/>
            <w:shd w:val="clear" w:color="auto" w:fill="FFFFFF" w:themeFill="background1"/>
            <w:vAlign w:val="center"/>
          </w:tcPr>
          <w:p w14:paraId="045B1D08" w14:textId="1EF3C3BC" w:rsidR="009F73D8" w:rsidRPr="006A1797" w:rsidDel="00100BE5"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(311)</w:t>
            </w:r>
          </w:p>
        </w:tc>
        <w:tc>
          <w:tcPr>
            <w:tcW w:w="1560" w:type="dxa"/>
            <w:shd w:val="clear" w:color="auto" w:fill="FFFFFF" w:themeFill="background1"/>
            <w:vAlign w:val="center"/>
          </w:tcPr>
          <w:p w14:paraId="367560B3" w14:textId="6D83DEC7"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eastAsia="en-US"/>
              </w:rPr>
              <w:t>263</w:t>
            </w:r>
          </w:p>
        </w:tc>
      </w:tr>
      <w:tr w:rsidR="009F73D8" w:rsidRPr="000A3197" w14:paraId="4F025E5A" w14:textId="77777777" w:rsidTr="00A21CB9">
        <w:trPr>
          <w:trHeight w:val="255"/>
          <w:jc w:val="center"/>
        </w:trPr>
        <w:tc>
          <w:tcPr>
            <w:tcW w:w="6941" w:type="dxa"/>
            <w:vAlign w:val="center"/>
          </w:tcPr>
          <w:p w14:paraId="64EB6488" w14:textId="77777777" w:rsidR="009F73D8" w:rsidRPr="006A1797" w:rsidRDefault="009F73D8" w:rsidP="009F73D8">
            <w:pPr>
              <w:spacing w:after="0" w:line="240" w:lineRule="auto"/>
              <w:jc w:val="both"/>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val="el-GR" w:eastAsia="en-US"/>
              </w:rPr>
              <w:t>Καθαρά αποτελέσματα από ασφαλιστικές υπηρεσίες</w:t>
            </w:r>
          </w:p>
        </w:tc>
        <w:tc>
          <w:tcPr>
            <w:tcW w:w="1559" w:type="dxa"/>
            <w:shd w:val="clear" w:color="auto" w:fill="FFFFFF" w:themeFill="background1"/>
            <w:vAlign w:val="center"/>
          </w:tcPr>
          <w:p w14:paraId="357CAC05" w14:textId="4CAC2DC3"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34,949</w:t>
            </w:r>
          </w:p>
        </w:tc>
        <w:tc>
          <w:tcPr>
            <w:tcW w:w="1560" w:type="dxa"/>
            <w:shd w:val="clear" w:color="auto" w:fill="FFFFFF" w:themeFill="background1"/>
            <w:vAlign w:val="center"/>
          </w:tcPr>
          <w:p w14:paraId="0AE003E7" w14:textId="4E8B8EFC"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eastAsia="en-US"/>
              </w:rPr>
              <w:t>34,086</w:t>
            </w:r>
          </w:p>
        </w:tc>
      </w:tr>
      <w:tr w:rsidR="009F73D8" w:rsidRPr="000A3197" w14:paraId="583B70B5" w14:textId="77777777" w:rsidTr="00A21CB9">
        <w:trPr>
          <w:trHeight w:val="255"/>
          <w:jc w:val="center"/>
        </w:trPr>
        <w:tc>
          <w:tcPr>
            <w:tcW w:w="6941" w:type="dxa"/>
            <w:vAlign w:val="center"/>
          </w:tcPr>
          <w:p w14:paraId="28EA8DB2" w14:textId="77777777" w:rsidR="009F73D8" w:rsidRPr="006A1797" w:rsidRDefault="009F73D8" w:rsidP="009F73D8">
            <w:pPr>
              <w:spacing w:after="0" w:line="240" w:lineRule="auto"/>
              <w:jc w:val="both"/>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val="el-GR" w:eastAsia="en-US"/>
              </w:rPr>
              <w:t>Καθαρά αποτελέσματα από αντασφαλιστικές υπηρεσίες</w:t>
            </w:r>
          </w:p>
        </w:tc>
        <w:tc>
          <w:tcPr>
            <w:tcW w:w="1559" w:type="dxa"/>
            <w:shd w:val="clear" w:color="auto" w:fill="FFFFFF" w:themeFill="background1"/>
            <w:vAlign w:val="center"/>
          </w:tcPr>
          <w:p w14:paraId="494AA7D3" w14:textId="1E5B032A"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(11,863)</w:t>
            </w:r>
          </w:p>
        </w:tc>
        <w:tc>
          <w:tcPr>
            <w:tcW w:w="1560" w:type="dxa"/>
            <w:shd w:val="clear" w:color="auto" w:fill="FFFFFF" w:themeFill="background1"/>
            <w:vAlign w:val="center"/>
          </w:tcPr>
          <w:p w14:paraId="50153267" w14:textId="2488B666"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eastAsia="en-US"/>
              </w:rPr>
              <w:t>(9,788)</w:t>
            </w:r>
          </w:p>
        </w:tc>
      </w:tr>
      <w:tr w:rsidR="009F73D8" w:rsidRPr="000A3197" w14:paraId="6C233AE7" w14:textId="77777777" w:rsidTr="00A21CB9">
        <w:trPr>
          <w:trHeight w:val="255"/>
          <w:jc w:val="center"/>
        </w:trPr>
        <w:tc>
          <w:tcPr>
            <w:tcW w:w="6941" w:type="dxa"/>
            <w:shd w:val="clear" w:color="auto" w:fill="auto"/>
            <w:vAlign w:val="center"/>
          </w:tcPr>
          <w:p w14:paraId="7B5FC10B" w14:textId="77777777" w:rsidR="009F73D8" w:rsidRPr="006A1797" w:rsidRDefault="009F73D8" w:rsidP="009F73D8">
            <w:pPr>
              <w:spacing w:after="0" w:line="240" w:lineRule="auto"/>
              <w:jc w:val="both"/>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val="el-GR" w:eastAsia="en-US"/>
              </w:rPr>
              <w:t>Καθαρές ζημιές από επανεκτίμηση και πώληση επενδύσεων σε ακίνητα</w:t>
            </w:r>
          </w:p>
        </w:tc>
        <w:tc>
          <w:tcPr>
            <w:tcW w:w="1559" w:type="dxa"/>
            <w:shd w:val="clear" w:color="auto" w:fill="FFFFFF" w:themeFill="background1"/>
            <w:vAlign w:val="center"/>
          </w:tcPr>
          <w:p w14:paraId="237DB56A" w14:textId="0B18894D"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(1,257)</w:t>
            </w:r>
          </w:p>
        </w:tc>
        <w:tc>
          <w:tcPr>
            <w:tcW w:w="1560" w:type="dxa"/>
            <w:shd w:val="clear" w:color="auto" w:fill="FFFFFF" w:themeFill="background1"/>
            <w:vAlign w:val="center"/>
          </w:tcPr>
          <w:p w14:paraId="28A56512" w14:textId="05E6C85F"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eastAsia="en-US"/>
              </w:rPr>
              <w:t>788</w:t>
            </w:r>
          </w:p>
        </w:tc>
      </w:tr>
      <w:tr w:rsidR="009F73D8" w:rsidRPr="000A3197" w14:paraId="1EF6189B" w14:textId="77777777" w:rsidTr="00A21CB9">
        <w:trPr>
          <w:trHeight w:val="255"/>
          <w:jc w:val="center"/>
        </w:trPr>
        <w:tc>
          <w:tcPr>
            <w:tcW w:w="6941" w:type="dxa"/>
            <w:shd w:val="clear" w:color="auto" w:fill="auto"/>
            <w:vAlign w:val="center"/>
          </w:tcPr>
          <w:p w14:paraId="1E97A82E" w14:textId="77777777" w:rsidR="009F73D8" w:rsidRPr="006A1797" w:rsidRDefault="009F73D8" w:rsidP="009F73D8">
            <w:pPr>
              <w:spacing w:after="0" w:line="240" w:lineRule="auto"/>
              <w:jc w:val="both"/>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val="el-GR" w:eastAsia="en-US"/>
              </w:rPr>
              <w:t>Καθαρά κέρδη από πώληση αποθεμάτων ακινήτων</w:t>
            </w:r>
          </w:p>
        </w:tc>
        <w:tc>
          <w:tcPr>
            <w:tcW w:w="1559" w:type="dxa"/>
            <w:tcBorders>
              <w:bottom w:val="single" w:sz="4" w:space="0" w:color="C0C0C0"/>
            </w:tcBorders>
            <w:shd w:val="clear" w:color="auto" w:fill="FFFFFF" w:themeFill="background1"/>
            <w:vAlign w:val="center"/>
          </w:tcPr>
          <w:p w14:paraId="3B1BB4B8" w14:textId="18BB8C6C"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2,584</w:t>
            </w:r>
          </w:p>
        </w:tc>
        <w:tc>
          <w:tcPr>
            <w:tcW w:w="1560" w:type="dxa"/>
            <w:shd w:val="clear" w:color="auto" w:fill="FFFFFF" w:themeFill="background1"/>
            <w:vAlign w:val="center"/>
          </w:tcPr>
          <w:p w14:paraId="30F0BFAD" w14:textId="301F8D46"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eastAsia="en-US"/>
              </w:rPr>
              <w:t>3,906</w:t>
            </w:r>
          </w:p>
        </w:tc>
      </w:tr>
      <w:tr w:rsidR="009F73D8" w:rsidRPr="000F2475" w14:paraId="18D25742" w14:textId="77777777" w:rsidTr="00A21CB9">
        <w:trPr>
          <w:trHeight w:val="255"/>
          <w:jc w:val="center"/>
        </w:trPr>
        <w:tc>
          <w:tcPr>
            <w:tcW w:w="6941" w:type="dxa"/>
            <w:shd w:val="clear" w:color="auto" w:fill="auto"/>
            <w:vAlign w:val="center"/>
          </w:tcPr>
          <w:p w14:paraId="621AB418" w14:textId="77777777" w:rsidR="009F73D8" w:rsidRPr="006A1797" w:rsidRDefault="009F73D8" w:rsidP="009F73D8">
            <w:pPr>
              <w:spacing w:after="0" w:line="240" w:lineRule="auto"/>
              <w:jc w:val="both"/>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val="el-GR" w:eastAsia="en-US"/>
              </w:rPr>
              <w:t>Λοιπά έσοδα</w:t>
            </w:r>
          </w:p>
        </w:tc>
        <w:tc>
          <w:tcPr>
            <w:tcW w:w="1559" w:type="dxa"/>
            <w:tcBorders>
              <w:bottom w:val="single" w:sz="6" w:space="0" w:color="auto"/>
            </w:tcBorders>
            <w:shd w:val="clear" w:color="auto" w:fill="FFFFFF" w:themeFill="background1"/>
            <w:vAlign w:val="center"/>
          </w:tcPr>
          <w:p w14:paraId="357BE8FE" w14:textId="16E59A3A"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5,218</w:t>
            </w:r>
          </w:p>
        </w:tc>
        <w:tc>
          <w:tcPr>
            <w:tcW w:w="1560" w:type="dxa"/>
            <w:tcBorders>
              <w:bottom w:val="single" w:sz="4" w:space="0" w:color="C0C0C0"/>
            </w:tcBorders>
            <w:shd w:val="clear" w:color="auto" w:fill="FFFFFF" w:themeFill="background1"/>
            <w:vAlign w:val="center"/>
          </w:tcPr>
          <w:p w14:paraId="6DA61DCE" w14:textId="2C1075A5"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color w:val="000000" w:themeColor="text1"/>
                <w:sz w:val="18"/>
                <w:szCs w:val="18"/>
                <w:lang w:eastAsia="en-US"/>
              </w:rPr>
            </w:pPr>
            <w:r w:rsidRPr="006A1797">
              <w:rPr>
                <w:rFonts w:ascii="Arial" w:eastAsia="Batang" w:hAnsi="Arial" w:cs="Arial"/>
                <w:color w:val="000000" w:themeColor="text1"/>
                <w:sz w:val="18"/>
                <w:szCs w:val="18"/>
                <w:lang w:eastAsia="en-US"/>
              </w:rPr>
              <w:t>12,200</w:t>
            </w:r>
          </w:p>
        </w:tc>
      </w:tr>
      <w:tr w:rsidR="009F73D8" w:rsidRPr="000F2475" w14:paraId="38C7227C" w14:textId="77777777" w:rsidTr="00A21CB9">
        <w:trPr>
          <w:trHeight w:val="255"/>
          <w:jc w:val="center"/>
        </w:trPr>
        <w:tc>
          <w:tcPr>
            <w:tcW w:w="6941" w:type="dxa"/>
            <w:shd w:val="clear" w:color="auto" w:fill="auto"/>
            <w:vAlign w:val="center"/>
          </w:tcPr>
          <w:p w14:paraId="586A3659" w14:textId="77777777" w:rsidR="009F73D8" w:rsidRPr="006A1797" w:rsidRDefault="009F73D8" w:rsidP="009F73D8">
            <w:pPr>
              <w:spacing w:after="0" w:line="240" w:lineRule="auto"/>
              <w:jc w:val="both"/>
              <w:rPr>
                <w:rFonts w:ascii="Arial" w:eastAsia="Batang" w:hAnsi="Arial" w:cs="Arial"/>
                <w:i/>
                <w:iCs/>
                <w:color w:val="000000" w:themeColor="text1"/>
                <w:sz w:val="18"/>
                <w:szCs w:val="18"/>
                <w:lang w:val="el-GR" w:eastAsia="en-US"/>
              </w:rPr>
            </w:pPr>
            <w:r w:rsidRPr="006A1797">
              <w:rPr>
                <w:rFonts w:ascii="Arial" w:eastAsia="Batang" w:hAnsi="Arial" w:cs="Arial"/>
                <w:i/>
                <w:iCs/>
                <w:color w:val="000000" w:themeColor="text1"/>
                <w:sz w:val="18"/>
                <w:szCs w:val="18"/>
                <w:lang w:val="el-GR" w:eastAsia="en-US"/>
              </w:rPr>
              <w:t>Συνολικά λειτουργικά έσοδα</w:t>
            </w:r>
          </w:p>
        </w:tc>
        <w:tc>
          <w:tcPr>
            <w:tcW w:w="1559" w:type="dxa"/>
            <w:tcBorders>
              <w:top w:val="single" w:sz="6" w:space="0" w:color="auto"/>
            </w:tcBorders>
            <w:shd w:val="clear" w:color="auto" w:fill="FFFFFF" w:themeFill="background1"/>
            <w:vAlign w:val="center"/>
          </w:tcPr>
          <w:p w14:paraId="7DB3D716" w14:textId="044C2CCA"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val="en-US" w:eastAsia="en-US"/>
              </w:rPr>
              <w:t>550,287</w:t>
            </w:r>
          </w:p>
        </w:tc>
        <w:tc>
          <w:tcPr>
            <w:tcW w:w="1560" w:type="dxa"/>
            <w:tcBorders>
              <w:top w:val="single" w:sz="6" w:space="0" w:color="auto"/>
            </w:tcBorders>
            <w:shd w:val="clear" w:color="auto" w:fill="FFFFFF" w:themeFill="background1"/>
            <w:vAlign w:val="center"/>
          </w:tcPr>
          <w:p w14:paraId="774F5043" w14:textId="128355C7"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val="en-US" w:eastAsia="en-US"/>
              </w:rPr>
              <w:t>516,781</w:t>
            </w:r>
          </w:p>
        </w:tc>
      </w:tr>
      <w:tr w:rsidR="009F73D8" w:rsidRPr="000F2475" w14:paraId="7754647E" w14:textId="77777777" w:rsidTr="00A21CB9">
        <w:trPr>
          <w:trHeight w:val="255"/>
          <w:jc w:val="center"/>
        </w:trPr>
        <w:tc>
          <w:tcPr>
            <w:tcW w:w="6941" w:type="dxa"/>
            <w:shd w:val="clear" w:color="auto" w:fill="auto"/>
            <w:vAlign w:val="center"/>
          </w:tcPr>
          <w:p w14:paraId="4A82CA89" w14:textId="77777777" w:rsidR="009F73D8" w:rsidRPr="006A1797" w:rsidRDefault="009F73D8" w:rsidP="009F73D8">
            <w:pPr>
              <w:spacing w:after="0" w:line="240" w:lineRule="auto"/>
              <w:jc w:val="both"/>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val="el-GR" w:eastAsia="en-US"/>
              </w:rPr>
              <w:t>Δαπάνες προσωπικού</w:t>
            </w:r>
          </w:p>
        </w:tc>
        <w:tc>
          <w:tcPr>
            <w:tcW w:w="1559" w:type="dxa"/>
            <w:tcBorders>
              <w:bottom w:val="single" w:sz="4" w:space="0" w:color="C0C0C0"/>
            </w:tcBorders>
            <w:shd w:val="clear" w:color="auto" w:fill="FFFFFF" w:themeFill="background1"/>
            <w:vAlign w:val="center"/>
          </w:tcPr>
          <w:p w14:paraId="16A0BB4B" w14:textId="4C826678"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(96,135)</w:t>
            </w:r>
          </w:p>
        </w:tc>
        <w:tc>
          <w:tcPr>
            <w:tcW w:w="1560" w:type="dxa"/>
            <w:tcBorders>
              <w:bottom w:val="single" w:sz="4" w:space="0" w:color="C0C0C0"/>
            </w:tcBorders>
            <w:shd w:val="clear" w:color="auto" w:fill="FFFFFF" w:themeFill="background1"/>
            <w:vAlign w:val="center"/>
          </w:tcPr>
          <w:p w14:paraId="2F3DF7B3" w14:textId="31CC55AA"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eastAsia="en-US"/>
              </w:rPr>
              <w:t>(93,043)</w:t>
            </w:r>
          </w:p>
        </w:tc>
      </w:tr>
      <w:tr w:rsidR="009F73D8" w:rsidRPr="000A3197" w14:paraId="00CADB1A" w14:textId="77777777" w:rsidTr="00A21CB9">
        <w:trPr>
          <w:trHeight w:val="255"/>
          <w:jc w:val="center"/>
        </w:trPr>
        <w:tc>
          <w:tcPr>
            <w:tcW w:w="6941" w:type="dxa"/>
            <w:shd w:val="clear" w:color="auto" w:fill="auto"/>
            <w:vAlign w:val="center"/>
          </w:tcPr>
          <w:p w14:paraId="7BA02723" w14:textId="77777777" w:rsidR="009F73D8" w:rsidRPr="006A1797" w:rsidRDefault="009F73D8" w:rsidP="009F73D8">
            <w:pPr>
              <w:spacing w:after="0" w:line="240" w:lineRule="auto"/>
              <w:jc w:val="both"/>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val="el-GR" w:eastAsia="en-US"/>
              </w:rPr>
              <w:t xml:space="preserve">Ειδικός φόρος επί των καταθέσεων και άλλα τέλη/εισφορές </w:t>
            </w:r>
          </w:p>
        </w:tc>
        <w:tc>
          <w:tcPr>
            <w:tcW w:w="1559" w:type="dxa"/>
            <w:tcBorders>
              <w:bottom w:val="single" w:sz="4" w:space="0" w:color="C0C0C0"/>
            </w:tcBorders>
            <w:shd w:val="clear" w:color="auto" w:fill="FFFFFF" w:themeFill="background1"/>
            <w:vAlign w:val="center"/>
          </w:tcPr>
          <w:p w14:paraId="4A0A632C" w14:textId="78E9FEA7"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(18,784)</w:t>
            </w:r>
          </w:p>
        </w:tc>
        <w:tc>
          <w:tcPr>
            <w:tcW w:w="1560" w:type="dxa"/>
            <w:tcBorders>
              <w:bottom w:val="single" w:sz="4" w:space="0" w:color="C0C0C0"/>
            </w:tcBorders>
            <w:shd w:val="clear" w:color="auto" w:fill="FFFFFF" w:themeFill="background1"/>
            <w:vAlign w:val="center"/>
          </w:tcPr>
          <w:p w14:paraId="0B8B79C3" w14:textId="05725BB3"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eastAsia="en-US"/>
              </w:rPr>
              <w:t>(18,236)</w:t>
            </w:r>
          </w:p>
        </w:tc>
      </w:tr>
      <w:tr w:rsidR="009F73D8" w:rsidRPr="00EA064F" w14:paraId="2CD12A59" w14:textId="77777777" w:rsidTr="00A21CB9">
        <w:trPr>
          <w:trHeight w:val="255"/>
          <w:jc w:val="center"/>
        </w:trPr>
        <w:tc>
          <w:tcPr>
            <w:tcW w:w="6941" w:type="dxa"/>
            <w:shd w:val="clear" w:color="auto" w:fill="auto"/>
            <w:vAlign w:val="center"/>
          </w:tcPr>
          <w:p w14:paraId="01441CD6" w14:textId="4B32C606" w:rsidR="009F73D8" w:rsidRPr="006A1797" w:rsidRDefault="008F0AF1" w:rsidP="009F73D8">
            <w:pPr>
              <w:spacing w:after="0" w:line="240" w:lineRule="auto"/>
              <w:jc w:val="both"/>
              <w:rPr>
                <w:rFonts w:ascii="Arial" w:eastAsia="Batang" w:hAnsi="Arial" w:cs="Arial"/>
                <w:color w:val="000000" w:themeColor="text1"/>
                <w:sz w:val="18"/>
                <w:szCs w:val="18"/>
                <w:lang w:val="el-GR" w:eastAsia="en-US"/>
              </w:rPr>
            </w:pPr>
            <w:r w:rsidRPr="006A1797">
              <w:rPr>
                <w:rFonts w:ascii="Arial" w:hAnsi="Arial" w:cs="Arial"/>
                <w:bCs/>
                <w:color w:val="000000" w:themeColor="text1"/>
                <w:sz w:val="18"/>
                <w:szCs w:val="18"/>
                <w:lang w:val="el-GR"/>
              </w:rPr>
              <w:t>Προβλέψεις για επιδικίες, απαιτήσεις, κανονιστικά θέματα και άλλα θέματα (μετά από αναστροφές)</w:t>
            </w:r>
          </w:p>
        </w:tc>
        <w:tc>
          <w:tcPr>
            <w:tcW w:w="1559" w:type="dxa"/>
            <w:tcBorders>
              <w:bottom w:val="single" w:sz="4" w:space="0" w:color="C0C0C0"/>
            </w:tcBorders>
            <w:shd w:val="clear" w:color="auto" w:fill="FFFFFF" w:themeFill="background1"/>
            <w:vAlign w:val="center"/>
          </w:tcPr>
          <w:p w14:paraId="2D12ED8D" w14:textId="3941B6E1"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eastAsia="en-US"/>
              </w:rPr>
            </w:pPr>
            <w:r w:rsidRPr="006A1797">
              <w:rPr>
                <w:rFonts w:ascii="Arial" w:eastAsia="Batang" w:hAnsi="Arial" w:cs="Arial"/>
                <w:b/>
                <w:bCs/>
                <w:color w:val="000000" w:themeColor="text1"/>
                <w:sz w:val="18"/>
                <w:szCs w:val="18"/>
                <w:lang w:eastAsia="en-US"/>
              </w:rPr>
              <w:t>(2,562)</w:t>
            </w:r>
          </w:p>
        </w:tc>
        <w:tc>
          <w:tcPr>
            <w:tcW w:w="1560" w:type="dxa"/>
            <w:tcBorders>
              <w:bottom w:val="single" w:sz="4" w:space="0" w:color="C0C0C0"/>
            </w:tcBorders>
            <w:shd w:val="clear" w:color="auto" w:fill="FFFFFF" w:themeFill="background1"/>
            <w:vAlign w:val="center"/>
          </w:tcPr>
          <w:p w14:paraId="4A2FF4DA" w14:textId="71049443"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color w:val="000000" w:themeColor="text1"/>
                <w:sz w:val="18"/>
                <w:szCs w:val="18"/>
                <w:lang w:eastAsia="en-US"/>
              </w:rPr>
            </w:pPr>
            <w:r w:rsidRPr="006A1797">
              <w:rPr>
                <w:rFonts w:ascii="Arial" w:eastAsia="Batang" w:hAnsi="Arial" w:cs="Arial"/>
                <w:color w:val="000000" w:themeColor="text1"/>
                <w:sz w:val="18"/>
                <w:szCs w:val="18"/>
                <w:lang w:eastAsia="en-US"/>
              </w:rPr>
              <w:t>(14,148)</w:t>
            </w:r>
          </w:p>
        </w:tc>
      </w:tr>
      <w:tr w:rsidR="009F73D8" w:rsidRPr="000F2475" w14:paraId="11E12EFA" w14:textId="77777777" w:rsidTr="00A21CB9">
        <w:trPr>
          <w:trHeight w:val="255"/>
          <w:jc w:val="center"/>
        </w:trPr>
        <w:tc>
          <w:tcPr>
            <w:tcW w:w="6941" w:type="dxa"/>
            <w:shd w:val="clear" w:color="auto" w:fill="auto"/>
            <w:vAlign w:val="center"/>
          </w:tcPr>
          <w:p w14:paraId="6F525DB7" w14:textId="77777777" w:rsidR="009F73D8" w:rsidRPr="006A1797" w:rsidRDefault="009F73D8" w:rsidP="009F73D8">
            <w:pPr>
              <w:spacing w:after="0" w:line="240" w:lineRule="auto"/>
              <w:jc w:val="both"/>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val="el-GR" w:eastAsia="en-US"/>
              </w:rPr>
              <w:t>Άλλα λειτουργικά έξοδα</w:t>
            </w:r>
          </w:p>
        </w:tc>
        <w:tc>
          <w:tcPr>
            <w:tcW w:w="1559" w:type="dxa"/>
            <w:tcBorders>
              <w:bottom w:val="single" w:sz="6" w:space="0" w:color="000000" w:themeColor="text1"/>
            </w:tcBorders>
            <w:shd w:val="clear" w:color="auto" w:fill="FFFFFF" w:themeFill="background1"/>
            <w:vAlign w:val="center"/>
          </w:tcPr>
          <w:p w14:paraId="45E216F6" w14:textId="253C2171"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(70,989)</w:t>
            </w:r>
          </w:p>
        </w:tc>
        <w:tc>
          <w:tcPr>
            <w:tcW w:w="1560" w:type="dxa"/>
            <w:tcBorders>
              <w:bottom w:val="single" w:sz="6" w:space="0" w:color="000000" w:themeColor="text1"/>
            </w:tcBorders>
            <w:shd w:val="clear" w:color="auto" w:fill="FFFFFF" w:themeFill="background1"/>
            <w:vAlign w:val="center"/>
          </w:tcPr>
          <w:p w14:paraId="0D97C159" w14:textId="67BE9D7B"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eastAsia="en-US"/>
              </w:rPr>
              <w:t>(70,456)</w:t>
            </w:r>
          </w:p>
        </w:tc>
      </w:tr>
      <w:tr w:rsidR="009F73D8" w:rsidRPr="000A3197" w14:paraId="4B9DF9EA" w14:textId="77777777" w:rsidTr="00A21CB9">
        <w:trPr>
          <w:trHeight w:val="255"/>
          <w:jc w:val="center"/>
        </w:trPr>
        <w:tc>
          <w:tcPr>
            <w:tcW w:w="6941" w:type="dxa"/>
            <w:shd w:val="clear" w:color="auto" w:fill="auto"/>
            <w:vAlign w:val="center"/>
          </w:tcPr>
          <w:p w14:paraId="06D3F6C7" w14:textId="77777777" w:rsidR="009F73D8" w:rsidRPr="006A1797" w:rsidRDefault="009F73D8" w:rsidP="009F73D8">
            <w:pPr>
              <w:spacing w:after="0" w:line="240" w:lineRule="auto"/>
              <w:jc w:val="both"/>
              <w:rPr>
                <w:rFonts w:ascii="Arial" w:eastAsia="Batang" w:hAnsi="Arial" w:cs="Arial"/>
                <w:bCs/>
                <w:i/>
                <w:iCs/>
                <w:color w:val="000000" w:themeColor="text1"/>
                <w:sz w:val="18"/>
                <w:szCs w:val="18"/>
                <w:lang w:val="el-GR" w:eastAsia="en-US"/>
              </w:rPr>
            </w:pPr>
            <w:r w:rsidRPr="006A1797">
              <w:rPr>
                <w:rFonts w:ascii="Arial" w:eastAsia="Batang" w:hAnsi="Arial" w:cs="Arial"/>
                <w:bCs/>
                <w:i/>
                <w:iCs/>
                <w:color w:val="000000" w:themeColor="text1"/>
                <w:sz w:val="18"/>
                <w:szCs w:val="18"/>
                <w:lang w:val="el-GR" w:eastAsia="en-US"/>
              </w:rPr>
              <w:t>Λειτουργικά κέρδη πριν από πιστωτικές ζημιές και απομείωση</w:t>
            </w:r>
          </w:p>
        </w:tc>
        <w:tc>
          <w:tcPr>
            <w:tcW w:w="1559" w:type="dxa"/>
            <w:tcBorders>
              <w:top w:val="single" w:sz="6" w:space="0" w:color="000000" w:themeColor="text1"/>
              <w:bottom w:val="single" w:sz="4" w:space="0" w:color="C0C0C0"/>
            </w:tcBorders>
            <w:shd w:val="clear" w:color="auto" w:fill="FFFFFF" w:themeFill="background1"/>
            <w:vAlign w:val="center"/>
          </w:tcPr>
          <w:p w14:paraId="0CAEEE7D" w14:textId="1D18F1F9"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val="en-US" w:eastAsia="en-US"/>
              </w:rPr>
              <w:t>361,817</w:t>
            </w:r>
          </w:p>
        </w:tc>
        <w:tc>
          <w:tcPr>
            <w:tcW w:w="1560" w:type="dxa"/>
            <w:tcBorders>
              <w:top w:val="single" w:sz="6" w:space="0" w:color="000000" w:themeColor="text1"/>
              <w:bottom w:val="single" w:sz="4" w:space="0" w:color="C0C0C0"/>
            </w:tcBorders>
            <w:shd w:val="clear" w:color="auto" w:fill="FFFFFF" w:themeFill="background1"/>
            <w:vAlign w:val="center"/>
          </w:tcPr>
          <w:p w14:paraId="2DFFDBBF" w14:textId="6D94DE45"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val="en-US" w:eastAsia="en-US"/>
              </w:rPr>
              <w:t>320,898</w:t>
            </w:r>
          </w:p>
        </w:tc>
      </w:tr>
      <w:tr w:rsidR="009F73D8" w:rsidRPr="000A3197" w14:paraId="13E7AC93" w14:textId="77777777" w:rsidTr="00A21CB9">
        <w:trPr>
          <w:trHeight w:val="255"/>
          <w:jc w:val="center"/>
        </w:trPr>
        <w:tc>
          <w:tcPr>
            <w:tcW w:w="6941" w:type="dxa"/>
            <w:shd w:val="clear" w:color="auto" w:fill="auto"/>
            <w:vAlign w:val="center"/>
          </w:tcPr>
          <w:p w14:paraId="06896372" w14:textId="77777777" w:rsidR="009F73D8" w:rsidRPr="006A1797" w:rsidRDefault="009F73D8" w:rsidP="009F73D8">
            <w:pPr>
              <w:spacing w:after="0" w:line="240" w:lineRule="auto"/>
              <w:jc w:val="both"/>
              <w:rPr>
                <w:rFonts w:ascii="Arial" w:eastAsia="Batang" w:hAnsi="Arial" w:cs="Arial"/>
                <w:color w:val="000000" w:themeColor="text1"/>
                <w:sz w:val="18"/>
                <w:szCs w:val="18"/>
                <w:lang w:val="el-GR" w:eastAsia="en-US"/>
              </w:rPr>
            </w:pPr>
            <w:r w:rsidRPr="006A1797">
              <w:rPr>
                <w:rFonts w:ascii="Arial" w:eastAsia="Batang" w:hAnsi="Arial" w:cs="Arial"/>
                <w:bCs/>
                <w:color w:val="000000" w:themeColor="text1"/>
                <w:sz w:val="18"/>
                <w:szCs w:val="18"/>
                <w:lang w:val="el-GR" w:eastAsia="en-US"/>
              </w:rPr>
              <w:t>Πιστωτικές ζημιές χρηματοοικονομικών περιουσιακών στοιχείων</w:t>
            </w:r>
          </w:p>
        </w:tc>
        <w:tc>
          <w:tcPr>
            <w:tcW w:w="1559" w:type="dxa"/>
            <w:tcBorders>
              <w:bottom w:val="single" w:sz="4" w:space="0" w:color="A6A6A6"/>
            </w:tcBorders>
            <w:shd w:val="clear" w:color="auto" w:fill="auto"/>
            <w:vAlign w:val="center"/>
          </w:tcPr>
          <w:p w14:paraId="5FB8D34B" w14:textId="7BEDDFDF"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(17,471)</w:t>
            </w:r>
          </w:p>
        </w:tc>
        <w:tc>
          <w:tcPr>
            <w:tcW w:w="1560" w:type="dxa"/>
            <w:tcBorders>
              <w:bottom w:val="single" w:sz="4" w:space="0" w:color="A6A6A6"/>
            </w:tcBorders>
            <w:shd w:val="clear" w:color="auto" w:fill="auto"/>
            <w:vAlign w:val="center"/>
          </w:tcPr>
          <w:p w14:paraId="508EDE01" w14:textId="7A449444"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eastAsia="en-US"/>
              </w:rPr>
              <w:t>(36,772)</w:t>
            </w:r>
          </w:p>
        </w:tc>
      </w:tr>
      <w:tr w:rsidR="009F73D8" w:rsidRPr="000A3197" w14:paraId="08396D85" w14:textId="77777777" w:rsidTr="00A21CB9">
        <w:trPr>
          <w:trHeight w:val="255"/>
          <w:jc w:val="center"/>
        </w:trPr>
        <w:tc>
          <w:tcPr>
            <w:tcW w:w="6941" w:type="dxa"/>
            <w:shd w:val="clear" w:color="auto" w:fill="auto"/>
            <w:vAlign w:val="center"/>
          </w:tcPr>
          <w:p w14:paraId="39D43F92" w14:textId="77777777" w:rsidR="009F73D8" w:rsidRPr="006A1797" w:rsidRDefault="009F73D8" w:rsidP="009F73D8">
            <w:pPr>
              <w:spacing w:after="0" w:line="240" w:lineRule="auto"/>
              <w:jc w:val="both"/>
              <w:rPr>
                <w:rFonts w:ascii="Arial" w:eastAsia="Batang" w:hAnsi="Arial" w:cs="Arial"/>
                <w:bCs/>
                <w:color w:val="000000" w:themeColor="text1"/>
                <w:sz w:val="18"/>
                <w:szCs w:val="18"/>
                <w:lang w:val="el-GR" w:eastAsia="en-US"/>
              </w:rPr>
            </w:pPr>
            <w:r w:rsidRPr="006A1797">
              <w:rPr>
                <w:rFonts w:ascii="Arial" w:eastAsia="Batang" w:hAnsi="Arial" w:cs="Arial"/>
                <w:bCs/>
                <w:color w:val="000000" w:themeColor="text1"/>
                <w:sz w:val="18"/>
                <w:szCs w:val="18"/>
                <w:lang w:val="el-GR" w:eastAsia="en-US"/>
              </w:rPr>
              <w:t xml:space="preserve">Απομείωση μετά την αναστροφή μη-χρηματοοικονομικών περιουσιακών στοιχείων </w:t>
            </w:r>
          </w:p>
        </w:tc>
        <w:tc>
          <w:tcPr>
            <w:tcW w:w="1559" w:type="dxa"/>
            <w:tcBorders>
              <w:bottom w:val="single" w:sz="6" w:space="0" w:color="auto"/>
            </w:tcBorders>
            <w:shd w:val="clear" w:color="auto" w:fill="auto"/>
            <w:vAlign w:val="center"/>
          </w:tcPr>
          <w:p w14:paraId="1E979869" w14:textId="2877E58B"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(24,760)</w:t>
            </w:r>
          </w:p>
        </w:tc>
        <w:tc>
          <w:tcPr>
            <w:tcW w:w="1560" w:type="dxa"/>
            <w:tcBorders>
              <w:bottom w:val="single" w:sz="6" w:space="0" w:color="auto"/>
            </w:tcBorders>
            <w:shd w:val="clear" w:color="auto" w:fill="auto"/>
            <w:vAlign w:val="center"/>
          </w:tcPr>
          <w:p w14:paraId="38BEBBDA" w14:textId="6EF286E2"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eastAsia="en-US"/>
              </w:rPr>
              <w:t>(23,206)</w:t>
            </w:r>
          </w:p>
        </w:tc>
      </w:tr>
      <w:tr w:rsidR="009F73D8" w:rsidRPr="00EA064F" w14:paraId="11E27805" w14:textId="77777777" w:rsidTr="00A21CB9">
        <w:trPr>
          <w:trHeight w:val="255"/>
          <w:jc w:val="center"/>
        </w:trPr>
        <w:tc>
          <w:tcPr>
            <w:tcW w:w="6941" w:type="dxa"/>
            <w:shd w:val="clear" w:color="auto" w:fill="auto"/>
            <w:vAlign w:val="center"/>
          </w:tcPr>
          <w:p w14:paraId="1E2B3A32" w14:textId="77777777" w:rsidR="009F73D8" w:rsidRPr="006A1797" w:rsidRDefault="009F73D8" w:rsidP="009F73D8">
            <w:pPr>
              <w:spacing w:after="0" w:line="240" w:lineRule="auto"/>
              <w:jc w:val="both"/>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val="el-GR" w:eastAsia="en-US"/>
              </w:rPr>
              <w:t xml:space="preserve">Κέρδη πριν τη φορολογία </w:t>
            </w:r>
          </w:p>
        </w:tc>
        <w:tc>
          <w:tcPr>
            <w:tcW w:w="1559" w:type="dxa"/>
            <w:tcBorders>
              <w:top w:val="single" w:sz="6" w:space="0" w:color="auto"/>
              <w:bottom w:val="single" w:sz="4" w:space="0" w:color="C0C0C0"/>
            </w:tcBorders>
            <w:shd w:val="clear" w:color="auto" w:fill="auto"/>
            <w:vAlign w:val="center"/>
          </w:tcPr>
          <w:p w14:paraId="7B645073" w14:textId="190D928F"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val="en-US" w:eastAsia="en-US"/>
              </w:rPr>
              <w:t>319,586</w:t>
            </w:r>
          </w:p>
        </w:tc>
        <w:tc>
          <w:tcPr>
            <w:tcW w:w="1560" w:type="dxa"/>
            <w:tcBorders>
              <w:top w:val="single" w:sz="6" w:space="0" w:color="auto"/>
              <w:bottom w:val="single" w:sz="4" w:space="0" w:color="C0C0C0"/>
            </w:tcBorders>
            <w:shd w:val="clear" w:color="auto" w:fill="auto"/>
            <w:vAlign w:val="center"/>
          </w:tcPr>
          <w:p w14:paraId="526F4622" w14:textId="13EDB831" w:rsidR="009F73D8" w:rsidRPr="006A1797" w:rsidRDefault="009F73D8" w:rsidP="009F73D8">
            <w:pPr>
              <w:spacing w:after="0" w:line="240" w:lineRule="auto"/>
              <w:jc w:val="right"/>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val="en-US" w:eastAsia="en-US"/>
              </w:rPr>
              <w:t>260,920</w:t>
            </w:r>
          </w:p>
        </w:tc>
      </w:tr>
      <w:tr w:rsidR="009F73D8" w:rsidRPr="000F2475" w14:paraId="4144150B" w14:textId="77777777" w:rsidTr="00A21CB9">
        <w:trPr>
          <w:trHeight w:val="255"/>
          <w:jc w:val="center"/>
        </w:trPr>
        <w:tc>
          <w:tcPr>
            <w:tcW w:w="6941" w:type="dxa"/>
            <w:shd w:val="clear" w:color="auto" w:fill="auto"/>
            <w:vAlign w:val="center"/>
          </w:tcPr>
          <w:p w14:paraId="38232059" w14:textId="77777777" w:rsidR="009F73D8" w:rsidRPr="006A1797" w:rsidRDefault="009F73D8" w:rsidP="009F73D8">
            <w:pPr>
              <w:spacing w:after="0" w:line="240" w:lineRule="auto"/>
              <w:jc w:val="both"/>
              <w:rPr>
                <w:rFonts w:ascii="Arial" w:eastAsia="Batang" w:hAnsi="Arial" w:cs="Arial"/>
                <w:bCs/>
                <w:color w:val="000000" w:themeColor="text1"/>
                <w:sz w:val="18"/>
                <w:szCs w:val="18"/>
                <w:lang w:val="el-GR" w:eastAsia="en-US"/>
              </w:rPr>
            </w:pPr>
            <w:r w:rsidRPr="006A1797">
              <w:rPr>
                <w:rFonts w:ascii="Arial" w:eastAsia="Batang" w:hAnsi="Arial" w:cs="Arial"/>
                <w:bCs/>
                <w:color w:val="000000" w:themeColor="text1"/>
                <w:sz w:val="18"/>
                <w:szCs w:val="18"/>
                <w:lang w:val="el-GR" w:eastAsia="en-US"/>
              </w:rPr>
              <w:t>Φορολογία</w:t>
            </w:r>
          </w:p>
        </w:tc>
        <w:tc>
          <w:tcPr>
            <w:tcW w:w="1559" w:type="dxa"/>
            <w:tcBorders>
              <w:bottom w:val="single" w:sz="6" w:space="0" w:color="auto"/>
            </w:tcBorders>
            <w:shd w:val="clear" w:color="auto" w:fill="auto"/>
            <w:vAlign w:val="center"/>
          </w:tcPr>
          <w:p w14:paraId="369CC994" w14:textId="26873E83"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(48,203)</w:t>
            </w:r>
          </w:p>
        </w:tc>
        <w:tc>
          <w:tcPr>
            <w:tcW w:w="1560" w:type="dxa"/>
            <w:tcBorders>
              <w:bottom w:val="single" w:sz="6" w:space="0" w:color="auto"/>
            </w:tcBorders>
            <w:shd w:val="clear" w:color="auto" w:fill="auto"/>
            <w:vAlign w:val="center"/>
          </w:tcPr>
          <w:p w14:paraId="37EE050A" w14:textId="5A62023F" w:rsidR="009F73D8" w:rsidRPr="006A1797" w:rsidRDefault="009F73D8" w:rsidP="009F73D8">
            <w:pPr>
              <w:spacing w:after="0" w:line="240" w:lineRule="auto"/>
              <w:jc w:val="right"/>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eastAsia="en-US"/>
              </w:rPr>
              <w:t>(39,768)</w:t>
            </w:r>
          </w:p>
        </w:tc>
      </w:tr>
      <w:tr w:rsidR="009F73D8" w:rsidRPr="000A3197" w14:paraId="5203EED2" w14:textId="77777777" w:rsidTr="00A21CB9">
        <w:trPr>
          <w:trHeight w:val="255"/>
          <w:jc w:val="center"/>
        </w:trPr>
        <w:tc>
          <w:tcPr>
            <w:tcW w:w="6941" w:type="dxa"/>
            <w:shd w:val="clear" w:color="auto" w:fill="auto"/>
            <w:vAlign w:val="center"/>
          </w:tcPr>
          <w:p w14:paraId="6BE81A9D" w14:textId="77777777" w:rsidR="009F73D8" w:rsidRPr="006A1797" w:rsidRDefault="009F73D8" w:rsidP="009F73D8">
            <w:pPr>
              <w:spacing w:after="0" w:line="240" w:lineRule="auto"/>
              <w:jc w:val="both"/>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val="el-GR" w:eastAsia="en-US"/>
              </w:rPr>
              <w:t xml:space="preserve">Κέρδη/(ζημιές) μετά τη φορολογία για την περίοδο </w:t>
            </w:r>
          </w:p>
        </w:tc>
        <w:tc>
          <w:tcPr>
            <w:tcW w:w="1559" w:type="dxa"/>
            <w:tcBorders>
              <w:top w:val="single" w:sz="6" w:space="0" w:color="auto"/>
              <w:bottom w:val="double" w:sz="6" w:space="0" w:color="auto"/>
            </w:tcBorders>
            <w:shd w:val="clear" w:color="auto" w:fill="auto"/>
            <w:vAlign w:val="center"/>
          </w:tcPr>
          <w:p w14:paraId="4251EE26" w14:textId="208108E6"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271,383</w:t>
            </w:r>
          </w:p>
        </w:tc>
        <w:tc>
          <w:tcPr>
            <w:tcW w:w="1560" w:type="dxa"/>
            <w:tcBorders>
              <w:top w:val="single" w:sz="6" w:space="0" w:color="auto"/>
              <w:bottom w:val="double" w:sz="6" w:space="0" w:color="auto"/>
            </w:tcBorders>
            <w:shd w:val="clear" w:color="auto" w:fill="auto"/>
            <w:vAlign w:val="center"/>
          </w:tcPr>
          <w:p w14:paraId="5C29FE0C" w14:textId="148DE402" w:rsidR="009F73D8" w:rsidRPr="006A1797" w:rsidRDefault="009F73D8" w:rsidP="009F73D8">
            <w:pPr>
              <w:spacing w:after="0" w:line="240" w:lineRule="auto"/>
              <w:jc w:val="right"/>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eastAsia="en-US"/>
              </w:rPr>
              <w:t>221,152</w:t>
            </w:r>
          </w:p>
        </w:tc>
      </w:tr>
      <w:tr w:rsidR="009F73D8" w:rsidRPr="000A3197" w14:paraId="796E1B52" w14:textId="77777777" w:rsidTr="00A21CB9">
        <w:trPr>
          <w:trHeight w:val="255"/>
          <w:jc w:val="center"/>
        </w:trPr>
        <w:tc>
          <w:tcPr>
            <w:tcW w:w="6941" w:type="dxa"/>
            <w:shd w:val="clear" w:color="auto" w:fill="auto"/>
            <w:vAlign w:val="center"/>
          </w:tcPr>
          <w:p w14:paraId="7BEDCDAB" w14:textId="77777777" w:rsidR="009F73D8" w:rsidRPr="006A1797" w:rsidRDefault="009F73D8" w:rsidP="009F73D8">
            <w:pPr>
              <w:spacing w:after="0" w:line="240" w:lineRule="auto"/>
              <w:jc w:val="both"/>
              <w:rPr>
                <w:rFonts w:ascii="Arial" w:eastAsia="Batang" w:hAnsi="Arial" w:cs="Arial"/>
                <w:b/>
                <w:bCs/>
                <w:color w:val="000000" w:themeColor="text1"/>
                <w:sz w:val="18"/>
                <w:szCs w:val="18"/>
                <w:lang w:val="el-GR" w:eastAsia="en-US"/>
              </w:rPr>
            </w:pPr>
          </w:p>
        </w:tc>
        <w:tc>
          <w:tcPr>
            <w:tcW w:w="1559" w:type="dxa"/>
            <w:tcBorders>
              <w:top w:val="double" w:sz="6" w:space="0" w:color="auto"/>
              <w:bottom w:val="single" w:sz="4" w:space="0" w:color="D9D9D9" w:themeColor="background1" w:themeShade="D9"/>
            </w:tcBorders>
            <w:shd w:val="clear" w:color="auto" w:fill="auto"/>
            <w:vAlign w:val="center"/>
          </w:tcPr>
          <w:p w14:paraId="6CF82216" w14:textId="77777777"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eastAsia="en-US"/>
              </w:rPr>
            </w:pPr>
          </w:p>
        </w:tc>
        <w:tc>
          <w:tcPr>
            <w:tcW w:w="1560" w:type="dxa"/>
            <w:tcBorders>
              <w:top w:val="double" w:sz="6" w:space="0" w:color="auto"/>
              <w:bottom w:val="single" w:sz="4" w:space="0" w:color="D9D9D9" w:themeColor="background1" w:themeShade="D9"/>
            </w:tcBorders>
            <w:shd w:val="clear" w:color="auto" w:fill="auto"/>
            <w:vAlign w:val="center"/>
          </w:tcPr>
          <w:p w14:paraId="0640A7B2" w14:textId="77777777" w:rsidR="009F73D8" w:rsidRPr="006A1797" w:rsidRDefault="009F73D8" w:rsidP="009F73D8">
            <w:pPr>
              <w:spacing w:after="0" w:line="240" w:lineRule="auto"/>
              <w:jc w:val="right"/>
              <w:rPr>
                <w:rFonts w:ascii="Arial" w:eastAsia="Batang" w:hAnsi="Arial" w:cs="Arial"/>
                <w:color w:val="000000" w:themeColor="text1"/>
                <w:sz w:val="18"/>
                <w:szCs w:val="18"/>
                <w:lang w:eastAsia="en-US"/>
              </w:rPr>
            </w:pPr>
          </w:p>
        </w:tc>
      </w:tr>
      <w:tr w:rsidR="009F73D8" w:rsidRPr="00E610A4" w14:paraId="54696EB9" w14:textId="77777777" w:rsidTr="00A21CB9">
        <w:trPr>
          <w:trHeight w:val="255"/>
          <w:jc w:val="center"/>
        </w:trPr>
        <w:tc>
          <w:tcPr>
            <w:tcW w:w="6941" w:type="dxa"/>
            <w:shd w:val="clear" w:color="auto" w:fill="auto"/>
            <w:vAlign w:val="center"/>
          </w:tcPr>
          <w:p w14:paraId="101B19D2" w14:textId="77777777" w:rsidR="009F73D8" w:rsidRPr="006A1797" w:rsidRDefault="009F73D8" w:rsidP="009F73D8">
            <w:pPr>
              <w:spacing w:after="0" w:line="240" w:lineRule="auto"/>
              <w:jc w:val="both"/>
              <w:rPr>
                <w:rFonts w:ascii="Arial" w:eastAsia="Batang" w:hAnsi="Arial" w:cs="Arial"/>
                <w:b/>
                <w:bCs/>
                <w:color w:val="000000" w:themeColor="text1"/>
                <w:sz w:val="18"/>
                <w:szCs w:val="18"/>
                <w:lang w:val="el-GR" w:eastAsia="en-US"/>
              </w:rPr>
            </w:pPr>
            <w:r w:rsidRPr="006A1797">
              <w:rPr>
                <w:rFonts w:ascii="Arial" w:eastAsia="Batang" w:hAnsi="Arial" w:cs="Arial"/>
                <w:b/>
                <w:color w:val="000000" w:themeColor="text1"/>
                <w:sz w:val="18"/>
                <w:szCs w:val="18"/>
                <w:lang w:val="el-GR" w:eastAsia="en-US"/>
              </w:rPr>
              <w:t>Αναλογούντα σε:</w:t>
            </w:r>
          </w:p>
        </w:tc>
        <w:tc>
          <w:tcPr>
            <w:tcW w:w="1559" w:type="dxa"/>
            <w:tcBorders>
              <w:top w:val="single" w:sz="4" w:space="0" w:color="D9D9D9" w:themeColor="background1" w:themeShade="D9"/>
              <w:bottom w:val="single" w:sz="4" w:space="0" w:color="C0C0C0"/>
            </w:tcBorders>
            <w:shd w:val="clear" w:color="auto" w:fill="auto"/>
            <w:vAlign w:val="center"/>
          </w:tcPr>
          <w:p w14:paraId="7ABA38AB" w14:textId="77777777"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eastAsia="en-US"/>
              </w:rPr>
            </w:pPr>
          </w:p>
        </w:tc>
        <w:tc>
          <w:tcPr>
            <w:tcW w:w="1560" w:type="dxa"/>
            <w:tcBorders>
              <w:top w:val="single" w:sz="4" w:space="0" w:color="D9D9D9" w:themeColor="background1" w:themeShade="D9"/>
              <w:bottom w:val="single" w:sz="4" w:space="0" w:color="C0C0C0"/>
            </w:tcBorders>
            <w:shd w:val="clear" w:color="auto" w:fill="FFFFFF" w:themeFill="background1"/>
            <w:vAlign w:val="center"/>
          </w:tcPr>
          <w:p w14:paraId="551CFED7" w14:textId="77777777" w:rsidR="009F73D8" w:rsidRPr="006A1797" w:rsidRDefault="009F73D8" w:rsidP="009F73D8">
            <w:pPr>
              <w:spacing w:after="0" w:line="240" w:lineRule="auto"/>
              <w:jc w:val="right"/>
              <w:rPr>
                <w:rFonts w:ascii="Arial" w:eastAsia="Batang" w:hAnsi="Arial" w:cs="Arial"/>
                <w:color w:val="000000" w:themeColor="text1"/>
                <w:sz w:val="18"/>
                <w:szCs w:val="18"/>
                <w:lang w:eastAsia="en-US"/>
              </w:rPr>
            </w:pPr>
          </w:p>
        </w:tc>
      </w:tr>
      <w:tr w:rsidR="009F73D8" w:rsidRPr="00E610A4" w14:paraId="72FA1950" w14:textId="77777777" w:rsidTr="00A21CB9">
        <w:trPr>
          <w:trHeight w:val="255"/>
          <w:jc w:val="center"/>
        </w:trPr>
        <w:tc>
          <w:tcPr>
            <w:tcW w:w="6941" w:type="dxa"/>
            <w:shd w:val="clear" w:color="auto" w:fill="auto"/>
            <w:vAlign w:val="center"/>
          </w:tcPr>
          <w:p w14:paraId="6BC98945" w14:textId="77777777" w:rsidR="009F73D8" w:rsidRPr="006A1797" w:rsidRDefault="009F73D8" w:rsidP="009F73D8">
            <w:pPr>
              <w:spacing w:after="0" w:line="240" w:lineRule="auto"/>
              <w:jc w:val="both"/>
              <w:rPr>
                <w:rFonts w:ascii="Arial" w:eastAsia="Batang" w:hAnsi="Arial" w:cs="Arial"/>
                <w:b/>
                <w:bCs/>
                <w:color w:val="000000" w:themeColor="text1"/>
                <w:sz w:val="18"/>
                <w:szCs w:val="18"/>
                <w:lang w:val="el-GR" w:eastAsia="en-US"/>
              </w:rPr>
            </w:pPr>
            <w:r w:rsidRPr="006A1797">
              <w:rPr>
                <w:rFonts w:ascii="Arial" w:eastAsia="Batang" w:hAnsi="Arial" w:cs="Arial"/>
                <w:color w:val="000000" w:themeColor="text1"/>
                <w:sz w:val="18"/>
                <w:szCs w:val="18"/>
                <w:lang w:val="el-GR" w:eastAsia="en-US"/>
              </w:rPr>
              <w:t>Ιδιοκτήτες της Εταιρίας</w:t>
            </w:r>
            <w:r w:rsidRPr="006A1797" w:rsidDel="0065440B">
              <w:rPr>
                <w:rFonts w:ascii="Arial" w:eastAsia="Batang" w:hAnsi="Arial" w:cs="Arial"/>
                <w:color w:val="000000" w:themeColor="text1"/>
                <w:sz w:val="18"/>
                <w:szCs w:val="18"/>
                <w:lang w:val="el-GR" w:eastAsia="en-US"/>
              </w:rPr>
              <w:t xml:space="preserve"> </w:t>
            </w:r>
          </w:p>
        </w:tc>
        <w:tc>
          <w:tcPr>
            <w:tcW w:w="1559" w:type="dxa"/>
            <w:tcBorders>
              <w:top w:val="single" w:sz="4" w:space="0" w:color="C0C0C0"/>
              <w:bottom w:val="single" w:sz="4" w:space="0" w:color="C0C0C0"/>
            </w:tcBorders>
            <w:shd w:val="clear" w:color="auto" w:fill="auto"/>
            <w:vAlign w:val="center"/>
          </w:tcPr>
          <w:p w14:paraId="2DA402A5" w14:textId="3C81E34D"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270,353</w:t>
            </w:r>
          </w:p>
        </w:tc>
        <w:tc>
          <w:tcPr>
            <w:tcW w:w="1560" w:type="dxa"/>
            <w:tcBorders>
              <w:top w:val="single" w:sz="4" w:space="0" w:color="C0C0C0"/>
              <w:bottom w:val="single" w:sz="4" w:space="0" w:color="C0C0C0"/>
            </w:tcBorders>
            <w:shd w:val="clear" w:color="auto" w:fill="auto"/>
            <w:vAlign w:val="center"/>
          </w:tcPr>
          <w:p w14:paraId="0806410C" w14:textId="0CCDF18D" w:rsidR="009F73D8" w:rsidRPr="006A1797" w:rsidRDefault="009F73D8" w:rsidP="009F73D8">
            <w:pPr>
              <w:spacing w:after="0" w:line="240" w:lineRule="auto"/>
              <w:jc w:val="right"/>
              <w:rPr>
                <w:rFonts w:ascii="Arial" w:eastAsia="Batang" w:hAnsi="Arial" w:cs="Arial"/>
                <w:color w:val="000000" w:themeColor="text1"/>
                <w:sz w:val="18"/>
                <w:szCs w:val="18"/>
                <w:lang w:eastAsia="en-US"/>
              </w:rPr>
            </w:pPr>
            <w:r w:rsidRPr="006A1797">
              <w:rPr>
                <w:rFonts w:ascii="Arial" w:eastAsia="Batang" w:hAnsi="Arial" w:cs="Arial"/>
                <w:color w:val="000000" w:themeColor="text1"/>
                <w:sz w:val="18"/>
                <w:szCs w:val="18"/>
                <w:lang w:eastAsia="en-US"/>
              </w:rPr>
              <w:t>220,247</w:t>
            </w:r>
          </w:p>
        </w:tc>
      </w:tr>
      <w:tr w:rsidR="009F73D8" w:rsidRPr="00E610A4" w14:paraId="6CA1B2D3" w14:textId="77777777" w:rsidTr="00A21CB9">
        <w:trPr>
          <w:trHeight w:val="255"/>
          <w:jc w:val="center"/>
        </w:trPr>
        <w:tc>
          <w:tcPr>
            <w:tcW w:w="6941" w:type="dxa"/>
            <w:shd w:val="clear" w:color="auto" w:fill="auto"/>
            <w:vAlign w:val="center"/>
          </w:tcPr>
          <w:p w14:paraId="7FA9F57D" w14:textId="77777777" w:rsidR="009F73D8" w:rsidRPr="006A1797" w:rsidRDefault="009F73D8" w:rsidP="009F73D8">
            <w:pPr>
              <w:spacing w:after="0" w:line="240" w:lineRule="auto"/>
              <w:jc w:val="both"/>
              <w:rPr>
                <w:rFonts w:ascii="Arial" w:eastAsia="Batang" w:hAnsi="Arial" w:cs="Arial"/>
                <w:b/>
                <w:bCs/>
                <w:color w:val="000000" w:themeColor="text1"/>
                <w:sz w:val="18"/>
                <w:szCs w:val="18"/>
                <w:lang w:val="el-GR" w:eastAsia="en-US"/>
              </w:rPr>
            </w:pPr>
            <w:r w:rsidRPr="006A1797">
              <w:rPr>
                <w:rFonts w:ascii="Arial" w:eastAsia="Batang" w:hAnsi="Arial" w:cs="Arial"/>
                <w:color w:val="000000" w:themeColor="text1"/>
                <w:sz w:val="18"/>
                <w:szCs w:val="18"/>
                <w:lang w:val="el-GR" w:eastAsia="en-US"/>
              </w:rPr>
              <w:t>Δικαιώματα μειοψηφίας</w:t>
            </w:r>
          </w:p>
        </w:tc>
        <w:tc>
          <w:tcPr>
            <w:tcW w:w="1559" w:type="dxa"/>
            <w:tcBorders>
              <w:top w:val="single" w:sz="4" w:space="0" w:color="C0C0C0"/>
              <w:bottom w:val="single" w:sz="6" w:space="0" w:color="auto"/>
            </w:tcBorders>
            <w:shd w:val="clear" w:color="auto" w:fill="auto"/>
            <w:vAlign w:val="center"/>
          </w:tcPr>
          <w:p w14:paraId="363BBE1D" w14:textId="55F2E7BC"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1,030</w:t>
            </w:r>
          </w:p>
        </w:tc>
        <w:tc>
          <w:tcPr>
            <w:tcW w:w="1560" w:type="dxa"/>
            <w:tcBorders>
              <w:top w:val="single" w:sz="4" w:space="0" w:color="C0C0C0"/>
              <w:bottom w:val="single" w:sz="6" w:space="0" w:color="auto"/>
            </w:tcBorders>
            <w:shd w:val="clear" w:color="auto" w:fill="auto"/>
            <w:vAlign w:val="center"/>
          </w:tcPr>
          <w:p w14:paraId="2CF92232" w14:textId="6709B959" w:rsidR="009F73D8" w:rsidRPr="006A1797" w:rsidRDefault="009F73D8" w:rsidP="009F73D8">
            <w:pPr>
              <w:spacing w:after="0" w:line="240" w:lineRule="auto"/>
              <w:jc w:val="right"/>
              <w:rPr>
                <w:rFonts w:ascii="Arial" w:eastAsia="Batang" w:hAnsi="Arial" w:cs="Arial"/>
                <w:color w:val="000000" w:themeColor="text1"/>
                <w:sz w:val="18"/>
                <w:szCs w:val="18"/>
                <w:lang w:eastAsia="en-US"/>
              </w:rPr>
            </w:pPr>
            <w:r w:rsidRPr="006A1797">
              <w:rPr>
                <w:rFonts w:ascii="Arial" w:eastAsia="Batang" w:hAnsi="Arial" w:cs="Arial"/>
                <w:color w:val="000000" w:themeColor="text1"/>
                <w:sz w:val="18"/>
                <w:szCs w:val="18"/>
                <w:lang w:eastAsia="en-US"/>
              </w:rPr>
              <w:t>905</w:t>
            </w:r>
          </w:p>
        </w:tc>
      </w:tr>
      <w:tr w:rsidR="009F73D8" w:rsidRPr="00EA064F" w14:paraId="6EC4B376" w14:textId="77777777" w:rsidTr="00A21CB9">
        <w:trPr>
          <w:trHeight w:val="255"/>
          <w:jc w:val="center"/>
        </w:trPr>
        <w:tc>
          <w:tcPr>
            <w:tcW w:w="6941" w:type="dxa"/>
            <w:shd w:val="clear" w:color="auto" w:fill="auto"/>
            <w:vAlign w:val="center"/>
          </w:tcPr>
          <w:p w14:paraId="1256409E" w14:textId="77777777" w:rsidR="009F73D8" w:rsidRPr="006A1797" w:rsidRDefault="009F73D8" w:rsidP="009F73D8">
            <w:pPr>
              <w:spacing w:after="0" w:line="240" w:lineRule="auto"/>
              <w:jc w:val="both"/>
              <w:rPr>
                <w:rFonts w:ascii="Arial" w:eastAsia="Batang" w:hAnsi="Arial" w:cs="Arial"/>
                <w:b/>
                <w:bCs/>
                <w:color w:val="000000" w:themeColor="text1"/>
                <w:sz w:val="18"/>
                <w:szCs w:val="18"/>
                <w:lang w:val="el-GR" w:eastAsia="en-US"/>
              </w:rPr>
            </w:pPr>
            <w:r w:rsidRPr="006A1797">
              <w:rPr>
                <w:rFonts w:ascii="Arial" w:eastAsia="Batang" w:hAnsi="Arial" w:cs="Arial"/>
                <w:b/>
                <w:color w:val="000000" w:themeColor="text1"/>
                <w:sz w:val="18"/>
                <w:szCs w:val="18"/>
                <w:lang w:val="el-GR" w:eastAsia="en-US"/>
              </w:rPr>
              <w:t>Κέρδη για την περίοδο</w:t>
            </w:r>
          </w:p>
        </w:tc>
        <w:tc>
          <w:tcPr>
            <w:tcW w:w="1559" w:type="dxa"/>
            <w:tcBorders>
              <w:top w:val="single" w:sz="6" w:space="0" w:color="auto"/>
              <w:bottom w:val="double" w:sz="6" w:space="0" w:color="auto"/>
            </w:tcBorders>
            <w:shd w:val="clear" w:color="auto" w:fill="auto"/>
            <w:vAlign w:val="center"/>
          </w:tcPr>
          <w:p w14:paraId="11F99989" w14:textId="37BB2D6D"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271,383</w:t>
            </w:r>
          </w:p>
        </w:tc>
        <w:tc>
          <w:tcPr>
            <w:tcW w:w="1560" w:type="dxa"/>
            <w:tcBorders>
              <w:top w:val="single" w:sz="6" w:space="0" w:color="auto"/>
              <w:bottom w:val="double" w:sz="6" w:space="0" w:color="auto"/>
            </w:tcBorders>
            <w:shd w:val="clear" w:color="auto" w:fill="auto"/>
            <w:vAlign w:val="center"/>
          </w:tcPr>
          <w:p w14:paraId="2F83CFB9" w14:textId="74A5BB5B" w:rsidR="009F73D8" w:rsidRPr="006A1797" w:rsidRDefault="009F73D8" w:rsidP="009F73D8">
            <w:pPr>
              <w:spacing w:after="0" w:line="240" w:lineRule="auto"/>
              <w:jc w:val="right"/>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eastAsia="en-US"/>
              </w:rPr>
              <w:t>221,152</w:t>
            </w:r>
          </w:p>
        </w:tc>
      </w:tr>
      <w:tr w:rsidR="009F73D8" w:rsidRPr="00EA064F" w14:paraId="12E502C5" w14:textId="77777777" w:rsidTr="00A21CB9">
        <w:trPr>
          <w:trHeight w:val="255"/>
          <w:jc w:val="center"/>
        </w:trPr>
        <w:tc>
          <w:tcPr>
            <w:tcW w:w="6941" w:type="dxa"/>
            <w:shd w:val="clear" w:color="auto" w:fill="auto"/>
            <w:vAlign w:val="center"/>
          </w:tcPr>
          <w:p w14:paraId="0B25AC1C" w14:textId="77777777" w:rsidR="009F73D8" w:rsidRPr="006A1797" w:rsidRDefault="009F73D8" w:rsidP="009F73D8">
            <w:pPr>
              <w:spacing w:after="0" w:line="240" w:lineRule="auto"/>
              <w:jc w:val="both"/>
              <w:rPr>
                <w:rFonts w:ascii="Arial" w:eastAsia="Batang" w:hAnsi="Arial" w:cs="Arial"/>
                <w:b/>
                <w:color w:val="000000" w:themeColor="text1"/>
                <w:sz w:val="18"/>
                <w:szCs w:val="18"/>
                <w:lang w:val="el-GR" w:eastAsia="en-US"/>
              </w:rPr>
            </w:pPr>
          </w:p>
        </w:tc>
        <w:tc>
          <w:tcPr>
            <w:tcW w:w="1559" w:type="dxa"/>
            <w:tcBorders>
              <w:top w:val="double" w:sz="6" w:space="0" w:color="auto"/>
              <w:bottom w:val="single" w:sz="4" w:space="0" w:color="BFBFBF" w:themeColor="background1" w:themeShade="BF"/>
            </w:tcBorders>
            <w:shd w:val="clear" w:color="auto" w:fill="auto"/>
            <w:vAlign w:val="center"/>
          </w:tcPr>
          <w:p w14:paraId="3F485390" w14:textId="77777777"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eastAsia="en-US"/>
              </w:rPr>
            </w:pPr>
          </w:p>
        </w:tc>
        <w:tc>
          <w:tcPr>
            <w:tcW w:w="1560" w:type="dxa"/>
            <w:tcBorders>
              <w:top w:val="double" w:sz="6" w:space="0" w:color="auto"/>
              <w:bottom w:val="single" w:sz="4" w:space="0" w:color="BFBFBF" w:themeColor="background1" w:themeShade="BF"/>
            </w:tcBorders>
            <w:shd w:val="clear" w:color="auto" w:fill="auto"/>
            <w:vAlign w:val="center"/>
          </w:tcPr>
          <w:p w14:paraId="54BA874A" w14:textId="77777777" w:rsidR="009F73D8" w:rsidRPr="006A1797" w:rsidRDefault="009F73D8" w:rsidP="009F73D8">
            <w:pPr>
              <w:spacing w:after="0" w:line="240" w:lineRule="auto"/>
              <w:jc w:val="right"/>
              <w:rPr>
                <w:rFonts w:ascii="Arial" w:eastAsia="Batang" w:hAnsi="Arial" w:cs="Arial"/>
                <w:color w:val="000000" w:themeColor="text1"/>
                <w:sz w:val="18"/>
                <w:szCs w:val="18"/>
                <w:lang w:eastAsia="en-US"/>
              </w:rPr>
            </w:pPr>
          </w:p>
        </w:tc>
      </w:tr>
      <w:tr w:rsidR="009F73D8" w:rsidRPr="000A3197" w14:paraId="493F344A" w14:textId="77777777" w:rsidTr="006A1797">
        <w:trPr>
          <w:trHeight w:val="255"/>
          <w:jc w:val="center"/>
        </w:trPr>
        <w:tc>
          <w:tcPr>
            <w:tcW w:w="6941" w:type="dxa"/>
            <w:shd w:val="clear" w:color="auto" w:fill="auto"/>
            <w:vAlign w:val="center"/>
          </w:tcPr>
          <w:p w14:paraId="76A7EDB8" w14:textId="77777777" w:rsidR="009F73D8" w:rsidRPr="006A1797" w:rsidRDefault="009F73D8" w:rsidP="009F73D8">
            <w:pPr>
              <w:spacing w:after="0" w:line="240" w:lineRule="auto"/>
              <w:jc w:val="both"/>
              <w:rPr>
                <w:rFonts w:ascii="Arial" w:eastAsia="Batang" w:hAnsi="Arial" w:cs="Arial"/>
                <w:b/>
                <w:color w:val="000000" w:themeColor="text1"/>
                <w:sz w:val="18"/>
                <w:szCs w:val="18"/>
                <w:lang w:val="el-GR" w:eastAsia="en-US"/>
              </w:rPr>
            </w:pPr>
            <w:r w:rsidRPr="006A1797">
              <w:rPr>
                <w:rFonts w:ascii="Arial" w:eastAsia="Batang" w:hAnsi="Arial" w:cs="Arial"/>
                <w:b/>
                <w:color w:val="000000" w:themeColor="text1"/>
                <w:sz w:val="18"/>
                <w:szCs w:val="18"/>
                <w:lang w:val="el-GR" w:eastAsia="en-US"/>
              </w:rPr>
              <w:t>Βασικά κέρδη ανά μετοχή αναλογούντα στους ιδιοκτήτες της Εταιρίας (€ σεντ)</w:t>
            </w:r>
          </w:p>
        </w:tc>
        <w:tc>
          <w:tcPr>
            <w:tcW w:w="1559" w:type="dxa"/>
            <w:tcBorders>
              <w:top w:val="single" w:sz="4" w:space="0" w:color="BFBFBF" w:themeColor="background1" w:themeShade="BF"/>
              <w:bottom w:val="double" w:sz="4" w:space="0" w:color="auto"/>
            </w:tcBorders>
            <w:shd w:val="clear" w:color="auto" w:fill="auto"/>
            <w:vAlign w:val="center"/>
          </w:tcPr>
          <w:p w14:paraId="2357A7DA" w14:textId="4AE77024"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n-US" w:eastAsia="en-US"/>
              </w:rPr>
            </w:pPr>
            <w:r w:rsidRPr="006A1797">
              <w:rPr>
                <w:rFonts w:ascii="Arial" w:eastAsia="Batang" w:hAnsi="Arial" w:cs="Arial"/>
                <w:b/>
                <w:bCs/>
                <w:color w:val="000000" w:themeColor="text1"/>
                <w:sz w:val="18"/>
                <w:szCs w:val="18"/>
                <w:lang w:eastAsia="en-US"/>
              </w:rPr>
              <w:t>60.6</w:t>
            </w:r>
          </w:p>
        </w:tc>
        <w:tc>
          <w:tcPr>
            <w:tcW w:w="1560" w:type="dxa"/>
            <w:tcBorders>
              <w:top w:val="single" w:sz="4" w:space="0" w:color="BFBFBF" w:themeColor="background1" w:themeShade="BF"/>
              <w:bottom w:val="double" w:sz="6" w:space="0" w:color="auto"/>
            </w:tcBorders>
            <w:shd w:val="clear" w:color="auto" w:fill="auto"/>
            <w:vAlign w:val="center"/>
          </w:tcPr>
          <w:p w14:paraId="74CF2158" w14:textId="0A90A53B" w:rsidR="009F73D8" w:rsidRPr="006A1797" w:rsidRDefault="009F73D8" w:rsidP="009F73D8">
            <w:pPr>
              <w:spacing w:after="0" w:line="240" w:lineRule="auto"/>
              <w:jc w:val="right"/>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eastAsia="en-US"/>
              </w:rPr>
              <w:t>49.4</w:t>
            </w:r>
          </w:p>
        </w:tc>
      </w:tr>
      <w:tr w:rsidR="009F73D8" w:rsidRPr="00EA064F" w14:paraId="2FDD7028" w14:textId="77777777" w:rsidTr="006A1797">
        <w:trPr>
          <w:trHeight w:val="255"/>
          <w:jc w:val="center"/>
        </w:trPr>
        <w:tc>
          <w:tcPr>
            <w:tcW w:w="6941" w:type="dxa"/>
            <w:shd w:val="clear" w:color="auto" w:fill="auto"/>
            <w:vAlign w:val="center"/>
          </w:tcPr>
          <w:p w14:paraId="299ADEE1" w14:textId="77777777" w:rsidR="008E7D1C" w:rsidRPr="006A1797" w:rsidRDefault="009F73D8" w:rsidP="009F73D8">
            <w:pPr>
              <w:spacing w:after="0" w:line="240" w:lineRule="auto"/>
              <w:jc w:val="both"/>
              <w:rPr>
                <w:rFonts w:ascii="Arial" w:hAnsi="Arial" w:cs="Arial"/>
                <w:b/>
                <w:bCs/>
                <w:color w:val="000000" w:themeColor="text1"/>
                <w:sz w:val="18"/>
                <w:szCs w:val="18"/>
                <w:lang w:val="el-GR"/>
              </w:rPr>
            </w:pPr>
            <w:r w:rsidRPr="006A1797">
              <w:rPr>
                <w:rFonts w:ascii="Arial" w:hAnsi="Arial" w:cs="Arial"/>
                <w:b/>
                <w:bCs/>
                <w:color w:val="000000" w:themeColor="text1"/>
                <w:sz w:val="18"/>
                <w:szCs w:val="18"/>
                <w:lang w:val="el-GR"/>
              </w:rPr>
              <w:t xml:space="preserve">Προσαρμοσμένα κέρδη ανά μετοχή αναλογούντα στους ιδιοκτήτες της </w:t>
            </w:r>
          </w:p>
          <w:p w14:paraId="18C5D686" w14:textId="626DCE94" w:rsidR="009F73D8" w:rsidRPr="006A1797" w:rsidRDefault="009F73D8" w:rsidP="009F73D8">
            <w:pPr>
              <w:spacing w:after="0" w:line="240" w:lineRule="auto"/>
              <w:jc w:val="both"/>
              <w:rPr>
                <w:rFonts w:ascii="Arial" w:eastAsia="Batang" w:hAnsi="Arial" w:cs="Arial"/>
                <w:b/>
                <w:color w:val="000000" w:themeColor="text1"/>
                <w:sz w:val="18"/>
                <w:szCs w:val="18"/>
                <w:lang w:val="el-GR" w:eastAsia="en-US"/>
              </w:rPr>
            </w:pPr>
            <w:r w:rsidRPr="006A1797">
              <w:rPr>
                <w:rFonts w:ascii="Arial" w:hAnsi="Arial" w:cs="Arial"/>
                <w:b/>
                <w:bCs/>
                <w:color w:val="000000" w:themeColor="text1"/>
                <w:sz w:val="18"/>
                <w:szCs w:val="18"/>
                <w:lang w:val="el-GR"/>
              </w:rPr>
              <w:t>Εταιρίας (€ σεντ)</w:t>
            </w:r>
          </w:p>
        </w:tc>
        <w:tc>
          <w:tcPr>
            <w:tcW w:w="1559" w:type="dxa"/>
            <w:tcBorders>
              <w:top w:val="double" w:sz="4" w:space="0" w:color="auto"/>
              <w:bottom w:val="double" w:sz="4" w:space="0" w:color="auto"/>
            </w:tcBorders>
            <w:shd w:val="clear" w:color="auto" w:fill="auto"/>
            <w:vAlign w:val="center"/>
          </w:tcPr>
          <w:p w14:paraId="78C38BC6" w14:textId="63827E02" w:rsidR="009F73D8" w:rsidRPr="006A1797" w:rsidRDefault="009F73D8" w:rsidP="009F73D8">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eastAsia="en-US"/>
              </w:rPr>
            </w:pPr>
            <w:r w:rsidRPr="006A1797">
              <w:rPr>
                <w:rFonts w:ascii="Arial" w:eastAsia="Batang" w:hAnsi="Arial" w:cs="Arial"/>
                <w:b/>
                <w:bCs/>
                <w:color w:val="000000" w:themeColor="text1"/>
                <w:sz w:val="18"/>
                <w:szCs w:val="18"/>
                <w:lang w:val="en-US" w:eastAsia="en-US"/>
              </w:rPr>
              <w:t>60.4</w:t>
            </w:r>
          </w:p>
        </w:tc>
        <w:tc>
          <w:tcPr>
            <w:tcW w:w="1560" w:type="dxa"/>
            <w:tcBorders>
              <w:top w:val="double" w:sz="6" w:space="0" w:color="auto"/>
              <w:bottom w:val="double" w:sz="6" w:space="0" w:color="auto"/>
            </w:tcBorders>
            <w:shd w:val="clear" w:color="auto" w:fill="auto"/>
            <w:vAlign w:val="center"/>
          </w:tcPr>
          <w:p w14:paraId="00D61482" w14:textId="54E72B0F" w:rsidR="009F73D8" w:rsidRPr="006A1797" w:rsidRDefault="009F73D8" w:rsidP="009F73D8">
            <w:pPr>
              <w:spacing w:after="0" w:line="240" w:lineRule="auto"/>
              <w:jc w:val="right"/>
              <w:rPr>
                <w:rFonts w:ascii="Arial" w:eastAsia="Batang" w:hAnsi="Arial" w:cs="Arial"/>
                <w:color w:val="000000" w:themeColor="text1"/>
                <w:sz w:val="18"/>
                <w:szCs w:val="18"/>
                <w:lang w:eastAsia="en-US"/>
              </w:rPr>
            </w:pPr>
            <w:r w:rsidRPr="006A1797">
              <w:rPr>
                <w:rFonts w:ascii="Arial" w:eastAsia="Batang" w:hAnsi="Arial" w:cs="Arial"/>
                <w:color w:val="000000" w:themeColor="text1"/>
                <w:sz w:val="18"/>
                <w:szCs w:val="18"/>
                <w:lang w:eastAsia="en-US"/>
              </w:rPr>
              <w:t>49.3</w:t>
            </w:r>
          </w:p>
        </w:tc>
      </w:tr>
    </w:tbl>
    <w:p w14:paraId="0B5CAAE1" w14:textId="77777777" w:rsidR="006B5511" w:rsidRPr="00FA3A6D" w:rsidRDefault="006B5511" w:rsidP="006B5511">
      <w:pPr>
        <w:rPr>
          <w:lang w:val="el-GR"/>
        </w:rPr>
      </w:pPr>
    </w:p>
    <w:p w14:paraId="64BD5AF8" w14:textId="77777777" w:rsidR="006B5511" w:rsidRDefault="006B5511" w:rsidP="009C412B">
      <w:pPr>
        <w:pStyle w:val="ListParagraph"/>
        <w:spacing w:line="360" w:lineRule="auto"/>
        <w:ind w:left="-567"/>
        <w:rPr>
          <w:rFonts w:ascii="Arial" w:hAnsi="Arial" w:cs="Arial"/>
          <w:b/>
          <w:color w:val="FF9900"/>
          <w:szCs w:val="16"/>
          <w:highlight w:val="yellow"/>
          <w:lang w:val="el-GR"/>
        </w:rPr>
      </w:pPr>
    </w:p>
    <w:p w14:paraId="7812C822" w14:textId="77777777" w:rsidR="006B5511" w:rsidRDefault="006B5511">
      <w:pPr>
        <w:rPr>
          <w:rFonts w:ascii="Arial" w:eastAsia="Times New Roman" w:hAnsi="Arial" w:cs="Arial"/>
          <w:b/>
          <w:color w:val="FF9900"/>
          <w:sz w:val="24"/>
          <w:szCs w:val="16"/>
          <w:highlight w:val="yellow"/>
          <w:lang w:val="el-GR"/>
        </w:rPr>
      </w:pPr>
      <w:r>
        <w:rPr>
          <w:rFonts w:ascii="Arial" w:hAnsi="Arial" w:cs="Arial"/>
          <w:b/>
          <w:color w:val="FF9900"/>
          <w:szCs w:val="16"/>
          <w:highlight w:val="yellow"/>
          <w:lang w:val="el-GR"/>
        </w:rPr>
        <w:br w:type="page"/>
      </w:r>
    </w:p>
    <w:p w14:paraId="465663CB" w14:textId="77777777" w:rsidR="006B5511" w:rsidRPr="00CB38F0" w:rsidRDefault="006B5511" w:rsidP="006B5511">
      <w:pPr>
        <w:rPr>
          <w:rFonts w:ascii="Arial" w:hAnsi="Arial" w:cs="Arial"/>
          <w:bCs/>
          <w:color w:val="FF9900"/>
          <w:sz w:val="24"/>
          <w:szCs w:val="24"/>
          <w:lang w:val="el-GR"/>
        </w:rPr>
      </w:pPr>
      <w:r w:rsidRPr="00CB38F0">
        <w:rPr>
          <w:rFonts w:ascii="Arial" w:hAnsi="Arial" w:cs="Arial"/>
          <w:b/>
          <w:color w:val="FF9900"/>
          <w:sz w:val="24"/>
          <w:szCs w:val="24"/>
          <w:lang w:val="el-GR"/>
        </w:rPr>
        <w:lastRenderedPageBreak/>
        <w:t xml:space="preserve">Α. Οικονομικά Αποτελέσματα Συγκροτήματος - στην απαιτούμενη από τη νομοθεσία βάση </w:t>
      </w:r>
      <w:r w:rsidRPr="00CB38F0">
        <w:rPr>
          <w:rFonts w:ascii="Arial" w:hAnsi="Arial" w:cs="Arial"/>
          <w:bCs/>
          <w:color w:val="FF9900"/>
          <w:sz w:val="24"/>
          <w:szCs w:val="24"/>
          <w:lang w:val="el-GR"/>
        </w:rPr>
        <w:t>(συνέχεια)</w:t>
      </w:r>
    </w:p>
    <w:p w14:paraId="7B3F3AB5" w14:textId="27968253" w:rsidR="006B5511" w:rsidRPr="00DD7572" w:rsidRDefault="006B5511" w:rsidP="006B5511">
      <w:pPr>
        <w:spacing w:after="120" w:line="240" w:lineRule="auto"/>
        <w:ind w:left="993" w:hanging="993"/>
        <w:rPr>
          <w:rFonts w:ascii="Arial" w:hAnsi="Arial" w:cs="Arial"/>
          <w:b/>
          <w:color w:val="FF9900"/>
          <w:lang w:val="el-GR"/>
        </w:rPr>
      </w:pPr>
      <w:r w:rsidRPr="00DD7572">
        <w:rPr>
          <w:rFonts w:ascii="Arial" w:hAnsi="Arial" w:cs="Arial"/>
          <w:b/>
          <w:color w:val="FF9900"/>
          <w:szCs w:val="16"/>
          <w:lang w:val="el-GR"/>
        </w:rPr>
        <w:t xml:space="preserve">Ενδιάμεσος Ενοποιημένος Ισολογισμός στις 30 Ιουνίου </w:t>
      </w:r>
      <w:r w:rsidR="00962DAE">
        <w:rPr>
          <w:rFonts w:ascii="Arial" w:hAnsi="Arial" w:cs="Arial"/>
          <w:b/>
          <w:color w:val="FF9900"/>
          <w:szCs w:val="16"/>
          <w:lang w:val="el-GR"/>
        </w:rPr>
        <w:t>2024</w:t>
      </w:r>
    </w:p>
    <w:tbl>
      <w:tblPr>
        <w:tblW w:w="1002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108"/>
        <w:gridCol w:w="1514"/>
        <w:gridCol w:w="1398"/>
      </w:tblGrid>
      <w:tr w:rsidR="00F940C8" w:rsidRPr="00295155" w14:paraId="46EACE18" w14:textId="77777777" w:rsidTr="00CB38F0">
        <w:trPr>
          <w:trHeight w:val="677"/>
          <w:jc w:val="center"/>
        </w:trPr>
        <w:tc>
          <w:tcPr>
            <w:tcW w:w="7108" w:type="dxa"/>
            <w:tcBorders>
              <w:left w:val="single" w:sz="4" w:space="0" w:color="C0C0C0"/>
            </w:tcBorders>
          </w:tcPr>
          <w:p w14:paraId="2B364BA5" w14:textId="77777777" w:rsidR="00F940C8" w:rsidRPr="006A1797" w:rsidRDefault="00F940C8" w:rsidP="00A21CB9">
            <w:pPr>
              <w:tabs>
                <w:tab w:val="left" w:pos="0"/>
                <w:tab w:val="left" w:pos="282"/>
                <w:tab w:val="left" w:pos="720"/>
              </w:tabs>
              <w:suppressAutoHyphens/>
              <w:spacing w:after="0" w:line="240" w:lineRule="auto"/>
              <w:jc w:val="right"/>
              <w:rPr>
                <w:rFonts w:ascii="Arial" w:hAnsi="Arial" w:cs="Arial"/>
                <w:color w:val="000000" w:themeColor="text1"/>
                <w:sz w:val="18"/>
                <w:szCs w:val="18"/>
                <w:lang w:val="el-GR"/>
              </w:rPr>
            </w:pPr>
            <w:r w:rsidRPr="006A1797">
              <w:rPr>
                <w:rFonts w:ascii="Arial" w:hAnsi="Arial" w:cs="Arial"/>
                <w:color w:val="000000" w:themeColor="text1"/>
                <w:sz w:val="18"/>
                <w:szCs w:val="18"/>
                <w:lang w:val="el-GR"/>
              </w:rPr>
              <w:br w:type="page"/>
            </w:r>
          </w:p>
        </w:tc>
        <w:tc>
          <w:tcPr>
            <w:tcW w:w="1514" w:type="dxa"/>
            <w:vAlign w:val="center"/>
          </w:tcPr>
          <w:p w14:paraId="5D00CCB6" w14:textId="2B0BE994" w:rsidR="00F940C8" w:rsidRPr="006A1797" w:rsidRDefault="00F940C8" w:rsidP="00A21CB9">
            <w:pPr>
              <w:pStyle w:val="BodyText3"/>
              <w:tabs>
                <w:tab w:val="clear" w:pos="0"/>
              </w:tabs>
              <w:ind w:left="-116" w:right="-165"/>
              <w:jc w:val="center"/>
              <w:rPr>
                <w:rFonts w:ascii="Arial" w:eastAsia="Batang" w:hAnsi="Arial" w:cs="Arial"/>
                <w:b/>
                <w:color w:val="000000" w:themeColor="text1"/>
                <w:sz w:val="18"/>
                <w:szCs w:val="18"/>
                <w:lang w:val="el-GR" w:eastAsia="en-US"/>
              </w:rPr>
            </w:pPr>
            <w:r w:rsidRPr="006A1797">
              <w:rPr>
                <w:rFonts w:ascii="Arial" w:eastAsia="Batang" w:hAnsi="Arial" w:cs="Arial"/>
                <w:b/>
                <w:color w:val="000000" w:themeColor="text1"/>
                <w:sz w:val="18"/>
                <w:szCs w:val="18"/>
                <w:lang w:val="en-US" w:eastAsia="en-US"/>
              </w:rPr>
              <w:t>3</w:t>
            </w:r>
            <w:r w:rsidRPr="006A1797">
              <w:rPr>
                <w:rFonts w:ascii="Arial" w:eastAsia="Batang" w:hAnsi="Arial" w:cs="Arial"/>
                <w:b/>
                <w:color w:val="000000" w:themeColor="text1"/>
                <w:sz w:val="18"/>
                <w:szCs w:val="18"/>
                <w:lang w:val="el-GR" w:eastAsia="en-US"/>
              </w:rPr>
              <w:t>0</w:t>
            </w:r>
            <w:r w:rsidRPr="006A1797">
              <w:rPr>
                <w:rFonts w:ascii="Arial" w:eastAsia="Batang" w:hAnsi="Arial" w:cs="Arial"/>
                <w:b/>
                <w:color w:val="000000" w:themeColor="text1"/>
                <w:sz w:val="18"/>
                <w:szCs w:val="18"/>
                <w:lang w:val="en-US" w:eastAsia="en-US"/>
              </w:rPr>
              <w:t xml:space="preserve"> </w:t>
            </w:r>
            <w:r w:rsidRPr="006A1797">
              <w:rPr>
                <w:rFonts w:ascii="Arial" w:eastAsia="Batang" w:hAnsi="Arial" w:cs="Arial"/>
                <w:b/>
                <w:color w:val="000000" w:themeColor="text1"/>
                <w:sz w:val="18"/>
                <w:szCs w:val="18"/>
                <w:lang w:val="el-GR" w:eastAsia="en-US"/>
              </w:rPr>
              <w:t>Ιουνίου</w:t>
            </w:r>
          </w:p>
          <w:p w14:paraId="02BA3ECF" w14:textId="77777777" w:rsidR="00F940C8" w:rsidRPr="006A1797" w:rsidRDefault="00F940C8" w:rsidP="00A21CB9">
            <w:pPr>
              <w:pStyle w:val="BodyText3"/>
              <w:tabs>
                <w:tab w:val="clear" w:pos="0"/>
              </w:tabs>
              <w:ind w:left="-116" w:right="-165"/>
              <w:jc w:val="center"/>
              <w:rPr>
                <w:rFonts w:ascii="Arial" w:hAnsi="Arial" w:cs="Arial"/>
                <w:b/>
                <w:bCs/>
                <w:color w:val="000000" w:themeColor="text1"/>
                <w:sz w:val="18"/>
                <w:szCs w:val="18"/>
                <w:lang w:val="el-GR"/>
              </w:rPr>
            </w:pPr>
            <w:r w:rsidRPr="006A1797" w:rsidDel="00264973">
              <w:rPr>
                <w:rFonts w:ascii="Arial" w:hAnsi="Arial" w:cs="Arial"/>
                <w:b/>
                <w:bCs/>
                <w:color w:val="000000" w:themeColor="text1"/>
                <w:sz w:val="18"/>
                <w:szCs w:val="18"/>
                <w:lang w:val="el-GR"/>
              </w:rPr>
              <w:t xml:space="preserve"> </w:t>
            </w:r>
            <w:r w:rsidRPr="006A1797">
              <w:rPr>
                <w:rFonts w:ascii="Arial" w:hAnsi="Arial" w:cs="Arial"/>
                <w:b/>
                <w:bCs/>
                <w:color w:val="000000" w:themeColor="text1"/>
                <w:sz w:val="18"/>
                <w:szCs w:val="18"/>
                <w:lang w:val="el-GR"/>
              </w:rPr>
              <w:t>2024</w:t>
            </w:r>
          </w:p>
        </w:tc>
        <w:tc>
          <w:tcPr>
            <w:tcW w:w="1398" w:type="dxa"/>
            <w:vAlign w:val="center"/>
          </w:tcPr>
          <w:p w14:paraId="3E0832C3" w14:textId="77777777" w:rsidR="00F940C8" w:rsidRPr="006A1797" w:rsidRDefault="00F940C8" w:rsidP="00A21CB9">
            <w:pPr>
              <w:pStyle w:val="BodyText3"/>
              <w:tabs>
                <w:tab w:val="clear" w:pos="0"/>
                <w:tab w:val="clear" w:pos="1416"/>
              </w:tabs>
              <w:ind w:left="-102" w:right="-59"/>
              <w:jc w:val="center"/>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val="el-GR" w:eastAsia="en-US"/>
              </w:rPr>
              <w:t>31 Δεκεμβρίου</w:t>
            </w:r>
          </w:p>
          <w:p w14:paraId="5B903915" w14:textId="77777777" w:rsidR="00F940C8" w:rsidRPr="006A1797" w:rsidRDefault="00F940C8" w:rsidP="00A21CB9">
            <w:pPr>
              <w:pStyle w:val="BodyText3"/>
              <w:tabs>
                <w:tab w:val="clear" w:pos="0"/>
                <w:tab w:val="clear" w:pos="1416"/>
              </w:tabs>
              <w:ind w:left="-102" w:right="-59"/>
              <w:jc w:val="center"/>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val="el-GR" w:eastAsia="en-US"/>
              </w:rPr>
              <w:t>2023</w:t>
            </w:r>
          </w:p>
        </w:tc>
      </w:tr>
      <w:tr w:rsidR="00F940C8" w:rsidRPr="00295155" w14:paraId="5A6DA4DD" w14:textId="77777777" w:rsidTr="00CB38F0">
        <w:trPr>
          <w:trHeight w:val="282"/>
          <w:jc w:val="center"/>
        </w:trPr>
        <w:tc>
          <w:tcPr>
            <w:tcW w:w="7108" w:type="dxa"/>
            <w:tcBorders>
              <w:left w:val="single" w:sz="4" w:space="0" w:color="C0C0C0"/>
              <w:bottom w:val="single" w:sz="4" w:space="0" w:color="C0C0C0"/>
            </w:tcBorders>
            <w:vAlign w:val="center"/>
          </w:tcPr>
          <w:p w14:paraId="38F14509" w14:textId="77777777" w:rsidR="00F940C8" w:rsidRPr="006A1797" w:rsidRDefault="00F940C8" w:rsidP="00A21CB9">
            <w:pPr>
              <w:tabs>
                <w:tab w:val="left" w:pos="0"/>
                <w:tab w:val="decimal" w:pos="4962"/>
                <w:tab w:val="right" w:pos="7560"/>
                <w:tab w:val="decimal" w:pos="8220"/>
                <w:tab w:val="left" w:pos="8640"/>
                <w:tab w:val="right" w:pos="9000"/>
              </w:tabs>
              <w:suppressAutoHyphens/>
              <w:spacing w:after="0" w:line="240" w:lineRule="auto"/>
              <w:rPr>
                <w:rFonts w:ascii="Arial" w:hAnsi="Arial" w:cs="Arial"/>
                <w:b/>
                <w:color w:val="000000" w:themeColor="text1"/>
                <w:sz w:val="18"/>
                <w:szCs w:val="18"/>
                <w:lang w:val="el-GR"/>
              </w:rPr>
            </w:pPr>
            <w:r w:rsidRPr="006A1797">
              <w:rPr>
                <w:rFonts w:ascii="Arial" w:hAnsi="Arial" w:cs="Arial"/>
                <w:b/>
                <w:color w:val="000000" w:themeColor="text1"/>
                <w:sz w:val="18"/>
                <w:szCs w:val="18"/>
                <w:lang w:val="el-GR"/>
              </w:rPr>
              <w:t>Περιουσιακά στοιχεία</w:t>
            </w:r>
          </w:p>
        </w:tc>
        <w:tc>
          <w:tcPr>
            <w:tcW w:w="1514" w:type="dxa"/>
            <w:vAlign w:val="center"/>
          </w:tcPr>
          <w:p w14:paraId="1AF24DB4" w14:textId="77777777" w:rsidR="00F940C8" w:rsidRPr="006A1797" w:rsidRDefault="00F940C8" w:rsidP="00A21CB9">
            <w:pPr>
              <w:tabs>
                <w:tab w:val="left" w:pos="0"/>
                <w:tab w:val="left" w:pos="282"/>
                <w:tab w:val="left" w:pos="720"/>
              </w:tabs>
              <w:suppressAutoHyphens/>
              <w:spacing w:after="0" w:line="240" w:lineRule="auto"/>
              <w:jc w:val="center"/>
              <w:rPr>
                <w:rFonts w:ascii="Arial" w:hAnsi="Arial" w:cs="Arial"/>
                <w:b/>
                <w:color w:val="000000" w:themeColor="text1"/>
                <w:sz w:val="18"/>
                <w:szCs w:val="18"/>
                <w:lang w:val="el-GR"/>
              </w:rPr>
            </w:pPr>
            <w:r w:rsidRPr="006A1797">
              <w:rPr>
                <w:rFonts w:ascii="Arial" w:hAnsi="Arial" w:cs="Arial"/>
                <w:b/>
                <w:color w:val="000000" w:themeColor="text1"/>
                <w:sz w:val="18"/>
                <w:szCs w:val="18"/>
                <w:lang w:val="el-GR"/>
              </w:rPr>
              <w:t>€000</w:t>
            </w:r>
          </w:p>
        </w:tc>
        <w:tc>
          <w:tcPr>
            <w:tcW w:w="1398" w:type="dxa"/>
            <w:vAlign w:val="center"/>
          </w:tcPr>
          <w:p w14:paraId="5C9BA74A" w14:textId="77777777" w:rsidR="00F940C8" w:rsidRPr="006A1797" w:rsidRDefault="00F940C8" w:rsidP="00A21CB9">
            <w:pPr>
              <w:tabs>
                <w:tab w:val="left" w:pos="0"/>
                <w:tab w:val="left" w:pos="282"/>
                <w:tab w:val="left" w:pos="720"/>
              </w:tabs>
              <w:suppressAutoHyphens/>
              <w:spacing w:after="0" w:line="240" w:lineRule="auto"/>
              <w:jc w:val="center"/>
              <w:rPr>
                <w:rFonts w:ascii="Arial" w:eastAsia="Batang" w:hAnsi="Arial" w:cs="Arial"/>
                <w:color w:val="000000" w:themeColor="text1"/>
                <w:sz w:val="18"/>
                <w:szCs w:val="18"/>
                <w:lang w:val="el-GR" w:eastAsia="en-US"/>
              </w:rPr>
            </w:pPr>
            <w:r w:rsidRPr="006A1797">
              <w:rPr>
                <w:rFonts w:ascii="Arial" w:eastAsia="Batang" w:hAnsi="Arial" w:cs="Arial"/>
                <w:color w:val="000000" w:themeColor="text1"/>
                <w:sz w:val="18"/>
                <w:szCs w:val="18"/>
                <w:lang w:val="el-GR" w:eastAsia="en-US"/>
              </w:rPr>
              <w:t>€000</w:t>
            </w:r>
          </w:p>
        </w:tc>
      </w:tr>
      <w:tr w:rsidR="008E7D1C" w:rsidRPr="00E93B7E" w14:paraId="61BE82C0" w14:textId="77777777" w:rsidTr="00CB38F0">
        <w:trPr>
          <w:trHeight w:val="282"/>
          <w:jc w:val="center"/>
        </w:trPr>
        <w:tc>
          <w:tcPr>
            <w:tcW w:w="7108" w:type="dxa"/>
            <w:tcBorders>
              <w:top w:val="single" w:sz="4" w:space="0" w:color="C0C0C0"/>
            </w:tcBorders>
            <w:vAlign w:val="center"/>
          </w:tcPr>
          <w:p w14:paraId="3B5A8A1A"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000000" w:themeColor="text1"/>
                <w:sz w:val="18"/>
                <w:szCs w:val="18"/>
                <w:lang w:val="el-GR"/>
              </w:rPr>
            </w:pPr>
            <w:r w:rsidRPr="006A1797">
              <w:rPr>
                <w:rFonts w:ascii="Arial" w:hAnsi="Arial" w:cs="Arial"/>
                <w:color w:val="000000" w:themeColor="text1"/>
                <w:sz w:val="18"/>
                <w:szCs w:val="18"/>
                <w:lang w:val="el-GR"/>
              </w:rPr>
              <w:t>Μετρητά και καταθέσεις με κεντρικές τράπεζες</w:t>
            </w:r>
          </w:p>
        </w:tc>
        <w:tc>
          <w:tcPr>
            <w:tcW w:w="1514" w:type="dxa"/>
            <w:shd w:val="clear" w:color="auto" w:fill="auto"/>
            <w:vAlign w:val="center"/>
          </w:tcPr>
          <w:p w14:paraId="1B70DCCB" w14:textId="5DC5FFD0"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7,287,221</w:t>
            </w:r>
          </w:p>
        </w:tc>
        <w:tc>
          <w:tcPr>
            <w:tcW w:w="1398" w:type="dxa"/>
            <w:shd w:val="clear" w:color="auto" w:fill="FFFFFF"/>
            <w:vAlign w:val="center"/>
          </w:tcPr>
          <w:p w14:paraId="53D306F3"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lang w:val="el-GR"/>
              </w:rPr>
            </w:pPr>
            <w:r w:rsidRPr="006A1797">
              <w:rPr>
                <w:rFonts w:ascii="Arial" w:hAnsi="Arial" w:cs="Arial"/>
                <w:color w:val="000000" w:themeColor="text1"/>
                <w:sz w:val="18"/>
                <w:szCs w:val="18"/>
              </w:rPr>
              <w:t>9,614,502</w:t>
            </w:r>
          </w:p>
        </w:tc>
      </w:tr>
      <w:tr w:rsidR="008E7D1C" w:rsidRPr="00EA064F" w14:paraId="6EF44F1B" w14:textId="77777777" w:rsidTr="00CB38F0">
        <w:trPr>
          <w:trHeight w:val="282"/>
          <w:jc w:val="center"/>
        </w:trPr>
        <w:tc>
          <w:tcPr>
            <w:tcW w:w="7108" w:type="dxa"/>
            <w:vAlign w:val="center"/>
          </w:tcPr>
          <w:p w14:paraId="64AADDDC"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000000" w:themeColor="text1"/>
                <w:sz w:val="18"/>
                <w:szCs w:val="18"/>
                <w:lang w:val="el-GR"/>
              </w:rPr>
            </w:pPr>
            <w:r w:rsidRPr="006A1797">
              <w:rPr>
                <w:rFonts w:ascii="Arial" w:hAnsi="Arial" w:cs="Arial"/>
                <w:color w:val="000000" w:themeColor="text1"/>
                <w:sz w:val="18"/>
                <w:szCs w:val="18"/>
                <w:lang w:val="el-GR"/>
              </w:rPr>
              <w:t>Δάνεια και απαιτήσεις από τράπεζες</w:t>
            </w:r>
          </w:p>
        </w:tc>
        <w:tc>
          <w:tcPr>
            <w:tcW w:w="1514" w:type="dxa"/>
            <w:shd w:val="clear" w:color="auto" w:fill="auto"/>
            <w:vAlign w:val="center"/>
          </w:tcPr>
          <w:p w14:paraId="0A0E2029" w14:textId="10FACFD1"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384,112</w:t>
            </w:r>
          </w:p>
        </w:tc>
        <w:tc>
          <w:tcPr>
            <w:tcW w:w="1398" w:type="dxa"/>
            <w:shd w:val="clear" w:color="auto" w:fill="FFFFFF"/>
            <w:vAlign w:val="center"/>
          </w:tcPr>
          <w:p w14:paraId="5AF47333"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lang w:val="el-GR"/>
              </w:rPr>
            </w:pPr>
            <w:r w:rsidRPr="006A1797">
              <w:rPr>
                <w:rFonts w:ascii="Arial" w:hAnsi="Arial" w:cs="Arial"/>
                <w:color w:val="000000" w:themeColor="text1"/>
                <w:sz w:val="18"/>
                <w:szCs w:val="18"/>
              </w:rPr>
              <w:t>384,802</w:t>
            </w:r>
          </w:p>
        </w:tc>
      </w:tr>
      <w:tr w:rsidR="008E7D1C" w:rsidRPr="00EA064F" w14:paraId="0617206A" w14:textId="77777777" w:rsidTr="00CB38F0">
        <w:trPr>
          <w:trHeight w:val="282"/>
          <w:jc w:val="center"/>
        </w:trPr>
        <w:tc>
          <w:tcPr>
            <w:tcW w:w="7108" w:type="dxa"/>
            <w:vAlign w:val="center"/>
          </w:tcPr>
          <w:p w14:paraId="2D8BA802"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000000" w:themeColor="text1"/>
                <w:sz w:val="18"/>
                <w:szCs w:val="18"/>
                <w:lang w:val="el-GR"/>
              </w:rPr>
            </w:pPr>
            <w:r w:rsidRPr="006A1797">
              <w:rPr>
                <w:rFonts w:ascii="Arial" w:hAnsi="Arial" w:cs="Arial"/>
                <w:color w:val="000000" w:themeColor="text1"/>
                <w:sz w:val="18"/>
                <w:szCs w:val="18"/>
                <w:lang w:val="el-GR"/>
              </w:rPr>
              <w:t>Συμφωνίες επαναπώλησης τίτλων</w:t>
            </w:r>
          </w:p>
        </w:tc>
        <w:tc>
          <w:tcPr>
            <w:tcW w:w="1514" w:type="dxa"/>
            <w:shd w:val="clear" w:color="auto" w:fill="auto"/>
            <w:vAlign w:val="center"/>
          </w:tcPr>
          <w:p w14:paraId="61B92F77" w14:textId="76E4B311"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eastAsia="en-US"/>
              </w:rPr>
            </w:pPr>
            <w:r w:rsidRPr="006A1797">
              <w:rPr>
                <w:rFonts w:ascii="Arial" w:eastAsia="Batang" w:hAnsi="Arial" w:cs="Arial"/>
                <w:b/>
                <w:bCs/>
                <w:color w:val="000000" w:themeColor="text1"/>
                <w:sz w:val="18"/>
                <w:szCs w:val="18"/>
                <w:lang w:eastAsia="en-US"/>
              </w:rPr>
              <w:t>1,014,858</w:t>
            </w:r>
          </w:p>
        </w:tc>
        <w:tc>
          <w:tcPr>
            <w:tcW w:w="1398" w:type="dxa"/>
            <w:shd w:val="clear" w:color="auto" w:fill="FFFFFF"/>
            <w:vAlign w:val="center"/>
          </w:tcPr>
          <w:p w14:paraId="185EC0CC"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rPr>
            </w:pPr>
            <w:r w:rsidRPr="006A1797">
              <w:rPr>
                <w:rFonts w:ascii="Arial" w:hAnsi="Arial" w:cs="Arial"/>
                <w:color w:val="000000" w:themeColor="text1"/>
                <w:sz w:val="18"/>
                <w:szCs w:val="18"/>
              </w:rPr>
              <w:t>403,199</w:t>
            </w:r>
          </w:p>
        </w:tc>
      </w:tr>
      <w:tr w:rsidR="008E7D1C" w:rsidRPr="00295155" w14:paraId="2F0C6669" w14:textId="77777777" w:rsidTr="00CB38F0">
        <w:trPr>
          <w:trHeight w:val="282"/>
          <w:jc w:val="center"/>
        </w:trPr>
        <w:tc>
          <w:tcPr>
            <w:tcW w:w="7108" w:type="dxa"/>
            <w:vAlign w:val="center"/>
          </w:tcPr>
          <w:p w14:paraId="40432EDE" w14:textId="77777777" w:rsidR="008E7D1C" w:rsidRPr="006A1797" w:rsidRDefault="008E7D1C" w:rsidP="008E7D1C">
            <w:pPr>
              <w:tabs>
                <w:tab w:val="left" w:pos="0"/>
                <w:tab w:val="left" w:pos="282"/>
                <w:tab w:val="left" w:pos="720"/>
              </w:tabs>
              <w:suppressAutoHyphens/>
              <w:spacing w:after="0" w:line="240" w:lineRule="auto"/>
              <w:rPr>
                <w:rFonts w:ascii="Arial" w:hAnsi="Arial" w:cs="Arial"/>
                <w:color w:val="000000" w:themeColor="text1"/>
                <w:sz w:val="18"/>
                <w:szCs w:val="18"/>
                <w:lang w:val="el-GR"/>
              </w:rPr>
            </w:pPr>
            <w:r w:rsidRPr="006A1797">
              <w:rPr>
                <w:rFonts w:ascii="Arial" w:hAnsi="Arial" w:cs="Arial"/>
                <w:color w:val="000000" w:themeColor="text1"/>
                <w:sz w:val="18"/>
                <w:szCs w:val="18"/>
                <w:lang w:val="el-GR"/>
              </w:rPr>
              <w:t xml:space="preserve">Παράγωγα χρηματοοικονομικά μέσα </w:t>
            </w:r>
          </w:p>
        </w:tc>
        <w:tc>
          <w:tcPr>
            <w:tcW w:w="1514" w:type="dxa"/>
            <w:shd w:val="clear" w:color="auto" w:fill="auto"/>
            <w:vAlign w:val="center"/>
          </w:tcPr>
          <w:p w14:paraId="6C69C281" w14:textId="79D6F4D6"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val="en-US" w:eastAsia="en-US"/>
              </w:rPr>
              <w:t>67,112</w:t>
            </w:r>
          </w:p>
        </w:tc>
        <w:tc>
          <w:tcPr>
            <w:tcW w:w="1398" w:type="dxa"/>
            <w:shd w:val="clear" w:color="auto" w:fill="FFFFFF"/>
            <w:vAlign w:val="center"/>
          </w:tcPr>
          <w:p w14:paraId="3057B01F"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rPr>
            </w:pPr>
            <w:r w:rsidRPr="006A1797">
              <w:rPr>
                <w:rFonts w:ascii="Arial" w:hAnsi="Arial" w:cs="Arial"/>
                <w:color w:val="000000" w:themeColor="text1"/>
                <w:sz w:val="18"/>
                <w:szCs w:val="18"/>
              </w:rPr>
              <w:t>51,055</w:t>
            </w:r>
          </w:p>
        </w:tc>
      </w:tr>
      <w:tr w:rsidR="008E7D1C" w:rsidRPr="00295155" w14:paraId="698CE21E" w14:textId="77777777" w:rsidTr="00CB38F0">
        <w:trPr>
          <w:trHeight w:val="282"/>
          <w:jc w:val="center"/>
        </w:trPr>
        <w:tc>
          <w:tcPr>
            <w:tcW w:w="7108" w:type="dxa"/>
            <w:vAlign w:val="center"/>
          </w:tcPr>
          <w:p w14:paraId="09C1991F"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000000" w:themeColor="text1"/>
                <w:sz w:val="18"/>
                <w:szCs w:val="18"/>
                <w:lang w:val="el-GR"/>
              </w:rPr>
            </w:pPr>
            <w:r w:rsidRPr="006A1797">
              <w:rPr>
                <w:rFonts w:ascii="Arial" w:hAnsi="Arial" w:cs="Arial"/>
                <w:color w:val="000000" w:themeColor="text1"/>
                <w:sz w:val="18"/>
                <w:szCs w:val="18"/>
                <w:lang w:val="el-GR"/>
              </w:rPr>
              <w:t>Επενδύσεις στην εύλογη αξία μέσω των αποτελεσμάτων</w:t>
            </w:r>
          </w:p>
        </w:tc>
        <w:tc>
          <w:tcPr>
            <w:tcW w:w="1514" w:type="dxa"/>
            <w:shd w:val="clear" w:color="auto" w:fill="auto"/>
            <w:vAlign w:val="center"/>
          </w:tcPr>
          <w:p w14:paraId="631BFEF8" w14:textId="11D7C3E9"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val="en-US" w:eastAsia="en-US"/>
              </w:rPr>
              <w:t>119,201</w:t>
            </w:r>
          </w:p>
        </w:tc>
        <w:tc>
          <w:tcPr>
            <w:tcW w:w="1398" w:type="dxa"/>
            <w:shd w:val="clear" w:color="auto" w:fill="FFFFFF"/>
            <w:vAlign w:val="center"/>
          </w:tcPr>
          <w:p w14:paraId="44115F96"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lang w:val="el-GR"/>
              </w:rPr>
            </w:pPr>
            <w:r w:rsidRPr="006A1797">
              <w:rPr>
                <w:rFonts w:ascii="Arial" w:hAnsi="Arial" w:cs="Arial"/>
                <w:color w:val="000000" w:themeColor="text1"/>
                <w:sz w:val="18"/>
                <w:szCs w:val="18"/>
              </w:rPr>
              <w:t>135,275</w:t>
            </w:r>
          </w:p>
        </w:tc>
      </w:tr>
      <w:tr w:rsidR="008E7D1C" w:rsidRPr="00F83185" w14:paraId="3E8C733A" w14:textId="77777777" w:rsidTr="00CB38F0">
        <w:trPr>
          <w:trHeight w:val="282"/>
          <w:jc w:val="center"/>
        </w:trPr>
        <w:tc>
          <w:tcPr>
            <w:tcW w:w="7108" w:type="dxa"/>
            <w:vAlign w:val="center"/>
          </w:tcPr>
          <w:p w14:paraId="5CCB96ED"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000000" w:themeColor="text1"/>
                <w:sz w:val="18"/>
                <w:szCs w:val="18"/>
                <w:lang w:val="el-GR"/>
              </w:rPr>
            </w:pPr>
            <w:r w:rsidRPr="006A1797">
              <w:rPr>
                <w:rFonts w:ascii="Arial" w:hAnsi="Arial" w:cs="Arial"/>
                <w:color w:val="000000" w:themeColor="text1"/>
                <w:sz w:val="18"/>
                <w:szCs w:val="18"/>
                <w:lang w:val="el-GR"/>
              </w:rPr>
              <w:t>Επενδύσεις στην εύλογη αξία μέσω των λοιπών συνολικών εισοδημάτων</w:t>
            </w:r>
          </w:p>
        </w:tc>
        <w:tc>
          <w:tcPr>
            <w:tcW w:w="1514" w:type="dxa"/>
            <w:shd w:val="clear" w:color="auto" w:fill="auto"/>
            <w:vAlign w:val="center"/>
          </w:tcPr>
          <w:p w14:paraId="0969EFDF" w14:textId="577E9471"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val="en-US" w:eastAsia="en-US"/>
              </w:rPr>
              <w:t>410,437</w:t>
            </w:r>
          </w:p>
        </w:tc>
        <w:tc>
          <w:tcPr>
            <w:tcW w:w="1398" w:type="dxa"/>
            <w:shd w:val="clear" w:color="auto" w:fill="FFFFFF"/>
            <w:vAlign w:val="center"/>
          </w:tcPr>
          <w:p w14:paraId="4023F575"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lang w:val="el-GR"/>
              </w:rPr>
            </w:pPr>
            <w:r w:rsidRPr="006A1797">
              <w:rPr>
                <w:rFonts w:ascii="Arial" w:hAnsi="Arial" w:cs="Arial"/>
                <w:color w:val="000000" w:themeColor="text1"/>
                <w:sz w:val="18"/>
                <w:szCs w:val="18"/>
              </w:rPr>
              <w:t>443,420</w:t>
            </w:r>
          </w:p>
        </w:tc>
      </w:tr>
      <w:tr w:rsidR="008E7D1C" w:rsidRPr="00295155" w14:paraId="011C2BC6" w14:textId="77777777" w:rsidTr="00CB38F0">
        <w:trPr>
          <w:trHeight w:val="282"/>
          <w:jc w:val="center"/>
        </w:trPr>
        <w:tc>
          <w:tcPr>
            <w:tcW w:w="7108" w:type="dxa"/>
            <w:vAlign w:val="center"/>
          </w:tcPr>
          <w:p w14:paraId="2D2D5D3A"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000000" w:themeColor="text1"/>
                <w:sz w:val="18"/>
                <w:szCs w:val="18"/>
                <w:lang w:val="el-GR"/>
              </w:rPr>
            </w:pPr>
            <w:r w:rsidRPr="006A1797">
              <w:rPr>
                <w:rFonts w:ascii="Arial" w:hAnsi="Arial" w:cs="Arial"/>
                <w:color w:val="000000" w:themeColor="text1"/>
                <w:sz w:val="18"/>
                <w:szCs w:val="18"/>
                <w:lang w:val="el-GR"/>
              </w:rPr>
              <w:t>Επενδύσεις σε αποσβεσμένο κόστος</w:t>
            </w:r>
          </w:p>
        </w:tc>
        <w:tc>
          <w:tcPr>
            <w:tcW w:w="1514" w:type="dxa"/>
            <w:shd w:val="clear" w:color="auto" w:fill="auto"/>
            <w:vAlign w:val="center"/>
          </w:tcPr>
          <w:p w14:paraId="405E35CA" w14:textId="72D832AD"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val="en-US" w:eastAsia="en-US"/>
              </w:rPr>
              <w:t>3,429,116</w:t>
            </w:r>
          </w:p>
        </w:tc>
        <w:tc>
          <w:tcPr>
            <w:tcW w:w="1398" w:type="dxa"/>
            <w:shd w:val="clear" w:color="auto" w:fill="FFFFFF"/>
            <w:vAlign w:val="center"/>
          </w:tcPr>
          <w:p w14:paraId="7942574D"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lang w:val="el-GR"/>
              </w:rPr>
            </w:pPr>
            <w:r w:rsidRPr="006A1797">
              <w:rPr>
                <w:rFonts w:ascii="Arial" w:hAnsi="Arial" w:cs="Arial"/>
                <w:color w:val="000000" w:themeColor="text1"/>
                <w:sz w:val="18"/>
                <w:szCs w:val="18"/>
              </w:rPr>
              <w:t>3,116,714</w:t>
            </w:r>
          </w:p>
        </w:tc>
      </w:tr>
      <w:tr w:rsidR="008E7D1C" w:rsidRPr="00EA064F" w14:paraId="1BB35844" w14:textId="77777777" w:rsidTr="00CB38F0">
        <w:trPr>
          <w:trHeight w:val="282"/>
          <w:jc w:val="center"/>
        </w:trPr>
        <w:tc>
          <w:tcPr>
            <w:tcW w:w="7108" w:type="dxa"/>
            <w:vAlign w:val="center"/>
          </w:tcPr>
          <w:p w14:paraId="30C7F5B7" w14:textId="77777777" w:rsidR="008E7D1C" w:rsidRPr="006A1797" w:rsidRDefault="008E7D1C" w:rsidP="008E7D1C">
            <w:pPr>
              <w:tabs>
                <w:tab w:val="left" w:pos="0"/>
                <w:tab w:val="left" w:pos="282"/>
                <w:tab w:val="left" w:pos="720"/>
              </w:tabs>
              <w:suppressAutoHyphens/>
              <w:spacing w:after="0" w:line="240" w:lineRule="auto"/>
              <w:rPr>
                <w:rFonts w:ascii="Arial" w:hAnsi="Arial" w:cs="Arial"/>
                <w:color w:val="000000" w:themeColor="text1"/>
                <w:sz w:val="18"/>
                <w:szCs w:val="18"/>
                <w:lang w:val="el-GR"/>
              </w:rPr>
            </w:pPr>
            <w:r w:rsidRPr="006A1797">
              <w:rPr>
                <w:rFonts w:ascii="Arial" w:hAnsi="Arial" w:cs="Arial"/>
                <w:color w:val="000000" w:themeColor="text1"/>
                <w:sz w:val="18"/>
                <w:szCs w:val="18"/>
                <w:lang w:val="el-GR"/>
              </w:rPr>
              <w:t>Δάνεια και απαιτήσεις από πελάτες</w:t>
            </w:r>
          </w:p>
        </w:tc>
        <w:tc>
          <w:tcPr>
            <w:tcW w:w="1514" w:type="dxa"/>
            <w:shd w:val="clear" w:color="auto" w:fill="auto"/>
            <w:vAlign w:val="center"/>
          </w:tcPr>
          <w:p w14:paraId="022A3C76" w14:textId="56ED3554" w:rsidR="008E7D1C" w:rsidRPr="006A1797" w:rsidDel="00FC730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10,084,967</w:t>
            </w:r>
          </w:p>
        </w:tc>
        <w:tc>
          <w:tcPr>
            <w:tcW w:w="1398" w:type="dxa"/>
            <w:shd w:val="clear" w:color="auto" w:fill="FFFFFF"/>
            <w:vAlign w:val="center"/>
          </w:tcPr>
          <w:p w14:paraId="295E24B7" w14:textId="77777777" w:rsidR="008E7D1C" w:rsidRPr="006A1797" w:rsidDel="00FC730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lang w:val="el-GR"/>
              </w:rPr>
            </w:pPr>
            <w:r w:rsidRPr="006A1797">
              <w:rPr>
                <w:rFonts w:ascii="Arial" w:hAnsi="Arial" w:cs="Arial"/>
                <w:color w:val="000000" w:themeColor="text1"/>
                <w:sz w:val="18"/>
                <w:szCs w:val="18"/>
              </w:rPr>
              <w:t>9,821,788</w:t>
            </w:r>
          </w:p>
        </w:tc>
      </w:tr>
      <w:tr w:rsidR="008E7D1C" w:rsidRPr="00EA064F" w14:paraId="4896852E" w14:textId="77777777" w:rsidTr="00CB38F0">
        <w:trPr>
          <w:trHeight w:val="282"/>
          <w:jc w:val="center"/>
        </w:trPr>
        <w:tc>
          <w:tcPr>
            <w:tcW w:w="7108" w:type="dxa"/>
            <w:vAlign w:val="center"/>
          </w:tcPr>
          <w:p w14:paraId="4A4DD805" w14:textId="77777777" w:rsidR="008E7D1C" w:rsidRPr="006A1797" w:rsidRDefault="008E7D1C" w:rsidP="008E7D1C">
            <w:pPr>
              <w:tabs>
                <w:tab w:val="left" w:pos="0"/>
                <w:tab w:val="left" w:pos="282"/>
                <w:tab w:val="left" w:pos="720"/>
              </w:tabs>
              <w:suppressAutoHyphens/>
              <w:spacing w:after="0" w:line="240" w:lineRule="auto"/>
              <w:rPr>
                <w:rFonts w:ascii="Arial" w:hAnsi="Arial" w:cs="Arial"/>
                <w:color w:val="000000" w:themeColor="text1"/>
                <w:sz w:val="18"/>
                <w:szCs w:val="18"/>
                <w:lang w:val="el-GR"/>
              </w:rPr>
            </w:pPr>
            <w:r w:rsidRPr="006A1797">
              <w:rPr>
                <w:rFonts w:ascii="Arial" w:hAnsi="Arial" w:cs="Arial"/>
                <w:color w:val="000000" w:themeColor="text1"/>
                <w:sz w:val="18"/>
                <w:szCs w:val="18"/>
                <w:lang w:val="el-GR"/>
              </w:rPr>
              <w:t>Περιουσιακά στοιχεία ασφαλιστικών κλάδων ζωής που αναλογούν στους ασφαλιζόμενους</w:t>
            </w:r>
          </w:p>
        </w:tc>
        <w:tc>
          <w:tcPr>
            <w:tcW w:w="1514" w:type="dxa"/>
            <w:shd w:val="clear" w:color="auto" w:fill="auto"/>
            <w:vAlign w:val="center"/>
          </w:tcPr>
          <w:p w14:paraId="27651990" w14:textId="24944A87"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722,582</w:t>
            </w:r>
          </w:p>
        </w:tc>
        <w:tc>
          <w:tcPr>
            <w:tcW w:w="1398" w:type="dxa"/>
            <w:shd w:val="clear" w:color="auto" w:fill="FFFFFF"/>
            <w:vAlign w:val="center"/>
          </w:tcPr>
          <w:p w14:paraId="6C926E18"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lang w:val="el-GR"/>
              </w:rPr>
            </w:pPr>
            <w:r w:rsidRPr="006A1797">
              <w:rPr>
                <w:rFonts w:ascii="Arial" w:hAnsi="Arial" w:cs="Arial"/>
                <w:color w:val="000000" w:themeColor="text1"/>
                <w:sz w:val="18"/>
                <w:szCs w:val="18"/>
              </w:rPr>
              <w:t>649,212</w:t>
            </w:r>
          </w:p>
        </w:tc>
      </w:tr>
      <w:tr w:rsidR="008E7D1C" w:rsidRPr="00EA064F" w14:paraId="0FDEE39B" w14:textId="77777777" w:rsidTr="00CB38F0">
        <w:trPr>
          <w:trHeight w:val="282"/>
          <w:jc w:val="center"/>
        </w:trPr>
        <w:tc>
          <w:tcPr>
            <w:tcW w:w="7108" w:type="dxa"/>
            <w:vAlign w:val="center"/>
          </w:tcPr>
          <w:p w14:paraId="5180164B"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000000" w:themeColor="text1"/>
                <w:sz w:val="18"/>
                <w:szCs w:val="18"/>
                <w:lang w:val="el-GR"/>
              </w:rPr>
            </w:pPr>
            <w:r w:rsidRPr="006A1797">
              <w:rPr>
                <w:rFonts w:ascii="Arial" w:hAnsi="Arial" w:cs="Arial"/>
                <w:color w:val="000000" w:themeColor="text1"/>
                <w:sz w:val="18"/>
                <w:szCs w:val="18"/>
                <w:lang w:val="el-GR"/>
              </w:rPr>
              <w:t>Προπληρωμές, δεδουλευμένα έσοδα και λοιπά περιουσιακά στοιχεία</w:t>
            </w:r>
          </w:p>
        </w:tc>
        <w:tc>
          <w:tcPr>
            <w:tcW w:w="1514" w:type="dxa"/>
            <w:shd w:val="clear" w:color="auto" w:fill="auto"/>
            <w:vAlign w:val="center"/>
          </w:tcPr>
          <w:p w14:paraId="39E41A42" w14:textId="442A7C97"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596,292</w:t>
            </w:r>
          </w:p>
        </w:tc>
        <w:tc>
          <w:tcPr>
            <w:tcW w:w="1398" w:type="dxa"/>
            <w:shd w:val="clear" w:color="auto" w:fill="FFFFFF"/>
            <w:vAlign w:val="center"/>
          </w:tcPr>
          <w:p w14:paraId="7ED015BD"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lang w:val="el-GR"/>
              </w:rPr>
            </w:pPr>
            <w:r w:rsidRPr="006A1797">
              <w:rPr>
                <w:rFonts w:ascii="Arial" w:hAnsi="Arial" w:cs="Arial"/>
                <w:color w:val="000000" w:themeColor="text1"/>
                <w:sz w:val="18"/>
                <w:szCs w:val="18"/>
              </w:rPr>
              <w:t>584,919</w:t>
            </w:r>
          </w:p>
        </w:tc>
      </w:tr>
      <w:tr w:rsidR="008E7D1C" w:rsidRPr="00295155" w14:paraId="53DF2233" w14:textId="77777777" w:rsidTr="00CB38F0">
        <w:trPr>
          <w:trHeight w:val="282"/>
          <w:jc w:val="center"/>
        </w:trPr>
        <w:tc>
          <w:tcPr>
            <w:tcW w:w="7108" w:type="dxa"/>
            <w:vAlign w:val="center"/>
          </w:tcPr>
          <w:p w14:paraId="74CE732B"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000000" w:themeColor="text1"/>
                <w:sz w:val="18"/>
                <w:szCs w:val="18"/>
                <w:lang w:val="el-GR"/>
              </w:rPr>
            </w:pPr>
            <w:r w:rsidRPr="006A1797">
              <w:rPr>
                <w:rFonts w:ascii="Arial" w:hAnsi="Arial" w:cs="Arial"/>
                <w:color w:val="000000" w:themeColor="text1"/>
                <w:sz w:val="18"/>
                <w:szCs w:val="18"/>
                <w:lang w:val="el-GR"/>
              </w:rPr>
              <w:t>Αποθέματα ακινήτων</w:t>
            </w:r>
          </w:p>
        </w:tc>
        <w:tc>
          <w:tcPr>
            <w:tcW w:w="1514" w:type="dxa"/>
            <w:shd w:val="clear" w:color="auto" w:fill="auto"/>
            <w:vAlign w:val="center"/>
          </w:tcPr>
          <w:p w14:paraId="2F252BDD" w14:textId="2156349D"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val="en-US" w:eastAsia="en-US"/>
              </w:rPr>
              <w:t>763,913</w:t>
            </w:r>
          </w:p>
        </w:tc>
        <w:tc>
          <w:tcPr>
            <w:tcW w:w="1398" w:type="dxa"/>
            <w:shd w:val="clear" w:color="auto" w:fill="FFFFFF"/>
            <w:vAlign w:val="center"/>
          </w:tcPr>
          <w:p w14:paraId="40107ED9"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rPr>
            </w:pPr>
            <w:r w:rsidRPr="006A1797">
              <w:rPr>
                <w:rFonts w:ascii="Arial" w:hAnsi="Arial" w:cs="Arial"/>
                <w:color w:val="000000" w:themeColor="text1"/>
                <w:sz w:val="18"/>
                <w:szCs w:val="18"/>
              </w:rPr>
              <w:t>826,115</w:t>
            </w:r>
          </w:p>
        </w:tc>
      </w:tr>
      <w:tr w:rsidR="008E7D1C" w:rsidRPr="00295155" w14:paraId="1206B005" w14:textId="77777777" w:rsidTr="00CB38F0">
        <w:trPr>
          <w:trHeight w:val="282"/>
          <w:jc w:val="center"/>
        </w:trPr>
        <w:tc>
          <w:tcPr>
            <w:tcW w:w="7108" w:type="dxa"/>
            <w:shd w:val="clear" w:color="auto" w:fill="auto"/>
            <w:vAlign w:val="center"/>
          </w:tcPr>
          <w:p w14:paraId="322FD06D"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000000" w:themeColor="text1"/>
                <w:sz w:val="18"/>
                <w:szCs w:val="18"/>
                <w:lang w:val="el-GR"/>
              </w:rPr>
            </w:pPr>
            <w:r w:rsidRPr="006A1797">
              <w:rPr>
                <w:rFonts w:ascii="Arial" w:eastAsia="Batang" w:hAnsi="Arial" w:cs="Arial"/>
                <w:bCs/>
                <w:color w:val="000000" w:themeColor="text1"/>
                <w:sz w:val="18"/>
                <w:szCs w:val="18"/>
                <w:lang w:eastAsia="en-US"/>
              </w:rPr>
              <w:t>Επενδύσεις σε ακίνητα</w:t>
            </w:r>
          </w:p>
        </w:tc>
        <w:tc>
          <w:tcPr>
            <w:tcW w:w="1514" w:type="dxa"/>
            <w:shd w:val="clear" w:color="auto" w:fill="auto"/>
            <w:vAlign w:val="center"/>
          </w:tcPr>
          <w:p w14:paraId="6F5BAD87" w14:textId="79EEE019"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val="en-US" w:eastAsia="en-US"/>
              </w:rPr>
              <w:t>55,614</w:t>
            </w:r>
          </w:p>
        </w:tc>
        <w:tc>
          <w:tcPr>
            <w:tcW w:w="1398" w:type="dxa"/>
            <w:shd w:val="clear" w:color="auto" w:fill="FFFFFF"/>
            <w:vAlign w:val="center"/>
          </w:tcPr>
          <w:p w14:paraId="2B1CFC45"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rPr>
            </w:pPr>
            <w:r w:rsidRPr="006A1797">
              <w:rPr>
                <w:rFonts w:ascii="Arial" w:hAnsi="Arial" w:cs="Arial"/>
                <w:color w:val="000000" w:themeColor="text1"/>
                <w:sz w:val="18"/>
                <w:szCs w:val="18"/>
              </w:rPr>
              <w:t>62,105</w:t>
            </w:r>
          </w:p>
        </w:tc>
      </w:tr>
      <w:tr w:rsidR="008E7D1C" w:rsidRPr="00295155" w14:paraId="6AC52CA2" w14:textId="77777777" w:rsidTr="00CB38F0">
        <w:trPr>
          <w:trHeight w:val="282"/>
          <w:jc w:val="center"/>
        </w:trPr>
        <w:tc>
          <w:tcPr>
            <w:tcW w:w="7108" w:type="dxa"/>
            <w:shd w:val="clear" w:color="auto" w:fill="auto"/>
            <w:vAlign w:val="center"/>
          </w:tcPr>
          <w:p w14:paraId="259B7833"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000000" w:themeColor="text1"/>
                <w:sz w:val="18"/>
                <w:szCs w:val="18"/>
                <w:lang w:val="el-GR"/>
              </w:rPr>
            </w:pPr>
            <w:r w:rsidRPr="006A1797">
              <w:rPr>
                <w:rFonts w:ascii="Arial" w:eastAsia="Batang" w:hAnsi="Arial" w:cs="Arial"/>
                <w:bCs/>
                <w:color w:val="000000" w:themeColor="text1"/>
                <w:sz w:val="18"/>
                <w:szCs w:val="18"/>
                <w:lang w:eastAsia="en-US"/>
              </w:rPr>
              <w:t>Αναβαλλόμενες φορολογικές απαιτήσεις</w:t>
            </w:r>
          </w:p>
        </w:tc>
        <w:tc>
          <w:tcPr>
            <w:tcW w:w="1514" w:type="dxa"/>
            <w:shd w:val="clear" w:color="auto" w:fill="auto"/>
            <w:vAlign w:val="center"/>
          </w:tcPr>
          <w:p w14:paraId="585F01D6" w14:textId="21A0BCC9"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val="en-US" w:eastAsia="en-US"/>
              </w:rPr>
              <w:t>202,717</w:t>
            </w:r>
          </w:p>
        </w:tc>
        <w:tc>
          <w:tcPr>
            <w:tcW w:w="1398" w:type="dxa"/>
            <w:shd w:val="clear" w:color="auto" w:fill="FFFFFF"/>
            <w:vAlign w:val="center"/>
          </w:tcPr>
          <w:p w14:paraId="4FD64941"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rPr>
            </w:pPr>
            <w:r w:rsidRPr="006A1797">
              <w:rPr>
                <w:rFonts w:ascii="Arial" w:hAnsi="Arial" w:cs="Arial"/>
                <w:color w:val="000000" w:themeColor="text1"/>
                <w:sz w:val="18"/>
                <w:szCs w:val="18"/>
              </w:rPr>
              <w:t>201,268</w:t>
            </w:r>
          </w:p>
        </w:tc>
      </w:tr>
      <w:tr w:rsidR="008E7D1C" w:rsidRPr="00295155" w14:paraId="3675C0E3" w14:textId="77777777" w:rsidTr="00CB38F0">
        <w:trPr>
          <w:trHeight w:val="282"/>
          <w:jc w:val="center"/>
        </w:trPr>
        <w:tc>
          <w:tcPr>
            <w:tcW w:w="7108" w:type="dxa"/>
            <w:vAlign w:val="center"/>
          </w:tcPr>
          <w:p w14:paraId="294E43E1"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000000" w:themeColor="text1"/>
                <w:sz w:val="18"/>
                <w:szCs w:val="18"/>
                <w:lang w:val="el-GR"/>
              </w:rPr>
            </w:pPr>
            <w:r w:rsidRPr="006A1797">
              <w:rPr>
                <w:rFonts w:ascii="Arial" w:hAnsi="Arial" w:cs="Arial"/>
                <w:color w:val="000000" w:themeColor="text1"/>
                <w:sz w:val="18"/>
                <w:szCs w:val="18"/>
                <w:lang w:val="el-GR"/>
              </w:rPr>
              <w:t>Ακίνητα και εξοπλισμός</w:t>
            </w:r>
          </w:p>
        </w:tc>
        <w:tc>
          <w:tcPr>
            <w:tcW w:w="1514" w:type="dxa"/>
            <w:shd w:val="clear" w:color="auto" w:fill="auto"/>
            <w:vAlign w:val="center"/>
          </w:tcPr>
          <w:p w14:paraId="3A8EE07C" w14:textId="2F93E95D"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val="en-US" w:eastAsia="en-US"/>
              </w:rPr>
              <w:t>282,342</w:t>
            </w:r>
          </w:p>
        </w:tc>
        <w:tc>
          <w:tcPr>
            <w:tcW w:w="1398" w:type="dxa"/>
            <w:shd w:val="clear" w:color="auto" w:fill="FFFFFF"/>
            <w:vAlign w:val="center"/>
          </w:tcPr>
          <w:p w14:paraId="1646D568"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rPr>
            </w:pPr>
            <w:r w:rsidRPr="006A1797">
              <w:rPr>
                <w:rFonts w:ascii="Arial" w:hAnsi="Arial" w:cs="Arial"/>
                <w:color w:val="000000" w:themeColor="text1"/>
                <w:sz w:val="18"/>
                <w:szCs w:val="18"/>
              </w:rPr>
              <w:t>285,568</w:t>
            </w:r>
          </w:p>
        </w:tc>
      </w:tr>
      <w:tr w:rsidR="008E7D1C" w:rsidRPr="00295155" w14:paraId="58E2EE04" w14:textId="77777777" w:rsidTr="00CB38F0">
        <w:trPr>
          <w:trHeight w:val="282"/>
          <w:jc w:val="center"/>
        </w:trPr>
        <w:tc>
          <w:tcPr>
            <w:tcW w:w="7108" w:type="dxa"/>
            <w:shd w:val="clear" w:color="auto" w:fill="auto"/>
            <w:vAlign w:val="center"/>
          </w:tcPr>
          <w:p w14:paraId="5E759097"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000000" w:themeColor="text1"/>
                <w:sz w:val="18"/>
                <w:szCs w:val="18"/>
                <w:lang w:val="el-GR"/>
              </w:rPr>
            </w:pPr>
            <w:r w:rsidRPr="006A1797">
              <w:rPr>
                <w:rFonts w:ascii="Arial" w:hAnsi="Arial" w:cs="Arial"/>
                <w:color w:val="000000" w:themeColor="text1"/>
                <w:sz w:val="18"/>
                <w:szCs w:val="18"/>
                <w:lang w:val="el-GR"/>
              </w:rPr>
              <w:t xml:space="preserve">Άυλα περιουσιακά στοιχεία </w:t>
            </w:r>
          </w:p>
        </w:tc>
        <w:tc>
          <w:tcPr>
            <w:tcW w:w="1514" w:type="dxa"/>
            <w:tcBorders>
              <w:bottom w:val="single" w:sz="4" w:space="0" w:color="C0C0C0"/>
            </w:tcBorders>
            <w:shd w:val="clear" w:color="auto" w:fill="auto"/>
            <w:vAlign w:val="center"/>
          </w:tcPr>
          <w:p w14:paraId="5F38DFAC" w14:textId="5180F172"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val="en-US" w:eastAsia="en-US"/>
              </w:rPr>
              <w:t>45,686</w:t>
            </w:r>
          </w:p>
        </w:tc>
        <w:tc>
          <w:tcPr>
            <w:tcW w:w="1398" w:type="dxa"/>
            <w:tcBorders>
              <w:bottom w:val="single" w:sz="4" w:space="0" w:color="C0C0C0"/>
            </w:tcBorders>
            <w:shd w:val="clear" w:color="auto" w:fill="FFFFFF"/>
            <w:vAlign w:val="center"/>
          </w:tcPr>
          <w:p w14:paraId="23E9BC20"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rPr>
            </w:pPr>
            <w:r w:rsidRPr="006A1797">
              <w:rPr>
                <w:rFonts w:ascii="Arial" w:hAnsi="Arial" w:cs="Arial"/>
                <w:color w:val="000000" w:themeColor="text1"/>
                <w:sz w:val="18"/>
                <w:szCs w:val="18"/>
              </w:rPr>
              <w:t>48,635</w:t>
            </w:r>
          </w:p>
        </w:tc>
      </w:tr>
      <w:tr w:rsidR="008E7D1C" w:rsidRPr="00295155" w14:paraId="623B9EE0" w14:textId="77777777" w:rsidTr="00CB38F0">
        <w:trPr>
          <w:trHeight w:val="282"/>
          <w:jc w:val="center"/>
        </w:trPr>
        <w:tc>
          <w:tcPr>
            <w:tcW w:w="7108" w:type="dxa"/>
            <w:tcBorders>
              <w:bottom w:val="single" w:sz="4" w:space="0" w:color="C0C0C0"/>
            </w:tcBorders>
            <w:vAlign w:val="center"/>
          </w:tcPr>
          <w:p w14:paraId="14D1F9DB"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b/>
                <w:color w:val="000000" w:themeColor="text1"/>
                <w:sz w:val="18"/>
                <w:szCs w:val="18"/>
                <w:lang w:val="el-GR"/>
              </w:rPr>
            </w:pPr>
            <w:r w:rsidRPr="006A1797">
              <w:rPr>
                <w:rFonts w:ascii="Arial" w:hAnsi="Arial" w:cs="Arial"/>
                <w:b/>
                <w:color w:val="000000" w:themeColor="text1"/>
                <w:sz w:val="18"/>
                <w:szCs w:val="18"/>
                <w:lang w:val="el-GR"/>
              </w:rPr>
              <w:t>Σύνολο περιουσιακών στοιχείων</w:t>
            </w:r>
          </w:p>
        </w:tc>
        <w:tc>
          <w:tcPr>
            <w:tcW w:w="1514" w:type="dxa"/>
            <w:tcBorders>
              <w:top w:val="single" w:sz="6" w:space="0" w:color="auto"/>
              <w:bottom w:val="double" w:sz="6" w:space="0" w:color="auto"/>
            </w:tcBorders>
            <w:shd w:val="clear" w:color="auto" w:fill="auto"/>
            <w:vAlign w:val="center"/>
          </w:tcPr>
          <w:p w14:paraId="566AF756" w14:textId="65867C30"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val="en-US" w:eastAsia="en-US"/>
              </w:rPr>
              <w:t>25,466,170</w:t>
            </w:r>
          </w:p>
        </w:tc>
        <w:tc>
          <w:tcPr>
            <w:tcW w:w="1398" w:type="dxa"/>
            <w:tcBorders>
              <w:top w:val="single" w:sz="6" w:space="0" w:color="auto"/>
              <w:bottom w:val="double" w:sz="6" w:space="0" w:color="auto"/>
            </w:tcBorders>
            <w:shd w:val="clear" w:color="auto" w:fill="FFFFFF"/>
            <w:vAlign w:val="center"/>
          </w:tcPr>
          <w:p w14:paraId="609F8198" w14:textId="77777777" w:rsidR="008E7D1C" w:rsidRPr="006A1797" w:rsidRDefault="008E7D1C" w:rsidP="008E7D1C">
            <w:pPr>
              <w:spacing w:after="0" w:line="240" w:lineRule="auto"/>
              <w:jc w:val="right"/>
              <w:rPr>
                <w:rFonts w:ascii="Times New Roman" w:hAnsi="Times New Roman" w:cs="Times New Roman"/>
                <w:color w:val="000000" w:themeColor="text1"/>
                <w:sz w:val="24"/>
                <w:szCs w:val="24"/>
              </w:rPr>
            </w:pPr>
            <w:r w:rsidRPr="006A1797">
              <w:rPr>
                <w:rFonts w:ascii="Arial" w:hAnsi="Arial" w:cs="Arial"/>
                <w:color w:val="000000" w:themeColor="text1"/>
                <w:sz w:val="18"/>
                <w:szCs w:val="18"/>
              </w:rPr>
              <w:t>26,628,577</w:t>
            </w:r>
          </w:p>
        </w:tc>
      </w:tr>
      <w:tr w:rsidR="008E7D1C" w:rsidRPr="00295155" w14:paraId="4B2EBD90" w14:textId="77777777" w:rsidTr="00CB38F0">
        <w:trPr>
          <w:trHeight w:val="282"/>
          <w:jc w:val="center"/>
        </w:trPr>
        <w:tc>
          <w:tcPr>
            <w:tcW w:w="7108" w:type="dxa"/>
            <w:tcBorders>
              <w:top w:val="single" w:sz="4" w:space="0" w:color="C0C0C0"/>
            </w:tcBorders>
            <w:vAlign w:val="center"/>
          </w:tcPr>
          <w:p w14:paraId="244ADE7A"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b/>
                <w:color w:val="000000" w:themeColor="text1"/>
                <w:sz w:val="18"/>
                <w:szCs w:val="18"/>
                <w:lang w:val="el-GR"/>
              </w:rPr>
            </w:pPr>
            <w:r w:rsidRPr="006A1797">
              <w:rPr>
                <w:rFonts w:ascii="Arial" w:hAnsi="Arial" w:cs="Arial"/>
                <w:b/>
                <w:color w:val="000000" w:themeColor="text1"/>
                <w:sz w:val="18"/>
                <w:szCs w:val="18"/>
                <w:lang w:val="el-GR"/>
              </w:rPr>
              <w:t>Υποχρεώσεις</w:t>
            </w:r>
          </w:p>
        </w:tc>
        <w:tc>
          <w:tcPr>
            <w:tcW w:w="1514" w:type="dxa"/>
            <w:tcBorders>
              <w:top w:val="double" w:sz="6" w:space="0" w:color="auto"/>
            </w:tcBorders>
            <w:vAlign w:val="center"/>
          </w:tcPr>
          <w:p w14:paraId="6745C5C2" w14:textId="77777777"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eastAsia="en-US"/>
              </w:rPr>
            </w:pPr>
          </w:p>
        </w:tc>
        <w:tc>
          <w:tcPr>
            <w:tcW w:w="1398" w:type="dxa"/>
            <w:tcBorders>
              <w:top w:val="double" w:sz="6" w:space="0" w:color="auto"/>
            </w:tcBorders>
            <w:vAlign w:val="center"/>
          </w:tcPr>
          <w:p w14:paraId="7AC0A2B4"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rPr>
            </w:pPr>
          </w:p>
        </w:tc>
      </w:tr>
      <w:tr w:rsidR="008E7D1C" w:rsidRPr="00295155" w14:paraId="3E462F83" w14:textId="77777777" w:rsidTr="00CB38F0">
        <w:trPr>
          <w:trHeight w:val="282"/>
          <w:jc w:val="center"/>
        </w:trPr>
        <w:tc>
          <w:tcPr>
            <w:tcW w:w="7108" w:type="dxa"/>
            <w:vAlign w:val="center"/>
          </w:tcPr>
          <w:p w14:paraId="5B2B25FC"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000000" w:themeColor="text1"/>
                <w:sz w:val="18"/>
                <w:szCs w:val="18"/>
                <w:lang w:val="el-GR"/>
              </w:rPr>
            </w:pPr>
            <w:r w:rsidRPr="006A1797">
              <w:rPr>
                <w:rFonts w:ascii="Arial" w:hAnsi="Arial" w:cs="Arial"/>
                <w:color w:val="000000" w:themeColor="text1"/>
                <w:sz w:val="18"/>
                <w:szCs w:val="18"/>
                <w:lang w:val="el-GR"/>
              </w:rPr>
              <w:t>Καταθέσεις από τράπεζες</w:t>
            </w:r>
          </w:p>
        </w:tc>
        <w:tc>
          <w:tcPr>
            <w:tcW w:w="1514" w:type="dxa"/>
            <w:shd w:val="clear" w:color="auto" w:fill="auto"/>
            <w:vAlign w:val="center"/>
          </w:tcPr>
          <w:p w14:paraId="215D2B3C" w14:textId="73663F73"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val="en-US" w:eastAsia="en-US"/>
              </w:rPr>
              <w:t>405,438</w:t>
            </w:r>
          </w:p>
        </w:tc>
        <w:tc>
          <w:tcPr>
            <w:tcW w:w="1398" w:type="dxa"/>
            <w:shd w:val="clear" w:color="auto" w:fill="FFFFFF"/>
            <w:vAlign w:val="center"/>
          </w:tcPr>
          <w:p w14:paraId="0E506BD9"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rPr>
            </w:pPr>
            <w:r w:rsidRPr="006A1797">
              <w:rPr>
                <w:rFonts w:ascii="Arial" w:hAnsi="Arial" w:cs="Arial"/>
                <w:color w:val="000000" w:themeColor="text1"/>
                <w:sz w:val="18"/>
                <w:szCs w:val="18"/>
              </w:rPr>
              <w:t>471,556</w:t>
            </w:r>
          </w:p>
        </w:tc>
      </w:tr>
      <w:tr w:rsidR="008E7D1C" w:rsidRPr="00295155" w14:paraId="013DDB62" w14:textId="77777777" w:rsidTr="00CB38F0">
        <w:trPr>
          <w:trHeight w:val="282"/>
          <w:jc w:val="center"/>
        </w:trPr>
        <w:tc>
          <w:tcPr>
            <w:tcW w:w="7108" w:type="dxa"/>
            <w:vAlign w:val="center"/>
          </w:tcPr>
          <w:p w14:paraId="2599799A"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000000" w:themeColor="text1"/>
                <w:sz w:val="18"/>
                <w:szCs w:val="18"/>
                <w:lang w:val="el-GR"/>
              </w:rPr>
            </w:pPr>
            <w:r w:rsidRPr="006A1797">
              <w:rPr>
                <w:rFonts w:ascii="Arial" w:hAnsi="Arial" w:cs="Arial"/>
                <w:color w:val="000000" w:themeColor="text1"/>
                <w:sz w:val="18"/>
                <w:szCs w:val="18"/>
                <w:lang w:val="el-GR"/>
              </w:rPr>
              <w:t>Χρηματοδότηση από κεντρικές τράπεζες</w:t>
            </w:r>
          </w:p>
        </w:tc>
        <w:tc>
          <w:tcPr>
            <w:tcW w:w="1514" w:type="dxa"/>
            <w:shd w:val="clear" w:color="auto" w:fill="auto"/>
            <w:vAlign w:val="center"/>
          </w:tcPr>
          <w:p w14:paraId="0BDAC797" w14:textId="0692C4C9"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val="en-US" w:eastAsia="en-US"/>
              </w:rPr>
              <w:t>-</w:t>
            </w:r>
          </w:p>
        </w:tc>
        <w:tc>
          <w:tcPr>
            <w:tcW w:w="1398" w:type="dxa"/>
            <w:shd w:val="clear" w:color="auto" w:fill="FFFFFF"/>
            <w:vAlign w:val="center"/>
          </w:tcPr>
          <w:p w14:paraId="632799A3"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rPr>
            </w:pPr>
            <w:r w:rsidRPr="006A1797">
              <w:rPr>
                <w:rFonts w:ascii="Arial" w:hAnsi="Arial" w:cs="Arial"/>
                <w:color w:val="000000" w:themeColor="text1"/>
                <w:sz w:val="18"/>
                <w:szCs w:val="18"/>
              </w:rPr>
              <w:t>2,043,868</w:t>
            </w:r>
          </w:p>
        </w:tc>
      </w:tr>
      <w:tr w:rsidR="008E7D1C" w:rsidRPr="00295155" w14:paraId="262ED206" w14:textId="77777777" w:rsidTr="00CB38F0">
        <w:trPr>
          <w:trHeight w:val="282"/>
          <w:jc w:val="center"/>
        </w:trPr>
        <w:tc>
          <w:tcPr>
            <w:tcW w:w="7108" w:type="dxa"/>
            <w:vAlign w:val="center"/>
          </w:tcPr>
          <w:p w14:paraId="3D15F7EC"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000000" w:themeColor="text1"/>
                <w:sz w:val="18"/>
                <w:szCs w:val="18"/>
                <w:lang w:val="el-GR"/>
              </w:rPr>
            </w:pPr>
            <w:r w:rsidRPr="006A1797">
              <w:rPr>
                <w:rFonts w:ascii="Arial" w:hAnsi="Arial" w:cs="Arial"/>
                <w:color w:val="000000" w:themeColor="text1"/>
                <w:sz w:val="18"/>
                <w:szCs w:val="18"/>
                <w:lang w:val="el-GR"/>
              </w:rPr>
              <w:t>Παράγωγα χρηματοοικονομικά μέσα</w:t>
            </w:r>
          </w:p>
        </w:tc>
        <w:tc>
          <w:tcPr>
            <w:tcW w:w="1514" w:type="dxa"/>
            <w:shd w:val="clear" w:color="auto" w:fill="auto"/>
            <w:vAlign w:val="center"/>
          </w:tcPr>
          <w:p w14:paraId="0ED4F0DB" w14:textId="144E6D5F" w:rsidR="008E7D1C" w:rsidRPr="006A1797" w:rsidDel="00FC730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val="en-US" w:eastAsia="en-US"/>
              </w:rPr>
              <w:t>21,966</w:t>
            </w:r>
          </w:p>
        </w:tc>
        <w:tc>
          <w:tcPr>
            <w:tcW w:w="1398" w:type="dxa"/>
            <w:shd w:val="clear" w:color="auto" w:fill="FFFFFF"/>
            <w:vAlign w:val="center"/>
          </w:tcPr>
          <w:p w14:paraId="1A28B184" w14:textId="77777777" w:rsidR="008E7D1C" w:rsidRPr="006A1797" w:rsidDel="00FC730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rPr>
            </w:pPr>
            <w:r w:rsidRPr="006A1797">
              <w:rPr>
                <w:rFonts w:ascii="Arial" w:hAnsi="Arial" w:cs="Arial"/>
                <w:color w:val="000000" w:themeColor="text1"/>
                <w:sz w:val="18"/>
                <w:szCs w:val="18"/>
              </w:rPr>
              <w:t>17,980</w:t>
            </w:r>
          </w:p>
        </w:tc>
      </w:tr>
      <w:tr w:rsidR="008E7D1C" w:rsidRPr="00295155" w14:paraId="0458C19C" w14:textId="77777777" w:rsidTr="00CB38F0">
        <w:trPr>
          <w:trHeight w:val="282"/>
          <w:jc w:val="center"/>
        </w:trPr>
        <w:tc>
          <w:tcPr>
            <w:tcW w:w="7108" w:type="dxa"/>
            <w:vAlign w:val="center"/>
          </w:tcPr>
          <w:p w14:paraId="6D3BE514"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000000" w:themeColor="text1"/>
                <w:sz w:val="18"/>
                <w:szCs w:val="18"/>
                <w:lang w:val="el-GR"/>
              </w:rPr>
            </w:pPr>
            <w:r w:rsidRPr="006A1797">
              <w:rPr>
                <w:rFonts w:ascii="Arial" w:hAnsi="Arial" w:cs="Arial"/>
                <w:color w:val="000000" w:themeColor="text1"/>
                <w:sz w:val="18"/>
                <w:szCs w:val="18"/>
                <w:lang w:val="el-GR"/>
              </w:rPr>
              <w:t>Καταθέσεις πελατών</w:t>
            </w:r>
          </w:p>
        </w:tc>
        <w:tc>
          <w:tcPr>
            <w:tcW w:w="1514" w:type="dxa"/>
            <w:shd w:val="clear" w:color="auto" w:fill="auto"/>
            <w:vAlign w:val="center"/>
          </w:tcPr>
          <w:p w14:paraId="2DD0133F" w14:textId="22001B5D"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val="en-US" w:eastAsia="en-US"/>
              </w:rPr>
              <w:t>19,722,692</w:t>
            </w:r>
          </w:p>
        </w:tc>
        <w:tc>
          <w:tcPr>
            <w:tcW w:w="1398" w:type="dxa"/>
            <w:shd w:val="clear" w:color="auto" w:fill="FFFFFF"/>
            <w:vAlign w:val="center"/>
          </w:tcPr>
          <w:p w14:paraId="227F2FC8"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rPr>
            </w:pPr>
            <w:r w:rsidRPr="006A1797">
              <w:rPr>
                <w:rFonts w:ascii="Arial" w:hAnsi="Arial" w:cs="Arial"/>
                <w:color w:val="000000" w:themeColor="text1"/>
                <w:sz w:val="18"/>
                <w:szCs w:val="18"/>
              </w:rPr>
              <w:t>19,336,915</w:t>
            </w:r>
          </w:p>
        </w:tc>
      </w:tr>
      <w:tr w:rsidR="008E7D1C" w:rsidRPr="00133FAB" w14:paraId="1DA37D35" w14:textId="77777777" w:rsidTr="00CB38F0">
        <w:trPr>
          <w:trHeight w:val="282"/>
          <w:jc w:val="center"/>
        </w:trPr>
        <w:tc>
          <w:tcPr>
            <w:tcW w:w="7108" w:type="dxa"/>
            <w:vAlign w:val="center"/>
          </w:tcPr>
          <w:p w14:paraId="14D11BF4"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000000" w:themeColor="text1"/>
                <w:sz w:val="18"/>
                <w:szCs w:val="18"/>
                <w:lang w:val="el-GR"/>
              </w:rPr>
            </w:pPr>
            <w:r w:rsidRPr="006A1797">
              <w:rPr>
                <w:rFonts w:ascii="Arial" w:hAnsi="Arial" w:cs="Arial"/>
                <w:color w:val="000000" w:themeColor="text1"/>
                <w:sz w:val="18"/>
                <w:szCs w:val="18"/>
                <w:lang w:val="el-GR"/>
              </w:rPr>
              <w:t>Μεταβολές στην εύλογη αξία των αντισταθμισμένων στοιχείων σε αντισταθμίσεις</w:t>
            </w:r>
          </w:p>
          <w:p w14:paraId="4323FCEB" w14:textId="05A3F028"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000000" w:themeColor="text1"/>
                <w:sz w:val="18"/>
                <w:szCs w:val="18"/>
                <w:lang w:val="el-GR"/>
              </w:rPr>
            </w:pPr>
            <w:r w:rsidRPr="006A1797">
              <w:rPr>
                <w:rFonts w:ascii="Arial" w:hAnsi="Arial" w:cs="Arial"/>
                <w:color w:val="000000" w:themeColor="text1"/>
                <w:sz w:val="18"/>
                <w:szCs w:val="18"/>
                <w:lang w:val="el-GR"/>
              </w:rPr>
              <w:t>χαρτοφυλακίου για τον κίνδυνο επιτοκίων</w:t>
            </w:r>
          </w:p>
        </w:tc>
        <w:tc>
          <w:tcPr>
            <w:tcW w:w="1514" w:type="dxa"/>
            <w:tcBorders>
              <w:bottom w:val="single" w:sz="4" w:space="0" w:color="C0C0C0"/>
            </w:tcBorders>
            <w:shd w:val="clear" w:color="auto" w:fill="auto"/>
            <w:vAlign w:val="center"/>
          </w:tcPr>
          <w:p w14:paraId="56AA95B7" w14:textId="79268883"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val="en-US" w:eastAsia="en-US"/>
              </w:rPr>
              <w:t>(7,261)</w:t>
            </w:r>
          </w:p>
        </w:tc>
        <w:tc>
          <w:tcPr>
            <w:tcW w:w="1398" w:type="dxa"/>
            <w:tcBorders>
              <w:bottom w:val="single" w:sz="4" w:space="0" w:color="C0C0C0"/>
            </w:tcBorders>
            <w:shd w:val="clear" w:color="auto" w:fill="FFFFFF"/>
            <w:vAlign w:val="center"/>
          </w:tcPr>
          <w:p w14:paraId="693E7F38" w14:textId="7C8A8344"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lang w:val="en-US"/>
              </w:rPr>
            </w:pPr>
            <w:r w:rsidRPr="006A1797">
              <w:rPr>
                <w:rFonts w:ascii="Arial" w:hAnsi="Arial" w:cs="Arial"/>
                <w:color w:val="000000" w:themeColor="text1"/>
                <w:sz w:val="18"/>
                <w:szCs w:val="18"/>
                <w:lang w:val="en-US"/>
              </w:rPr>
              <w:t>-</w:t>
            </w:r>
          </w:p>
        </w:tc>
      </w:tr>
      <w:tr w:rsidR="008E7D1C" w:rsidRPr="00295155" w14:paraId="61AACAA1" w14:textId="77777777" w:rsidTr="00CB38F0">
        <w:trPr>
          <w:trHeight w:val="282"/>
          <w:jc w:val="center"/>
        </w:trPr>
        <w:tc>
          <w:tcPr>
            <w:tcW w:w="7108" w:type="dxa"/>
            <w:vAlign w:val="center"/>
          </w:tcPr>
          <w:p w14:paraId="5C0828C1"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000000" w:themeColor="text1"/>
                <w:sz w:val="18"/>
                <w:szCs w:val="18"/>
                <w:lang w:val="el-GR"/>
              </w:rPr>
            </w:pPr>
            <w:r w:rsidRPr="006A1797">
              <w:rPr>
                <w:rFonts w:ascii="Arial" w:hAnsi="Arial" w:cs="Arial"/>
                <w:color w:val="000000" w:themeColor="text1"/>
                <w:sz w:val="18"/>
                <w:szCs w:val="18"/>
                <w:lang w:val="el-GR"/>
              </w:rPr>
              <w:t>Υποχρεώσεις ασφαλιστηρίων συμβολαίων</w:t>
            </w:r>
          </w:p>
        </w:tc>
        <w:tc>
          <w:tcPr>
            <w:tcW w:w="1514" w:type="dxa"/>
            <w:tcBorders>
              <w:bottom w:val="single" w:sz="4" w:space="0" w:color="C0C0C0"/>
            </w:tcBorders>
            <w:shd w:val="clear" w:color="auto" w:fill="auto"/>
            <w:vAlign w:val="center"/>
          </w:tcPr>
          <w:p w14:paraId="40105EF6" w14:textId="560D9415"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val="en-US" w:eastAsia="en-US"/>
              </w:rPr>
              <w:t>702,196</w:t>
            </w:r>
          </w:p>
        </w:tc>
        <w:tc>
          <w:tcPr>
            <w:tcW w:w="1398" w:type="dxa"/>
            <w:tcBorders>
              <w:bottom w:val="single" w:sz="4" w:space="0" w:color="C0C0C0"/>
            </w:tcBorders>
            <w:shd w:val="clear" w:color="auto" w:fill="FFFFFF"/>
            <w:vAlign w:val="center"/>
          </w:tcPr>
          <w:p w14:paraId="4F17DDF4"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rPr>
            </w:pPr>
            <w:r w:rsidRPr="006A1797">
              <w:rPr>
                <w:rFonts w:ascii="Arial" w:hAnsi="Arial" w:cs="Arial"/>
                <w:color w:val="000000" w:themeColor="text1"/>
                <w:sz w:val="18"/>
                <w:szCs w:val="18"/>
              </w:rPr>
              <w:t>658,424</w:t>
            </w:r>
          </w:p>
        </w:tc>
      </w:tr>
      <w:tr w:rsidR="008E7D1C" w:rsidRPr="00EA064F" w14:paraId="3FF107F4" w14:textId="77777777" w:rsidTr="00CB38F0">
        <w:trPr>
          <w:trHeight w:val="282"/>
          <w:jc w:val="center"/>
        </w:trPr>
        <w:tc>
          <w:tcPr>
            <w:tcW w:w="7108" w:type="dxa"/>
            <w:vAlign w:val="center"/>
          </w:tcPr>
          <w:p w14:paraId="702C7F64"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000000" w:themeColor="text1"/>
                <w:sz w:val="18"/>
                <w:szCs w:val="18"/>
                <w:lang w:val="el-GR"/>
              </w:rPr>
            </w:pPr>
            <w:r w:rsidRPr="006A1797">
              <w:rPr>
                <w:rFonts w:ascii="Arial" w:hAnsi="Arial" w:cs="Arial"/>
                <w:color w:val="000000" w:themeColor="text1"/>
                <w:sz w:val="18"/>
                <w:szCs w:val="18"/>
                <w:lang w:val="el-GR"/>
              </w:rPr>
              <w:t>Δεδουλευμένα, αναβαλλόμενα έσοδα, λοιπές υποχρεώσεις και λοιπές προβλέψεις</w:t>
            </w:r>
          </w:p>
        </w:tc>
        <w:tc>
          <w:tcPr>
            <w:tcW w:w="1514" w:type="dxa"/>
            <w:tcBorders>
              <w:bottom w:val="single" w:sz="4" w:space="0" w:color="C0C0C0"/>
            </w:tcBorders>
            <w:shd w:val="clear" w:color="auto" w:fill="auto"/>
            <w:vAlign w:val="center"/>
          </w:tcPr>
          <w:p w14:paraId="762017A9" w14:textId="5170D2E1"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color w:val="000000" w:themeColor="text1"/>
                <w:sz w:val="18"/>
                <w:szCs w:val="18"/>
                <w:lang w:val="el-GR" w:eastAsia="en-US"/>
              </w:rPr>
            </w:pPr>
            <w:r w:rsidRPr="006A1797">
              <w:rPr>
                <w:rFonts w:ascii="Arial" w:eastAsia="Batang" w:hAnsi="Arial" w:cs="Arial"/>
                <w:b/>
                <w:bCs/>
                <w:color w:val="000000" w:themeColor="text1"/>
                <w:sz w:val="18"/>
                <w:szCs w:val="18"/>
                <w:lang w:eastAsia="en-US"/>
              </w:rPr>
              <w:t>563,284</w:t>
            </w:r>
          </w:p>
        </w:tc>
        <w:tc>
          <w:tcPr>
            <w:tcW w:w="1398" w:type="dxa"/>
            <w:tcBorders>
              <w:bottom w:val="single" w:sz="4" w:space="0" w:color="C0C0C0"/>
            </w:tcBorders>
            <w:shd w:val="clear" w:color="auto" w:fill="FFFFFF"/>
            <w:vAlign w:val="center"/>
          </w:tcPr>
          <w:p w14:paraId="4838A3CF"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lang w:val="el-GR"/>
              </w:rPr>
            </w:pPr>
            <w:r w:rsidRPr="006A1797">
              <w:rPr>
                <w:rFonts w:ascii="Arial" w:hAnsi="Arial" w:cs="Arial"/>
                <w:color w:val="000000" w:themeColor="text1"/>
                <w:sz w:val="18"/>
                <w:szCs w:val="18"/>
              </w:rPr>
              <w:t>469,265</w:t>
            </w:r>
          </w:p>
        </w:tc>
      </w:tr>
      <w:tr w:rsidR="008E7D1C" w:rsidRPr="00EA064F" w14:paraId="2C27297E" w14:textId="77777777" w:rsidTr="00CB38F0">
        <w:trPr>
          <w:trHeight w:val="282"/>
          <w:jc w:val="center"/>
        </w:trPr>
        <w:tc>
          <w:tcPr>
            <w:tcW w:w="7108" w:type="dxa"/>
            <w:shd w:val="clear" w:color="auto" w:fill="auto"/>
            <w:vAlign w:val="center"/>
          </w:tcPr>
          <w:p w14:paraId="1CCAE79F"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000000" w:themeColor="text1"/>
                <w:sz w:val="18"/>
                <w:szCs w:val="18"/>
                <w:lang w:val="el-GR"/>
              </w:rPr>
            </w:pPr>
            <w:r w:rsidRPr="006A1797">
              <w:rPr>
                <w:rFonts w:ascii="Arial" w:eastAsia="Batang" w:hAnsi="Arial" w:cs="Arial"/>
                <w:bCs/>
                <w:color w:val="000000" w:themeColor="text1"/>
                <w:sz w:val="18"/>
                <w:szCs w:val="18"/>
                <w:lang w:val="el-GR" w:eastAsia="en-US"/>
              </w:rPr>
              <w:t>Προβλέψεις για επιδικίες, υπό διαιτησία διαφορές, κανονιστικά και άλλα θέματα</w:t>
            </w:r>
          </w:p>
        </w:tc>
        <w:tc>
          <w:tcPr>
            <w:tcW w:w="1514" w:type="dxa"/>
            <w:tcBorders>
              <w:bottom w:val="single" w:sz="4" w:space="0" w:color="C0C0C0"/>
            </w:tcBorders>
            <w:shd w:val="clear" w:color="auto" w:fill="auto"/>
            <w:vAlign w:val="center"/>
          </w:tcPr>
          <w:p w14:paraId="2F247948" w14:textId="4FED6608"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111,470</w:t>
            </w:r>
          </w:p>
        </w:tc>
        <w:tc>
          <w:tcPr>
            <w:tcW w:w="1398" w:type="dxa"/>
            <w:tcBorders>
              <w:bottom w:val="single" w:sz="4" w:space="0" w:color="C0C0C0"/>
            </w:tcBorders>
            <w:shd w:val="clear" w:color="auto" w:fill="FFFFFF"/>
            <w:vAlign w:val="center"/>
          </w:tcPr>
          <w:p w14:paraId="254D93AD"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lang w:val="el-GR"/>
              </w:rPr>
            </w:pPr>
            <w:r w:rsidRPr="006A1797">
              <w:rPr>
                <w:rFonts w:ascii="Arial" w:hAnsi="Arial" w:cs="Arial"/>
                <w:color w:val="000000" w:themeColor="text1"/>
                <w:sz w:val="18"/>
                <w:szCs w:val="18"/>
              </w:rPr>
              <w:t>131,503</w:t>
            </w:r>
          </w:p>
        </w:tc>
      </w:tr>
      <w:tr w:rsidR="008E7D1C" w:rsidRPr="00EA064F" w14:paraId="0A862E99" w14:textId="77777777" w:rsidTr="00CB38F0">
        <w:trPr>
          <w:trHeight w:val="282"/>
          <w:jc w:val="center"/>
        </w:trPr>
        <w:tc>
          <w:tcPr>
            <w:tcW w:w="7108" w:type="dxa"/>
            <w:vAlign w:val="center"/>
          </w:tcPr>
          <w:p w14:paraId="756F91D9"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000000" w:themeColor="text1"/>
                <w:sz w:val="18"/>
                <w:szCs w:val="18"/>
                <w:lang w:val="el-GR"/>
              </w:rPr>
            </w:pPr>
            <w:r w:rsidRPr="006A1797">
              <w:rPr>
                <w:rFonts w:ascii="Arial" w:hAnsi="Arial" w:cs="Arial"/>
                <w:color w:val="000000" w:themeColor="text1"/>
                <w:sz w:val="18"/>
                <w:szCs w:val="18"/>
                <w:lang w:val="el-GR"/>
              </w:rPr>
              <w:t>Ομολογιακά δάνεια</w:t>
            </w:r>
          </w:p>
        </w:tc>
        <w:tc>
          <w:tcPr>
            <w:tcW w:w="1514" w:type="dxa"/>
            <w:tcBorders>
              <w:bottom w:val="single" w:sz="4" w:space="0" w:color="C0C0C0"/>
            </w:tcBorders>
            <w:shd w:val="clear" w:color="auto" w:fill="auto"/>
            <w:vAlign w:val="center"/>
          </w:tcPr>
          <w:p w14:paraId="543B322F" w14:textId="24CA628B"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970,790</w:t>
            </w:r>
          </w:p>
        </w:tc>
        <w:tc>
          <w:tcPr>
            <w:tcW w:w="1398" w:type="dxa"/>
            <w:tcBorders>
              <w:bottom w:val="single" w:sz="4" w:space="0" w:color="C0C0C0"/>
            </w:tcBorders>
            <w:shd w:val="clear" w:color="auto" w:fill="FFFFFF"/>
            <w:vAlign w:val="center"/>
          </w:tcPr>
          <w:p w14:paraId="7E0114C1"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lang w:val="el-GR"/>
              </w:rPr>
            </w:pPr>
            <w:r w:rsidRPr="006A1797">
              <w:rPr>
                <w:rFonts w:ascii="Arial" w:hAnsi="Arial" w:cs="Arial"/>
                <w:color w:val="000000" w:themeColor="text1"/>
                <w:sz w:val="18"/>
                <w:szCs w:val="18"/>
              </w:rPr>
              <w:t>671,632</w:t>
            </w:r>
          </w:p>
        </w:tc>
      </w:tr>
      <w:tr w:rsidR="008E7D1C" w:rsidRPr="00EA064F" w14:paraId="677EFE56" w14:textId="77777777" w:rsidTr="00CB38F0">
        <w:trPr>
          <w:trHeight w:val="282"/>
          <w:jc w:val="center"/>
        </w:trPr>
        <w:tc>
          <w:tcPr>
            <w:tcW w:w="7108" w:type="dxa"/>
            <w:vAlign w:val="center"/>
          </w:tcPr>
          <w:p w14:paraId="58B64812"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000000" w:themeColor="text1"/>
                <w:sz w:val="18"/>
                <w:szCs w:val="18"/>
                <w:lang w:val="el-GR"/>
              </w:rPr>
            </w:pPr>
            <w:r w:rsidRPr="006A1797">
              <w:rPr>
                <w:rFonts w:ascii="Arial" w:hAnsi="Arial" w:cs="Arial"/>
                <w:color w:val="000000" w:themeColor="text1"/>
                <w:sz w:val="18"/>
                <w:szCs w:val="18"/>
                <w:lang w:val="el-GR"/>
              </w:rPr>
              <w:t>Υποχρεώσεις μειωμένης εξασφάλισης</w:t>
            </w:r>
          </w:p>
        </w:tc>
        <w:tc>
          <w:tcPr>
            <w:tcW w:w="1514" w:type="dxa"/>
            <w:tcBorders>
              <w:bottom w:val="single" w:sz="4" w:space="0" w:color="C0C0C0"/>
            </w:tcBorders>
            <w:shd w:val="clear" w:color="auto" w:fill="auto"/>
            <w:vAlign w:val="center"/>
          </w:tcPr>
          <w:p w14:paraId="63F7C5FC" w14:textId="5EE13A24"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val="en-US" w:eastAsia="en-US"/>
              </w:rPr>
              <w:t>313,009</w:t>
            </w:r>
          </w:p>
        </w:tc>
        <w:tc>
          <w:tcPr>
            <w:tcW w:w="1398" w:type="dxa"/>
            <w:tcBorders>
              <w:bottom w:val="single" w:sz="4" w:space="0" w:color="C0C0C0"/>
            </w:tcBorders>
            <w:shd w:val="clear" w:color="auto" w:fill="FFFFFF"/>
            <w:vAlign w:val="center"/>
          </w:tcPr>
          <w:p w14:paraId="33734085"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lang w:val="el-GR"/>
              </w:rPr>
            </w:pPr>
            <w:r w:rsidRPr="006A1797">
              <w:rPr>
                <w:rFonts w:ascii="Arial" w:hAnsi="Arial" w:cs="Arial"/>
                <w:color w:val="000000" w:themeColor="text1"/>
                <w:sz w:val="18"/>
                <w:szCs w:val="18"/>
              </w:rPr>
              <w:t>306,787</w:t>
            </w:r>
          </w:p>
        </w:tc>
      </w:tr>
      <w:tr w:rsidR="008E7D1C" w:rsidRPr="00295155" w14:paraId="3003DA04" w14:textId="77777777" w:rsidTr="00CB38F0">
        <w:trPr>
          <w:trHeight w:val="282"/>
          <w:jc w:val="center"/>
        </w:trPr>
        <w:tc>
          <w:tcPr>
            <w:tcW w:w="7108" w:type="dxa"/>
            <w:vAlign w:val="center"/>
          </w:tcPr>
          <w:p w14:paraId="0DF02926"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000000" w:themeColor="text1"/>
                <w:sz w:val="18"/>
                <w:szCs w:val="18"/>
                <w:lang w:val="el-GR"/>
              </w:rPr>
            </w:pPr>
            <w:r w:rsidRPr="006A1797">
              <w:rPr>
                <w:rFonts w:ascii="Arial" w:hAnsi="Arial" w:cs="Arial"/>
                <w:color w:val="000000" w:themeColor="text1"/>
                <w:sz w:val="18"/>
                <w:szCs w:val="18"/>
                <w:lang w:val="el-GR"/>
              </w:rPr>
              <w:t>Αναβαλλόμενες φορολογικές υποχρεώσεις</w:t>
            </w:r>
          </w:p>
        </w:tc>
        <w:tc>
          <w:tcPr>
            <w:tcW w:w="1514" w:type="dxa"/>
            <w:tcBorders>
              <w:bottom w:val="single" w:sz="4" w:space="0" w:color="C0C0C0"/>
            </w:tcBorders>
            <w:shd w:val="clear" w:color="auto" w:fill="FFFFFF" w:themeFill="background1"/>
            <w:vAlign w:val="center"/>
          </w:tcPr>
          <w:p w14:paraId="51674C9A" w14:textId="34341E75"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val="en-US" w:eastAsia="en-US"/>
              </w:rPr>
              <w:t>32,934</w:t>
            </w:r>
          </w:p>
        </w:tc>
        <w:tc>
          <w:tcPr>
            <w:tcW w:w="1398" w:type="dxa"/>
            <w:tcBorders>
              <w:bottom w:val="single" w:sz="4" w:space="0" w:color="C0C0C0"/>
            </w:tcBorders>
            <w:shd w:val="clear" w:color="auto" w:fill="FFFFFF"/>
            <w:vAlign w:val="center"/>
          </w:tcPr>
          <w:p w14:paraId="02F299D3"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rPr>
            </w:pPr>
            <w:r w:rsidRPr="006A1797">
              <w:rPr>
                <w:rFonts w:ascii="Arial" w:hAnsi="Arial" w:cs="Arial"/>
                <w:color w:val="000000" w:themeColor="text1"/>
                <w:sz w:val="18"/>
                <w:szCs w:val="18"/>
              </w:rPr>
              <w:t>32,306</w:t>
            </w:r>
          </w:p>
        </w:tc>
      </w:tr>
      <w:tr w:rsidR="008E7D1C" w:rsidRPr="00295155" w14:paraId="28A00A80" w14:textId="77777777" w:rsidTr="00CB38F0">
        <w:trPr>
          <w:trHeight w:val="282"/>
          <w:jc w:val="center"/>
        </w:trPr>
        <w:tc>
          <w:tcPr>
            <w:tcW w:w="7108" w:type="dxa"/>
            <w:tcBorders>
              <w:bottom w:val="single" w:sz="4" w:space="0" w:color="C0C0C0"/>
            </w:tcBorders>
            <w:vAlign w:val="center"/>
          </w:tcPr>
          <w:p w14:paraId="1ECFA54C"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b/>
                <w:color w:val="000000" w:themeColor="text1"/>
                <w:sz w:val="18"/>
                <w:szCs w:val="18"/>
                <w:lang w:val="el-GR"/>
              </w:rPr>
            </w:pPr>
            <w:r w:rsidRPr="006A1797">
              <w:rPr>
                <w:rFonts w:ascii="Arial" w:hAnsi="Arial" w:cs="Arial"/>
                <w:b/>
                <w:color w:val="000000" w:themeColor="text1"/>
                <w:sz w:val="18"/>
                <w:szCs w:val="18"/>
                <w:lang w:val="el-GR"/>
              </w:rPr>
              <w:t xml:space="preserve">Σύνολο υποχρεώσεων </w:t>
            </w:r>
          </w:p>
        </w:tc>
        <w:tc>
          <w:tcPr>
            <w:tcW w:w="1514" w:type="dxa"/>
            <w:tcBorders>
              <w:top w:val="single" w:sz="6" w:space="0" w:color="auto"/>
              <w:bottom w:val="single" w:sz="6" w:space="0" w:color="auto"/>
            </w:tcBorders>
            <w:shd w:val="clear" w:color="auto" w:fill="FFFFFF" w:themeFill="background1"/>
            <w:vAlign w:val="center"/>
          </w:tcPr>
          <w:p w14:paraId="1F0516EC" w14:textId="51930BB3"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val="en-US" w:eastAsia="en-US"/>
              </w:rPr>
              <w:t>22,836,518</w:t>
            </w:r>
          </w:p>
        </w:tc>
        <w:tc>
          <w:tcPr>
            <w:tcW w:w="1398" w:type="dxa"/>
            <w:tcBorders>
              <w:top w:val="single" w:sz="6" w:space="0" w:color="auto"/>
              <w:bottom w:val="single" w:sz="6" w:space="0" w:color="auto"/>
            </w:tcBorders>
            <w:shd w:val="clear" w:color="auto" w:fill="FFFFFF"/>
            <w:vAlign w:val="center"/>
          </w:tcPr>
          <w:p w14:paraId="214D2C0F"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rPr>
            </w:pPr>
            <w:r w:rsidRPr="006A1797">
              <w:rPr>
                <w:rFonts w:ascii="Arial" w:hAnsi="Arial" w:cs="Arial"/>
                <w:color w:val="000000" w:themeColor="text1"/>
                <w:sz w:val="18"/>
                <w:szCs w:val="18"/>
              </w:rPr>
              <w:t>24,140,236</w:t>
            </w:r>
          </w:p>
        </w:tc>
      </w:tr>
      <w:tr w:rsidR="008E7D1C" w:rsidRPr="00295155" w14:paraId="375D50FA" w14:textId="77777777" w:rsidTr="00CB38F0">
        <w:trPr>
          <w:trHeight w:val="282"/>
          <w:jc w:val="center"/>
        </w:trPr>
        <w:tc>
          <w:tcPr>
            <w:tcW w:w="7108" w:type="dxa"/>
            <w:vAlign w:val="center"/>
          </w:tcPr>
          <w:p w14:paraId="1EBF9C2E"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b/>
                <w:color w:val="000000" w:themeColor="text1"/>
                <w:sz w:val="18"/>
                <w:szCs w:val="18"/>
                <w:lang w:val="el-GR"/>
              </w:rPr>
            </w:pPr>
            <w:r w:rsidRPr="006A1797">
              <w:rPr>
                <w:rFonts w:ascii="Arial" w:hAnsi="Arial" w:cs="Arial"/>
                <w:b/>
                <w:color w:val="000000" w:themeColor="text1"/>
                <w:sz w:val="18"/>
                <w:szCs w:val="18"/>
                <w:lang w:val="el-GR"/>
              </w:rPr>
              <w:t>Ίδια κεφάλαια</w:t>
            </w:r>
          </w:p>
        </w:tc>
        <w:tc>
          <w:tcPr>
            <w:tcW w:w="1514" w:type="dxa"/>
            <w:tcBorders>
              <w:top w:val="single" w:sz="6" w:space="0" w:color="auto"/>
            </w:tcBorders>
            <w:shd w:val="clear" w:color="auto" w:fill="FFFFFF" w:themeFill="background1"/>
            <w:vAlign w:val="center"/>
          </w:tcPr>
          <w:p w14:paraId="37D755B9" w14:textId="77777777"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eastAsia="en-US"/>
              </w:rPr>
            </w:pPr>
          </w:p>
        </w:tc>
        <w:tc>
          <w:tcPr>
            <w:tcW w:w="1398" w:type="dxa"/>
            <w:tcBorders>
              <w:top w:val="single" w:sz="6" w:space="0" w:color="auto"/>
            </w:tcBorders>
            <w:vAlign w:val="center"/>
          </w:tcPr>
          <w:p w14:paraId="5B0058D9" w14:textId="77777777"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color w:val="000000" w:themeColor="text1"/>
                <w:sz w:val="18"/>
                <w:szCs w:val="18"/>
                <w:lang w:val="el-GR" w:eastAsia="en-US"/>
              </w:rPr>
            </w:pPr>
          </w:p>
        </w:tc>
      </w:tr>
      <w:tr w:rsidR="008E7D1C" w:rsidRPr="00295155" w14:paraId="35275514" w14:textId="77777777" w:rsidTr="00CB38F0">
        <w:trPr>
          <w:trHeight w:val="282"/>
          <w:jc w:val="center"/>
        </w:trPr>
        <w:tc>
          <w:tcPr>
            <w:tcW w:w="7108" w:type="dxa"/>
            <w:vAlign w:val="center"/>
          </w:tcPr>
          <w:p w14:paraId="11F85FFD"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000000" w:themeColor="text1"/>
                <w:sz w:val="18"/>
                <w:szCs w:val="18"/>
                <w:lang w:val="el-GR"/>
              </w:rPr>
            </w:pPr>
            <w:r w:rsidRPr="006A1797">
              <w:rPr>
                <w:rFonts w:ascii="Arial" w:hAnsi="Arial" w:cs="Arial"/>
                <w:color w:val="000000" w:themeColor="text1"/>
                <w:sz w:val="18"/>
                <w:szCs w:val="18"/>
                <w:lang w:val="el-GR"/>
              </w:rPr>
              <w:t>Μετοχικό κεφάλαιο</w:t>
            </w:r>
          </w:p>
        </w:tc>
        <w:tc>
          <w:tcPr>
            <w:tcW w:w="1514" w:type="dxa"/>
            <w:shd w:val="clear" w:color="auto" w:fill="auto"/>
            <w:vAlign w:val="center"/>
          </w:tcPr>
          <w:p w14:paraId="0087263C" w14:textId="2FBD3246"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hAnsi="Arial" w:cs="Arial"/>
                <w:b/>
                <w:bCs/>
                <w:color w:val="000000" w:themeColor="text1"/>
                <w:sz w:val="18"/>
                <w:szCs w:val="18"/>
              </w:rPr>
              <w:t>44,481</w:t>
            </w:r>
          </w:p>
        </w:tc>
        <w:tc>
          <w:tcPr>
            <w:tcW w:w="1398" w:type="dxa"/>
            <w:shd w:val="clear" w:color="auto" w:fill="FFFFFF"/>
            <w:vAlign w:val="center"/>
          </w:tcPr>
          <w:p w14:paraId="5BD27D8C"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rPr>
            </w:pPr>
            <w:r w:rsidRPr="006A1797">
              <w:rPr>
                <w:rFonts w:ascii="Arial" w:hAnsi="Arial" w:cs="Arial"/>
                <w:color w:val="000000" w:themeColor="text1"/>
                <w:sz w:val="18"/>
                <w:szCs w:val="18"/>
              </w:rPr>
              <w:t>44,620</w:t>
            </w:r>
          </w:p>
        </w:tc>
      </w:tr>
      <w:tr w:rsidR="008E7D1C" w:rsidRPr="00EA064F" w14:paraId="33B31D0F" w14:textId="77777777" w:rsidTr="00CB38F0">
        <w:trPr>
          <w:trHeight w:val="282"/>
          <w:jc w:val="center"/>
        </w:trPr>
        <w:tc>
          <w:tcPr>
            <w:tcW w:w="7108" w:type="dxa"/>
            <w:vAlign w:val="center"/>
          </w:tcPr>
          <w:p w14:paraId="40F7B0D0"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000000" w:themeColor="text1"/>
                <w:sz w:val="18"/>
                <w:szCs w:val="18"/>
                <w:lang w:val="el-GR"/>
              </w:rPr>
            </w:pPr>
            <w:r w:rsidRPr="006A1797">
              <w:rPr>
                <w:rFonts w:ascii="Arial" w:hAnsi="Arial" w:cs="Arial"/>
                <w:color w:val="000000" w:themeColor="text1"/>
                <w:sz w:val="18"/>
                <w:szCs w:val="18"/>
                <w:lang w:val="el-GR"/>
              </w:rPr>
              <w:t>Αποθεματικό από έκδοση μετοχών υπέρ το άρτιο</w:t>
            </w:r>
          </w:p>
        </w:tc>
        <w:tc>
          <w:tcPr>
            <w:tcW w:w="1514" w:type="dxa"/>
            <w:shd w:val="clear" w:color="auto" w:fill="auto"/>
            <w:vAlign w:val="center"/>
          </w:tcPr>
          <w:p w14:paraId="7946FF83" w14:textId="603CEDE2"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hAnsi="Arial" w:cs="Arial"/>
                <w:b/>
                <w:bCs/>
                <w:color w:val="000000" w:themeColor="text1"/>
                <w:sz w:val="18"/>
                <w:szCs w:val="18"/>
              </w:rPr>
              <w:t>594,358</w:t>
            </w:r>
          </w:p>
        </w:tc>
        <w:tc>
          <w:tcPr>
            <w:tcW w:w="1398" w:type="dxa"/>
            <w:shd w:val="clear" w:color="auto" w:fill="FFFFFF"/>
            <w:vAlign w:val="center"/>
          </w:tcPr>
          <w:p w14:paraId="33C550A2"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lang w:val="el-GR"/>
              </w:rPr>
            </w:pPr>
            <w:r w:rsidRPr="006A1797">
              <w:rPr>
                <w:rFonts w:ascii="Arial" w:hAnsi="Arial" w:cs="Arial"/>
                <w:color w:val="000000" w:themeColor="text1"/>
                <w:sz w:val="18"/>
                <w:szCs w:val="18"/>
              </w:rPr>
              <w:t>594,358</w:t>
            </w:r>
          </w:p>
        </w:tc>
      </w:tr>
      <w:tr w:rsidR="008E7D1C" w:rsidRPr="00EA064F" w14:paraId="2C3CBB66" w14:textId="77777777" w:rsidTr="00CB38F0">
        <w:trPr>
          <w:trHeight w:val="282"/>
          <w:jc w:val="center"/>
        </w:trPr>
        <w:tc>
          <w:tcPr>
            <w:tcW w:w="7108" w:type="dxa"/>
            <w:vAlign w:val="center"/>
          </w:tcPr>
          <w:p w14:paraId="796EA9DA"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000000" w:themeColor="text1"/>
                <w:sz w:val="18"/>
                <w:szCs w:val="18"/>
                <w:lang w:val="el-GR"/>
              </w:rPr>
            </w:pPr>
            <w:r w:rsidRPr="006A1797">
              <w:rPr>
                <w:rFonts w:ascii="Arial" w:hAnsi="Arial" w:cs="Arial"/>
                <w:color w:val="000000" w:themeColor="text1"/>
                <w:sz w:val="18"/>
                <w:szCs w:val="18"/>
                <w:lang w:val="el-GR"/>
              </w:rPr>
              <w:t>Αποθεματικά επανεκτίμησης και άλλα αποθεματικά</w:t>
            </w:r>
          </w:p>
        </w:tc>
        <w:tc>
          <w:tcPr>
            <w:tcW w:w="1514" w:type="dxa"/>
            <w:tcBorders>
              <w:bottom w:val="single" w:sz="4" w:space="0" w:color="C0C0C0"/>
            </w:tcBorders>
            <w:shd w:val="clear" w:color="auto" w:fill="auto"/>
            <w:vAlign w:val="center"/>
          </w:tcPr>
          <w:p w14:paraId="2577157F" w14:textId="4C7AED2C"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val="en-US" w:eastAsia="en-US"/>
              </w:rPr>
              <w:t>88,628</w:t>
            </w:r>
          </w:p>
        </w:tc>
        <w:tc>
          <w:tcPr>
            <w:tcW w:w="1398" w:type="dxa"/>
            <w:tcBorders>
              <w:bottom w:val="single" w:sz="4" w:space="0" w:color="C0C0C0"/>
            </w:tcBorders>
            <w:shd w:val="clear" w:color="auto" w:fill="auto"/>
            <w:vAlign w:val="center"/>
          </w:tcPr>
          <w:p w14:paraId="64806201"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lang w:val="el-GR"/>
              </w:rPr>
            </w:pPr>
            <w:r w:rsidRPr="006A1797">
              <w:rPr>
                <w:rFonts w:ascii="Arial" w:hAnsi="Arial" w:cs="Arial"/>
                <w:color w:val="000000" w:themeColor="text1"/>
                <w:sz w:val="18"/>
                <w:szCs w:val="18"/>
              </w:rPr>
              <w:t>89,920</w:t>
            </w:r>
          </w:p>
        </w:tc>
      </w:tr>
      <w:tr w:rsidR="008E7D1C" w:rsidRPr="00295155" w14:paraId="58ADCF9D" w14:textId="77777777" w:rsidTr="00CB38F0">
        <w:trPr>
          <w:trHeight w:val="282"/>
          <w:jc w:val="center"/>
        </w:trPr>
        <w:tc>
          <w:tcPr>
            <w:tcW w:w="7108" w:type="dxa"/>
            <w:vAlign w:val="center"/>
          </w:tcPr>
          <w:p w14:paraId="30EDF546"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000000" w:themeColor="text1"/>
                <w:sz w:val="18"/>
                <w:szCs w:val="18"/>
                <w:lang w:val="el-GR"/>
              </w:rPr>
            </w:pPr>
            <w:r w:rsidRPr="006A1797">
              <w:rPr>
                <w:rFonts w:ascii="Arial" w:hAnsi="Arial" w:cs="Arial"/>
                <w:color w:val="000000" w:themeColor="text1"/>
                <w:sz w:val="18"/>
                <w:szCs w:val="18"/>
                <w:lang w:val="el-GR"/>
              </w:rPr>
              <w:t>Αδιανέμητα κέρδη</w:t>
            </w:r>
          </w:p>
        </w:tc>
        <w:tc>
          <w:tcPr>
            <w:tcW w:w="1514" w:type="dxa"/>
            <w:tcBorders>
              <w:bottom w:val="single" w:sz="6" w:space="0" w:color="auto"/>
            </w:tcBorders>
            <w:shd w:val="clear" w:color="auto" w:fill="auto"/>
            <w:vAlign w:val="center"/>
          </w:tcPr>
          <w:p w14:paraId="33E74144" w14:textId="76E3D6C6"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color w:val="000000" w:themeColor="text1"/>
                <w:sz w:val="18"/>
                <w:szCs w:val="18"/>
                <w:lang w:val="el-GR" w:eastAsia="en-US"/>
              </w:rPr>
            </w:pPr>
            <w:r w:rsidRPr="006A1797">
              <w:rPr>
                <w:rFonts w:ascii="Arial" w:eastAsia="Batang" w:hAnsi="Arial" w:cs="Arial"/>
                <w:b/>
                <w:bCs/>
                <w:color w:val="000000" w:themeColor="text1"/>
                <w:sz w:val="18"/>
                <w:szCs w:val="18"/>
                <w:lang w:val="en-US" w:eastAsia="en-US"/>
              </w:rPr>
              <w:t>1,659,916</w:t>
            </w:r>
          </w:p>
        </w:tc>
        <w:tc>
          <w:tcPr>
            <w:tcW w:w="1398" w:type="dxa"/>
            <w:tcBorders>
              <w:bottom w:val="single" w:sz="6" w:space="0" w:color="auto"/>
            </w:tcBorders>
            <w:shd w:val="clear" w:color="auto" w:fill="auto"/>
            <w:vAlign w:val="center"/>
          </w:tcPr>
          <w:p w14:paraId="49BFA871"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ind w:right="-7"/>
              <w:jc w:val="right"/>
              <w:rPr>
                <w:rFonts w:ascii="Arial" w:hAnsi="Arial" w:cs="Arial"/>
                <w:color w:val="000000" w:themeColor="text1"/>
                <w:sz w:val="18"/>
                <w:szCs w:val="18"/>
              </w:rPr>
            </w:pPr>
            <w:r w:rsidRPr="006A1797">
              <w:rPr>
                <w:rFonts w:ascii="Arial" w:hAnsi="Arial" w:cs="Arial"/>
                <w:color w:val="000000" w:themeColor="text1"/>
                <w:sz w:val="18"/>
                <w:szCs w:val="18"/>
              </w:rPr>
              <w:t>1,518,182</w:t>
            </w:r>
          </w:p>
        </w:tc>
      </w:tr>
      <w:tr w:rsidR="008E7D1C" w:rsidRPr="00EA064F" w14:paraId="73194790" w14:textId="77777777" w:rsidTr="00CB38F0">
        <w:trPr>
          <w:trHeight w:val="282"/>
          <w:jc w:val="center"/>
        </w:trPr>
        <w:tc>
          <w:tcPr>
            <w:tcW w:w="7108" w:type="dxa"/>
            <w:vAlign w:val="center"/>
          </w:tcPr>
          <w:p w14:paraId="1F02AEB3"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b/>
                <w:color w:val="000000" w:themeColor="text1"/>
                <w:sz w:val="18"/>
                <w:szCs w:val="18"/>
                <w:lang w:val="el-GR"/>
              </w:rPr>
            </w:pPr>
            <w:r w:rsidRPr="006A1797">
              <w:rPr>
                <w:rFonts w:ascii="Arial" w:hAnsi="Arial" w:cs="Arial"/>
                <w:b/>
                <w:color w:val="000000" w:themeColor="text1"/>
                <w:sz w:val="18"/>
                <w:szCs w:val="18"/>
                <w:lang w:val="el-GR"/>
              </w:rPr>
              <w:t>Ίδια κεφάλαια που αναλογούν στους ιδιοκτήτες της Εταιρίας</w:t>
            </w:r>
          </w:p>
        </w:tc>
        <w:tc>
          <w:tcPr>
            <w:tcW w:w="1514" w:type="dxa"/>
            <w:tcBorders>
              <w:top w:val="single" w:sz="6" w:space="0" w:color="auto"/>
              <w:bottom w:val="single" w:sz="4" w:space="0" w:color="C0C0C0"/>
            </w:tcBorders>
            <w:shd w:val="clear" w:color="auto" w:fill="FFFFFF" w:themeFill="background1"/>
            <w:vAlign w:val="center"/>
          </w:tcPr>
          <w:p w14:paraId="44F4DBC0" w14:textId="2CE81FAA"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2,387,3</w:t>
            </w:r>
            <w:r w:rsidR="006E4B26">
              <w:rPr>
                <w:rFonts w:ascii="Arial" w:eastAsia="Batang" w:hAnsi="Arial" w:cs="Arial"/>
                <w:b/>
                <w:bCs/>
                <w:color w:val="000000" w:themeColor="text1"/>
                <w:sz w:val="18"/>
                <w:szCs w:val="18"/>
                <w:lang w:val="el-GR" w:eastAsia="en-US"/>
              </w:rPr>
              <w:t>8</w:t>
            </w:r>
            <w:r w:rsidRPr="006A1797">
              <w:rPr>
                <w:rFonts w:ascii="Arial" w:eastAsia="Batang" w:hAnsi="Arial" w:cs="Arial"/>
                <w:b/>
                <w:bCs/>
                <w:color w:val="000000" w:themeColor="text1"/>
                <w:sz w:val="18"/>
                <w:szCs w:val="18"/>
                <w:lang w:eastAsia="en-US"/>
              </w:rPr>
              <w:t>3</w:t>
            </w:r>
          </w:p>
        </w:tc>
        <w:tc>
          <w:tcPr>
            <w:tcW w:w="1398" w:type="dxa"/>
            <w:tcBorders>
              <w:top w:val="single" w:sz="6" w:space="0" w:color="auto"/>
              <w:bottom w:val="single" w:sz="4" w:space="0" w:color="C0C0C0"/>
            </w:tcBorders>
            <w:shd w:val="clear" w:color="auto" w:fill="FFFFFF"/>
            <w:vAlign w:val="center"/>
          </w:tcPr>
          <w:p w14:paraId="009F1C9C"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lang w:val="el-GR"/>
              </w:rPr>
            </w:pPr>
            <w:r w:rsidRPr="006A1797">
              <w:rPr>
                <w:rFonts w:ascii="Arial" w:hAnsi="Arial" w:cs="Arial"/>
                <w:color w:val="000000" w:themeColor="text1"/>
                <w:sz w:val="18"/>
                <w:szCs w:val="18"/>
              </w:rPr>
              <w:t>2,247,080</w:t>
            </w:r>
          </w:p>
        </w:tc>
      </w:tr>
      <w:tr w:rsidR="008E7D1C" w:rsidRPr="00295155" w14:paraId="3D565E4E" w14:textId="77777777" w:rsidTr="00CB38F0">
        <w:trPr>
          <w:trHeight w:val="282"/>
          <w:jc w:val="center"/>
        </w:trPr>
        <w:tc>
          <w:tcPr>
            <w:tcW w:w="7108" w:type="dxa"/>
            <w:vAlign w:val="center"/>
          </w:tcPr>
          <w:p w14:paraId="2BDB56AD"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000000" w:themeColor="text1"/>
                <w:sz w:val="18"/>
                <w:szCs w:val="18"/>
                <w:lang w:val="el-GR"/>
              </w:rPr>
            </w:pPr>
            <w:r w:rsidRPr="006A1797">
              <w:rPr>
                <w:rFonts w:ascii="Arial" w:hAnsi="Arial" w:cs="Arial"/>
                <w:color w:val="000000" w:themeColor="text1"/>
                <w:sz w:val="18"/>
                <w:szCs w:val="18"/>
                <w:lang w:val="el-GR"/>
              </w:rPr>
              <w:t>Λοιποί συμμετοχικοί τίτλοι</w:t>
            </w:r>
          </w:p>
        </w:tc>
        <w:tc>
          <w:tcPr>
            <w:tcW w:w="1514" w:type="dxa"/>
            <w:tcBorders>
              <w:top w:val="single" w:sz="4" w:space="0" w:color="C0C0C0"/>
              <w:bottom w:val="single" w:sz="4" w:space="0" w:color="C0C0C0"/>
            </w:tcBorders>
            <w:shd w:val="clear" w:color="auto" w:fill="FFFFFF" w:themeFill="background1"/>
            <w:vAlign w:val="center"/>
          </w:tcPr>
          <w:p w14:paraId="1898F781" w14:textId="3990ED33"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hAnsi="Arial" w:cs="Arial"/>
                <w:b/>
                <w:bCs/>
                <w:color w:val="000000" w:themeColor="text1"/>
                <w:sz w:val="18"/>
                <w:szCs w:val="18"/>
              </w:rPr>
              <w:t>220,000</w:t>
            </w:r>
          </w:p>
        </w:tc>
        <w:tc>
          <w:tcPr>
            <w:tcW w:w="1398" w:type="dxa"/>
            <w:tcBorders>
              <w:top w:val="single" w:sz="4" w:space="0" w:color="C0C0C0"/>
              <w:bottom w:val="single" w:sz="4" w:space="0" w:color="C0C0C0"/>
            </w:tcBorders>
            <w:shd w:val="clear" w:color="auto" w:fill="FFFFFF"/>
            <w:vAlign w:val="center"/>
          </w:tcPr>
          <w:p w14:paraId="3F5BBC5F"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rPr>
            </w:pPr>
            <w:r w:rsidRPr="006A1797">
              <w:rPr>
                <w:rFonts w:ascii="Arial" w:hAnsi="Arial" w:cs="Arial"/>
                <w:color w:val="000000" w:themeColor="text1"/>
                <w:sz w:val="18"/>
                <w:szCs w:val="18"/>
              </w:rPr>
              <w:t>220,000</w:t>
            </w:r>
          </w:p>
        </w:tc>
      </w:tr>
      <w:tr w:rsidR="008E7D1C" w:rsidRPr="00295155" w14:paraId="77BF623F" w14:textId="77777777" w:rsidTr="00CB38F0">
        <w:trPr>
          <w:trHeight w:val="282"/>
          <w:jc w:val="center"/>
        </w:trPr>
        <w:tc>
          <w:tcPr>
            <w:tcW w:w="7108" w:type="dxa"/>
            <w:vAlign w:val="center"/>
          </w:tcPr>
          <w:p w14:paraId="356CAF5A"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b/>
                <w:color w:val="000000" w:themeColor="text1"/>
                <w:sz w:val="18"/>
                <w:szCs w:val="18"/>
                <w:lang w:val="el-GR"/>
              </w:rPr>
            </w:pPr>
            <w:r w:rsidRPr="006A1797">
              <w:rPr>
                <w:rFonts w:ascii="Arial" w:hAnsi="Arial" w:cs="Arial"/>
                <w:b/>
                <w:color w:val="000000" w:themeColor="text1"/>
                <w:sz w:val="18"/>
                <w:szCs w:val="18"/>
                <w:lang w:val="el-GR"/>
              </w:rPr>
              <w:t>Δικαιώματα μειοψηφίας</w:t>
            </w:r>
          </w:p>
        </w:tc>
        <w:tc>
          <w:tcPr>
            <w:tcW w:w="1514" w:type="dxa"/>
            <w:tcBorders>
              <w:top w:val="single" w:sz="4" w:space="0" w:color="C0C0C0"/>
              <w:bottom w:val="single" w:sz="6" w:space="0" w:color="auto"/>
            </w:tcBorders>
            <w:shd w:val="clear" w:color="auto" w:fill="auto"/>
            <w:vAlign w:val="center"/>
          </w:tcPr>
          <w:p w14:paraId="258FE172" w14:textId="7EBC3D12"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22,269</w:t>
            </w:r>
          </w:p>
        </w:tc>
        <w:tc>
          <w:tcPr>
            <w:tcW w:w="1398" w:type="dxa"/>
            <w:tcBorders>
              <w:top w:val="single" w:sz="4" w:space="0" w:color="C0C0C0"/>
              <w:bottom w:val="single" w:sz="6" w:space="0" w:color="auto"/>
            </w:tcBorders>
            <w:shd w:val="clear" w:color="auto" w:fill="FFFFFF"/>
            <w:vAlign w:val="center"/>
          </w:tcPr>
          <w:p w14:paraId="1BC88C69"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rPr>
            </w:pPr>
            <w:r w:rsidRPr="006A1797">
              <w:rPr>
                <w:rFonts w:ascii="Arial" w:hAnsi="Arial" w:cs="Arial"/>
                <w:color w:val="000000" w:themeColor="text1"/>
                <w:sz w:val="18"/>
                <w:szCs w:val="18"/>
              </w:rPr>
              <w:t>21,261</w:t>
            </w:r>
          </w:p>
        </w:tc>
      </w:tr>
      <w:tr w:rsidR="008E7D1C" w:rsidRPr="00295155" w14:paraId="580C15F1" w14:textId="77777777" w:rsidTr="00CB38F0">
        <w:trPr>
          <w:trHeight w:val="282"/>
          <w:jc w:val="center"/>
        </w:trPr>
        <w:tc>
          <w:tcPr>
            <w:tcW w:w="7108" w:type="dxa"/>
            <w:vAlign w:val="center"/>
          </w:tcPr>
          <w:p w14:paraId="0428FD62"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b/>
                <w:color w:val="000000" w:themeColor="text1"/>
                <w:sz w:val="18"/>
                <w:szCs w:val="18"/>
                <w:lang w:val="el-GR"/>
              </w:rPr>
            </w:pPr>
            <w:r w:rsidRPr="006A1797">
              <w:rPr>
                <w:rFonts w:ascii="Arial" w:hAnsi="Arial" w:cs="Arial"/>
                <w:b/>
                <w:color w:val="000000" w:themeColor="text1"/>
                <w:sz w:val="18"/>
                <w:szCs w:val="18"/>
                <w:lang w:val="el-GR"/>
              </w:rPr>
              <w:t xml:space="preserve">Σύνολο ιδίων κεφαλαίων </w:t>
            </w:r>
          </w:p>
        </w:tc>
        <w:tc>
          <w:tcPr>
            <w:tcW w:w="1514" w:type="dxa"/>
            <w:tcBorders>
              <w:top w:val="single" w:sz="6" w:space="0" w:color="auto"/>
              <w:bottom w:val="single" w:sz="6" w:space="0" w:color="auto"/>
            </w:tcBorders>
            <w:shd w:val="clear" w:color="auto" w:fill="auto"/>
            <w:vAlign w:val="center"/>
          </w:tcPr>
          <w:p w14:paraId="338D3AB2" w14:textId="40F0076D"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2,629,652</w:t>
            </w:r>
          </w:p>
        </w:tc>
        <w:tc>
          <w:tcPr>
            <w:tcW w:w="1398" w:type="dxa"/>
            <w:tcBorders>
              <w:top w:val="single" w:sz="6" w:space="0" w:color="auto"/>
              <w:bottom w:val="single" w:sz="6" w:space="0" w:color="auto"/>
            </w:tcBorders>
            <w:shd w:val="clear" w:color="auto" w:fill="FFFFFF"/>
            <w:vAlign w:val="center"/>
          </w:tcPr>
          <w:p w14:paraId="4C118AF1"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rPr>
            </w:pPr>
            <w:r w:rsidRPr="006A1797">
              <w:rPr>
                <w:rFonts w:ascii="Arial" w:hAnsi="Arial" w:cs="Arial"/>
                <w:color w:val="000000" w:themeColor="text1"/>
                <w:sz w:val="18"/>
                <w:szCs w:val="18"/>
              </w:rPr>
              <w:t>2,488,341</w:t>
            </w:r>
          </w:p>
        </w:tc>
      </w:tr>
      <w:tr w:rsidR="008E7D1C" w:rsidRPr="00EA064F" w14:paraId="6E059283" w14:textId="77777777" w:rsidTr="00CB38F0">
        <w:trPr>
          <w:trHeight w:val="282"/>
          <w:jc w:val="center"/>
        </w:trPr>
        <w:tc>
          <w:tcPr>
            <w:tcW w:w="7108" w:type="dxa"/>
            <w:tcBorders>
              <w:bottom w:val="single" w:sz="4" w:space="0" w:color="C0C0C0"/>
            </w:tcBorders>
            <w:vAlign w:val="center"/>
          </w:tcPr>
          <w:p w14:paraId="62B2A8F2"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b/>
                <w:color w:val="000000" w:themeColor="text1"/>
                <w:sz w:val="18"/>
                <w:szCs w:val="18"/>
                <w:lang w:val="el-GR"/>
              </w:rPr>
            </w:pPr>
            <w:r w:rsidRPr="006A1797">
              <w:rPr>
                <w:rFonts w:ascii="Arial" w:hAnsi="Arial" w:cs="Arial"/>
                <w:b/>
                <w:color w:val="000000" w:themeColor="text1"/>
                <w:sz w:val="18"/>
                <w:szCs w:val="18"/>
                <w:lang w:val="el-GR"/>
              </w:rPr>
              <w:t xml:space="preserve">Σύνολο υποχρεώσεων και ιδίων κεφαλαίων </w:t>
            </w:r>
          </w:p>
        </w:tc>
        <w:tc>
          <w:tcPr>
            <w:tcW w:w="1514" w:type="dxa"/>
            <w:tcBorders>
              <w:top w:val="single" w:sz="6" w:space="0" w:color="auto"/>
              <w:bottom w:val="double" w:sz="6" w:space="0" w:color="auto"/>
            </w:tcBorders>
            <w:shd w:val="clear" w:color="auto" w:fill="auto"/>
            <w:vAlign w:val="center"/>
          </w:tcPr>
          <w:p w14:paraId="7B08496A" w14:textId="3232E4CE" w:rsidR="008E7D1C" w:rsidRPr="006A1797" w:rsidRDefault="008E7D1C" w:rsidP="008E7D1C">
            <w:pPr>
              <w:tabs>
                <w:tab w:val="left" w:pos="0"/>
                <w:tab w:val="left" w:pos="282"/>
                <w:tab w:val="left" w:pos="720"/>
              </w:tabs>
              <w:suppressAutoHyphens/>
              <w:spacing w:after="0" w:line="240" w:lineRule="auto"/>
              <w:jc w:val="right"/>
              <w:rPr>
                <w:rFonts w:ascii="Arial" w:eastAsia="Batang" w:hAnsi="Arial" w:cs="Arial"/>
                <w:b/>
                <w:bCs/>
                <w:color w:val="000000" w:themeColor="text1"/>
                <w:sz w:val="18"/>
                <w:szCs w:val="18"/>
                <w:lang w:val="el-GR" w:eastAsia="en-US"/>
              </w:rPr>
            </w:pPr>
            <w:r w:rsidRPr="006A1797">
              <w:rPr>
                <w:rFonts w:ascii="Arial" w:eastAsia="Batang" w:hAnsi="Arial" w:cs="Arial"/>
                <w:b/>
                <w:bCs/>
                <w:color w:val="000000" w:themeColor="text1"/>
                <w:sz w:val="18"/>
                <w:szCs w:val="18"/>
                <w:lang w:eastAsia="en-US"/>
              </w:rPr>
              <w:t>25,466,170</w:t>
            </w:r>
          </w:p>
        </w:tc>
        <w:tc>
          <w:tcPr>
            <w:tcW w:w="1398" w:type="dxa"/>
            <w:tcBorders>
              <w:top w:val="single" w:sz="6" w:space="0" w:color="auto"/>
              <w:bottom w:val="double" w:sz="6" w:space="0" w:color="auto"/>
            </w:tcBorders>
            <w:shd w:val="clear" w:color="auto" w:fill="FFFFFF"/>
            <w:vAlign w:val="center"/>
          </w:tcPr>
          <w:p w14:paraId="07F5713B" w14:textId="77777777" w:rsidR="008E7D1C" w:rsidRPr="006A1797" w:rsidRDefault="008E7D1C" w:rsidP="008E7D1C">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000000" w:themeColor="text1"/>
                <w:sz w:val="18"/>
                <w:szCs w:val="18"/>
                <w:lang w:val="el-GR"/>
              </w:rPr>
            </w:pPr>
            <w:r w:rsidRPr="006A1797">
              <w:rPr>
                <w:rFonts w:ascii="Arial" w:hAnsi="Arial" w:cs="Arial"/>
                <w:color w:val="000000" w:themeColor="text1"/>
                <w:sz w:val="18"/>
                <w:szCs w:val="18"/>
              </w:rPr>
              <w:t>26,628,577</w:t>
            </w:r>
          </w:p>
        </w:tc>
      </w:tr>
    </w:tbl>
    <w:p w14:paraId="03057815" w14:textId="77777777" w:rsidR="006B5511" w:rsidRDefault="006B5511" w:rsidP="006B5511">
      <w:pPr>
        <w:rPr>
          <w:rFonts w:ascii="Arial" w:hAnsi="Arial" w:cs="Arial"/>
          <w:b/>
          <w:color w:val="FF9900"/>
          <w:sz w:val="24"/>
          <w:szCs w:val="18"/>
          <w:lang w:val="el-GR"/>
        </w:rPr>
      </w:pPr>
    </w:p>
    <w:p w14:paraId="6E2C08B2" w14:textId="4B6126C9" w:rsidR="009C412B" w:rsidRPr="00CB38F0" w:rsidRDefault="004D5CA9" w:rsidP="00CB38F0">
      <w:pPr>
        <w:ind w:left="-284"/>
        <w:rPr>
          <w:rFonts w:ascii="Arial" w:hAnsi="Arial" w:cs="Arial"/>
          <w:b/>
          <w:color w:val="FF9900"/>
          <w:lang w:val="el-GR"/>
        </w:rPr>
      </w:pPr>
      <w:r w:rsidRPr="00CB38F0">
        <w:rPr>
          <w:rFonts w:ascii="Arial" w:hAnsi="Arial" w:cs="Arial"/>
          <w:b/>
          <w:color w:val="FF9900"/>
          <w:sz w:val="24"/>
          <w:szCs w:val="24"/>
          <w:lang w:val="el-GR"/>
        </w:rPr>
        <w:lastRenderedPageBreak/>
        <w:t>Β</w:t>
      </w:r>
      <w:r w:rsidR="009C412B" w:rsidRPr="00CB38F0">
        <w:rPr>
          <w:rFonts w:ascii="Arial" w:hAnsi="Arial" w:cs="Arial"/>
          <w:b/>
          <w:color w:val="FF9900"/>
          <w:sz w:val="24"/>
          <w:szCs w:val="24"/>
          <w:lang w:val="el-GR"/>
        </w:rPr>
        <w:t xml:space="preserve">. Οικονομικά Αποτελέσματα Συγκροτήματος –Υποκείμενη Βάση </w:t>
      </w:r>
    </w:p>
    <w:p w14:paraId="756AD90D" w14:textId="65807179" w:rsidR="00CC2B9B" w:rsidRPr="006B5511" w:rsidRDefault="004D5CA9" w:rsidP="00CB38F0">
      <w:pPr>
        <w:pStyle w:val="ListParagraph"/>
        <w:spacing w:line="360" w:lineRule="auto"/>
        <w:ind w:left="-284"/>
        <w:rPr>
          <w:rFonts w:ascii="Arial" w:hAnsi="Arial" w:cs="Arial"/>
          <w:b/>
          <w:color w:val="FF9900"/>
          <w:sz w:val="22"/>
          <w:szCs w:val="22"/>
          <w:highlight w:val="yellow"/>
          <w:lang w:val="el-GR"/>
        </w:rPr>
      </w:pPr>
      <w:r w:rsidRPr="004D5CA9">
        <w:rPr>
          <w:rFonts w:ascii="Arial" w:hAnsi="Arial" w:cs="Arial"/>
          <w:b/>
          <w:color w:val="FF9900"/>
          <w:sz w:val="22"/>
          <w:szCs w:val="22"/>
          <w:lang w:val="el-GR"/>
        </w:rPr>
        <w:t>Ενδιάμεση Ενοποιημένη Κατάσταση Λογαριασμού Αποτελεσμάτων</w:t>
      </w:r>
    </w:p>
    <w:tbl>
      <w:tblPr>
        <w:tblW w:w="11477" w:type="dxa"/>
        <w:jc w:val="center"/>
        <w:tblLayout w:type="fixed"/>
        <w:tblCellMar>
          <w:left w:w="40" w:type="dxa"/>
          <w:right w:w="40" w:type="dxa"/>
        </w:tblCellMar>
        <w:tblLook w:val="0000" w:firstRow="0" w:lastRow="0" w:firstColumn="0" w:lastColumn="0" w:noHBand="0" w:noVBand="0"/>
      </w:tblPr>
      <w:tblGrid>
        <w:gridCol w:w="4932"/>
        <w:gridCol w:w="1159"/>
        <w:gridCol w:w="1134"/>
        <w:gridCol w:w="1134"/>
        <w:gridCol w:w="1134"/>
        <w:gridCol w:w="992"/>
        <w:gridCol w:w="992"/>
      </w:tblGrid>
      <w:tr w:rsidR="004470C2" w:rsidRPr="006B5511" w14:paraId="75A45F0F" w14:textId="77777777" w:rsidTr="00CB38F0">
        <w:trPr>
          <w:trHeight w:val="420"/>
          <w:jc w:val="center"/>
        </w:trPr>
        <w:tc>
          <w:tcPr>
            <w:tcW w:w="4932"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51D4316F" w14:textId="77777777" w:rsidR="004470C2" w:rsidRPr="00CB38F0" w:rsidRDefault="004470C2" w:rsidP="004470C2">
            <w:pPr>
              <w:tabs>
                <w:tab w:val="left" w:pos="974"/>
                <w:tab w:val="left" w:pos="1416"/>
                <w:tab w:val="decimal" w:pos="4962"/>
                <w:tab w:val="decimal" w:pos="6521"/>
                <w:tab w:val="right" w:pos="7560"/>
                <w:tab w:val="decimal" w:pos="8220"/>
                <w:tab w:val="left" w:pos="8640"/>
                <w:tab w:val="right" w:pos="9000"/>
              </w:tabs>
              <w:suppressAutoHyphens/>
              <w:spacing w:after="0" w:line="240" w:lineRule="auto"/>
              <w:ind w:left="10"/>
              <w:rPr>
                <w:rFonts w:ascii="Arial" w:eastAsia="Times New Roman" w:hAnsi="Arial" w:cs="Arial"/>
                <w:b/>
                <w:sz w:val="18"/>
                <w:szCs w:val="18"/>
                <w:lang w:eastAsia="el-GR"/>
              </w:rPr>
            </w:pPr>
            <w:r w:rsidRPr="00CB38F0">
              <w:rPr>
                <w:rFonts w:ascii="Arial" w:eastAsia="Times New Roman" w:hAnsi="Arial" w:cs="Arial"/>
                <w:b/>
                <w:sz w:val="18"/>
                <w:szCs w:val="18"/>
                <w:lang w:eastAsia="el-GR"/>
              </w:rPr>
              <w:t>€</w:t>
            </w:r>
            <w:r w:rsidRPr="00CB38F0">
              <w:rPr>
                <w:rFonts w:ascii="Arial" w:eastAsia="Times New Roman" w:hAnsi="Arial" w:cs="Arial"/>
                <w:b/>
                <w:sz w:val="18"/>
                <w:szCs w:val="18"/>
                <w:lang w:val="el-GR" w:eastAsia="el-GR"/>
              </w:rPr>
              <w:t xml:space="preserve"> εκατ.</w:t>
            </w:r>
          </w:p>
        </w:tc>
        <w:tc>
          <w:tcPr>
            <w:tcW w:w="1159" w:type="dxa"/>
            <w:tcBorders>
              <w:top w:val="single" w:sz="4" w:space="0" w:color="808080" w:themeColor="background1" w:themeShade="80"/>
              <w:bottom w:val="single" w:sz="4" w:space="0" w:color="808080" w:themeColor="background1" w:themeShade="80"/>
            </w:tcBorders>
          </w:tcPr>
          <w:p w14:paraId="5FE5E59C" w14:textId="3C340E03" w:rsidR="004470C2" w:rsidRPr="00CB38F0" w:rsidRDefault="004470C2" w:rsidP="004470C2">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lang w:val="el-GR" w:eastAsia="el-GR"/>
              </w:rPr>
            </w:pPr>
            <w:r w:rsidRPr="00CB38F0">
              <w:rPr>
                <w:rFonts w:ascii="Arial" w:eastAsia="Times New Roman" w:hAnsi="Arial" w:cs="Arial"/>
                <w:b/>
                <w:bCs/>
                <w:sz w:val="18"/>
                <w:szCs w:val="18"/>
                <w:lang w:val="el-GR" w:eastAsia="el-GR"/>
              </w:rPr>
              <w:t>Α’ εξάμηνο 2024</w:t>
            </w:r>
          </w:p>
        </w:tc>
        <w:tc>
          <w:tcPr>
            <w:tcW w:w="1134" w:type="dxa"/>
            <w:tcBorders>
              <w:top w:val="single" w:sz="4" w:space="0" w:color="808080" w:themeColor="background1" w:themeShade="80"/>
              <w:bottom w:val="single" w:sz="4" w:space="0" w:color="808080" w:themeColor="background1" w:themeShade="80"/>
            </w:tcBorders>
          </w:tcPr>
          <w:p w14:paraId="0D376A08" w14:textId="2DE06CE2" w:rsidR="004470C2" w:rsidRPr="00CB38F0" w:rsidRDefault="004470C2" w:rsidP="004470C2">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lang w:val="el-GR" w:eastAsia="el-GR"/>
              </w:rPr>
            </w:pPr>
            <w:r w:rsidRPr="00CB38F0">
              <w:rPr>
                <w:rFonts w:ascii="Arial" w:eastAsia="Times New Roman" w:hAnsi="Arial" w:cs="Arial"/>
                <w:b/>
                <w:bCs/>
                <w:sz w:val="18"/>
                <w:szCs w:val="18"/>
                <w:lang w:val="el-GR" w:eastAsia="el-GR"/>
              </w:rPr>
              <w:t>Α’ εξάμηνο 2023</w:t>
            </w:r>
          </w:p>
        </w:tc>
        <w:tc>
          <w:tcPr>
            <w:tcW w:w="1134" w:type="dxa"/>
            <w:tcBorders>
              <w:top w:val="single" w:sz="4" w:space="0" w:color="808080" w:themeColor="background1" w:themeShade="80"/>
              <w:bottom w:val="single" w:sz="4" w:space="0" w:color="808080" w:themeColor="background1" w:themeShade="80"/>
            </w:tcBorders>
          </w:tcPr>
          <w:p w14:paraId="21EB7619" w14:textId="33CB5025" w:rsidR="004470C2" w:rsidRPr="00CB38F0" w:rsidRDefault="004470C2" w:rsidP="004470C2">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lang w:val="el-GR" w:eastAsia="el-GR"/>
              </w:rPr>
            </w:pPr>
            <w:r w:rsidRPr="00CB38F0">
              <w:rPr>
                <w:rFonts w:ascii="Arial" w:eastAsia="Times New Roman" w:hAnsi="Arial" w:cs="Arial"/>
                <w:b/>
                <w:bCs/>
                <w:sz w:val="18"/>
                <w:szCs w:val="18"/>
                <w:lang w:val="el-GR" w:eastAsia="el-GR"/>
              </w:rPr>
              <w:t>Β’ τρίμηνο 2024</w:t>
            </w:r>
          </w:p>
        </w:tc>
        <w:tc>
          <w:tcPr>
            <w:tcW w:w="1134" w:type="dxa"/>
            <w:tcBorders>
              <w:top w:val="single" w:sz="4" w:space="0" w:color="808080" w:themeColor="background1" w:themeShade="80"/>
              <w:bottom w:val="single" w:sz="4" w:space="0" w:color="808080" w:themeColor="background1" w:themeShade="80"/>
            </w:tcBorders>
          </w:tcPr>
          <w:p w14:paraId="65A62A9E" w14:textId="19CE72F6" w:rsidR="004470C2" w:rsidRPr="00CB38F0" w:rsidRDefault="004470C2" w:rsidP="004470C2">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lang w:val="el-GR" w:eastAsia="el-GR"/>
              </w:rPr>
            </w:pPr>
            <w:r w:rsidRPr="00CB38F0">
              <w:rPr>
                <w:rFonts w:ascii="Arial" w:eastAsia="Times New Roman" w:hAnsi="Arial" w:cs="Arial"/>
                <w:b/>
                <w:bCs/>
                <w:sz w:val="18"/>
                <w:szCs w:val="18"/>
                <w:lang w:val="el-GR" w:eastAsia="el-GR"/>
              </w:rPr>
              <w:t>Α’ τρίμηνο 2024</w:t>
            </w:r>
          </w:p>
        </w:tc>
        <w:tc>
          <w:tcPr>
            <w:tcW w:w="992" w:type="dxa"/>
            <w:tcBorders>
              <w:top w:val="single" w:sz="4" w:space="0" w:color="808080" w:themeColor="background1" w:themeShade="80"/>
              <w:bottom w:val="single" w:sz="4" w:space="0" w:color="808080" w:themeColor="background1" w:themeShade="80"/>
            </w:tcBorders>
          </w:tcPr>
          <w:p w14:paraId="32BDE93C" w14:textId="77777777" w:rsidR="004470C2" w:rsidRPr="00CB38F0" w:rsidRDefault="004470C2" w:rsidP="004470C2">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8"/>
                <w:szCs w:val="18"/>
                <w:lang w:val="el-GR" w:eastAsia="el-GR"/>
              </w:rPr>
            </w:pPr>
            <w:r w:rsidRPr="00CB38F0">
              <w:rPr>
                <w:rFonts w:ascii="Arial" w:eastAsia="Times New Roman" w:hAnsi="Arial" w:cs="Arial"/>
                <w:bCs/>
                <w:sz w:val="18"/>
                <w:szCs w:val="18"/>
                <w:lang w:val="el-GR" w:eastAsia="el-GR"/>
              </w:rPr>
              <w:t>Τριμηνιαία μεταβολή</w:t>
            </w:r>
          </w:p>
          <w:p w14:paraId="3AA9639C" w14:textId="77777777" w:rsidR="004470C2" w:rsidRPr="00CB38F0" w:rsidRDefault="004470C2" w:rsidP="004470C2">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8"/>
                <w:szCs w:val="18"/>
                <w:lang w:val="el-GR" w:eastAsia="el-GR"/>
              </w:rPr>
            </w:pPr>
            <w:r w:rsidRPr="00CB38F0">
              <w:rPr>
                <w:rFonts w:ascii="Arial" w:eastAsia="Times New Roman" w:hAnsi="Arial" w:cs="Arial"/>
                <w:bCs/>
                <w:sz w:val="18"/>
                <w:szCs w:val="18"/>
                <w:u w:val="single"/>
                <w:lang w:val="el-GR" w:eastAsia="el-GR"/>
              </w:rPr>
              <w:t>+</w:t>
            </w:r>
            <w:r w:rsidRPr="00CB38F0">
              <w:rPr>
                <w:rFonts w:ascii="Arial" w:eastAsia="Times New Roman" w:hAnsi="Arial" w:cs="Arial"/>
                <w:bCs/>
                <w:sz w:val="18"/>
                <w:szCs w:val="18"/>
                <w:lang w:val="el-GR" w:eastAsia="el-GR"/>
              </w:rPr>
              <w:t>%</w:t>
            </w:r>
          </w:p>
        </w:tc>
        <w:tc>
          <w:tcPr>
            <w:tcW w:w="992"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F5F3616" w14:textId="77777777" w:rsidR="004470C2" w:rsidRPr="00CB38F0" w:rsidRDefault="004470C2" w:rsidP="004470C2">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8"/>
                <w:szCs w:val="18"/>
                <w:lang w:val="el-GR" w:eastAsia="el-GR"/>
              </w:rPr>
            </w:pPr>
            <w:r w:rsidRPr="00CB38F0">
              <w:rPr>
                <w:rFonts w:ascii="Arial" w:eastAsia="Times New Roman" w:hAnsi="Arial" w:cs="Arial"/>
                <w:bCs/>
                <w:sz w:val="18"/>
                <w:szCs w:val="18"/>
                <w:lang w:val="el-GR" w:eastAsia="el-GR"/>
              </w:rPr>
              <w:t>Ετήσια μεταβολή</w:t>
            </w:r>
          </w:p>
          <w:p w14:paraId="52AA985F" w14:textId="77777777" w:rsidR="004470C2" w:rsidRPr="00CB38F0" w:rsidRDefault="004470C2" w:rsidP="004470C2">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8"/>
                <w:szCs w:val="18"/>
                <w:lang w:eastAsia="el-GR"/>
              </w:rPr>
            </w:pPr>
            <w:r w:rsidRPr="00CB38F0">
              <w:rPr>
                <w:rFonts w:ascii="Arial" w:eastAsia="Times New Roman" w:hAnsi="Arial" w:cs="Arial"/>
                <w:bCs/>
                <w:sz w:val="18"/>
                <w:szCs w:val="18"/>
                <w:u w:val="single"/>
                <w:lang w:eastAsia="el-GR"/>
              </w:rPr>
              <w:t>+</w:t>
            </w:r>
            <w:r w:rsidRPr="00CB38F0">
              <w:rPr>
                <w:rFonts w:ascii="Arial" w:eastAsia="Times New Roman" w:hAnsi="Arial" w:cs="Arial"/>
                <w:bCs/>
                <w:sz w:val="18"/>
                <w:szCs w:val="18"/>
                <w:lang w:eastAsia="el-GR"/>
              </w:rPr>
              <w:t>%</w:t>
            </w:r>
          </w:p>
        </w:tc>
      </w:tr>
      <w:tr w:rsidR="008E7D1C" w:rsidRPr="006B5511" w14:paraId="2CF129CA" w14:textId="77777777" w:rsidTr="004470C2">
        <w:trPr>
          <w:trHeight w:val="193"/>
          <w:jc w:val="center"/>
        </w:trPr>
        <w:tc>
          <w:tcPr>
            <w:tcW w:w="4932" w:type="dxa"/>
            <w:tcBorders>
              <w:top w:val="single" w:sz="4" w:space="0" w:color="808080" w:themeColor="background1" w:themeShade="80"/>
            </w:tcBorders>
            <w:vAlign w:val="center"/>
          </w:tcPr>
          <w:p w14:paraId="3DDFA787" w14:textId="77777777" w:rsidR="008E7D1C" w:rsidRPr="00CB38F0" w:rsidRDefault="008E7D1C" w:rsidP="008E7D1C">
            <w:pPr>
              <w:tabs>
                <w:tab w:val="left" w:pos="974"/>
                <w:tab w:val="left" w:pos="1416"/>
                <w:tab w:val="decimal" w:pos="4962"/>
                <w:tab w:val="decimal" w:pos="6521"/>
                <w:tab w:val="right" w:pos="7560"/>
                <w:tab w:val="decimal" w:pos="8220"/>
                <w:tab w:val="left" w:pos="8640"/>
                <w:tab w:val="right" w:pos="9000"/>
              </w:tabs>
              <w:suppressAutoHyphens/>
              <w:spacing w:afterLines="20" w:after="48" w:line="240" w:lineRule="auto"/>
              <w:ind w:left="10"/>
              <w:rPr>
                <w:rFonts w:ascii="Arial" w:eastAsia="Times New Roman" w:hAnsi="Arial" w:cs="Arial"/>
                <w:sz w:val="18"/>
                <w:szCs w:val="18"/>
                <w:lang w:eastAsia="el-GR"/>
              </w:rPr>
            </w:pPr>
            <w:r w:rsidRPr="00CB38F0">
              <w:rPr>
                <w:rFonts w:ascii="Arial" w:hAnsi="Arial" w:cs="Arial"/>
                <w:color w:val="000000" w:themeColor="text1"/>
                <w:sz w:val="18"/>
                <w:szCs w:val="18"/>
                <w:lang w:val="el-GR"/>
              </w:rPr>
              <w:t>Καθαρά έσοδα από τόκους</w:t>
            </w:r>
          </w:p>
        </w:tc>
        <w:tc>
          <w:tcPr>
            <w:tcW w:w="1159" w:type="dxa"/>
            <w:tcBorders>
              <w:top w:val="single" w:sz="4" w:space="0" w:color="808080" w:themeColor="background1" w:themeShade="80"/>
            </w:tcBorders>
            <w:vAlign w:val="center"/>
          </w:tcPr>
          <w:p w14:paraId="3993E576" w14:textId="0B8E2978"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eastAsia="el-GR"/>
              </w:rPr>
            </w:pPr>
            <w:r>
              <w:rPr>
                <w:rFonts w:ascii="Arial" w:eastAsia="Times New Roman" w:hAnsi="Arial" w:cs="Arial"/>
                <w:sz w:val="18"/>
                <w:szCs w:val="20"/>
                <w:lang w:eastAsia="el-GR"/>
              </w:rPr>
              <w:t>420</w:t>
            </w:r>
          </w:p>
        </w:tc>
        <w:tc>
          <w:tcPr>
            <w:tcW w:w="1134" w:type="dxa"/>
            <w:tcBorders>
              <w:top w:val="single" w:sz="4" w:space="0" w:color="808080" w:themeColor="background1" w:themeShade="80"/>
              <w:left w:val="nil"/>
              <w:bottom w:val="nil"/>
              <w:right w:val="nil"/>
            </w:tcBorders>
            <w:vAlign w:val="center"/>
          </w:tcPr>
          <w:p w14:paraId="2B43D072" w14:textId="20F86961"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sidRPr="00AA1DCA">
              <w:rPr>
                <w:rFonts w:ascii="Arial" w:eastAsia="Times New Roman" w:hAnsi="Arial" w:cs="Arial"/>
                <w:sz w:val="18"/>
                <w:szCs w:val="20"/>
                <w:lang w:eastAsia="el-GR"/>
              </w:rPr>
              <w:t>358</w:t>
            </w:r>
          </w:p>
        </w:tc>
        <w:tc>
          <w:tcPr>
            <w:tcW w:w="1134" w:type="dxa"/>
            <w:tcBorders>
              <w:top w:val="single" w:sz="4" w:space="0" w:color="808080" w:themeColor="background1" w:themeShade="80"/>
            </w:tcBorders>
            <w:vAlign w:val="center"/>
          </w:tcPr>
          <w:p w14:paraId="63A08159" w14:textId="1E425E21"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Pr>
                <w:rFonts w:ascii="Arial" w:eastAsia="Times New Roman" w:hAnsi="Arial" w:cs="Arial"/>
                <w:sz w:val="18"/>
                <w:szCs w:val="20"/>
                <w:lang w:eastAsia="el-GR"/>
              </w:rPr>
              <w:t>207</w:t>
            </w:r>
          </w:p>
        </w:tc>
        <w:tc>
          <w:tcPr>
            <w:tcW w:w="1134" w:type="dxa"/>
            <w:tcBorders>
              <w:top w:val="single" w:sz="4" w:space="0" w:color="808080" w:themeColor="background1" w:themeShade="80"/>
            </w:tcBorders>
            <w:vAlign w:val="center"/>
          </w:tcPr>
          <w:p w14:paraId="76A6458B" w14:textId="752DC761"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Pr>
                <w:rFonts w:ascii="Arial" w:eastAsia="Times New Roman" w:hAnsi="Arial" w:cs="Arial"/>
                <w:sz w:val="18"/>
                <w:szCs w:val="20"/>
                <w:lang w:eastAsia="el-GR"/>
              </w:rPr>
              <w:t>213</w:t>
            </w:r>
          </w:p>
        </w:tc>
        <w:tc>
          <w:tcPr>
            <w:tcW w:w="992" w:type="dxa"/>
            <w:tcBorders>
              <w:top w:val="single" w:sz="4" w:space="0" w:color="808080" w:themeColor="background1" w:themeShade="80"/>
            </w:tcBorders>
            <w:vAlign w:val="center"/>
          </w:tcPr>
          <w:p w14:paraId="63C6E818" w14:textId="4E3FDC98"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D42E7E">
              <w:rPr>
                <w:rFonts w:ascii="Arial" w:eastAsia="Times New Roman" w:hAnsi="Arial" w:cs="Arial"/>
                <w:sz w:val="18"/>
                <w:szCs w:val="20"/>
                <w:lang w:eastAsia="el-GR"/>
              </w:rPr>
              <w:t>-3%</w:t>
            </w:r>
          </w:p>
        </w:tc>
        <w:tc>
          <w:tcPr>
            <w:tcW w:w="992" w:type="dxa"/>
            <w:tcBorders>
              <w:top w:val="single" w:sz="4" w:space="0" w:color="808080" w:themeColor="background1" w:themeShade="80"/>
            </w:tcBorders>
            <w:shd w:val="clear" w:color="auto" w:fill="auto"/>
            <w:vAlign w:val="center"/>
          </w:tcPr>
          <w:p w14:paraId="60C2D1A2" w14:textId="7A1A4E42"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387DEE">
              <w:rPr>
                <w:rFonts w:ascii="Arial" w:eastAsia="Times New Roman" w:hAnsi="Arial" w:cs="Arial"/>
                <w:sz w:val="18"/>
                <w:szCs w:val="20"/>
                <w:lang w:eastAsia="el-GR"/>
              </w:rPr>
              <w:t>17%</w:t>
            </w:r>
          </w:p>
        </w:tc>
      </w:tr>
      <w:tr w:rsidR="008E7D1C" w:rsidRPr="006B5511" w14:paraId="409CD2A0" w14:textId="77777777" w:rsidTr="004470C2">
        <w:trPr>
          <w:trHeight w:val="193"/>
          <w:jc w:val="center"/>
        </w:trPr>
        <w:tc>
          <w:tcPr>
            <w:tcW w:w="4932" w:type="dxa"/>
            <w:vAlign w:val="center"/>
          </w:tcPr>
          <w:p w14:paraId="3ADD007A" w14:textId="77777777" w:rsidR="008E7D1C" w:rsidRPr="00CB38F0" w:rsidRDefault="008E7D1C" w:rsidP="008E7D1C">
            <w:pPr>
              <w:tabs>
                <w:tab w:val="left" w:pos="0"/>
                <w:tab w:val="left" w:pos="974"/>
                <w:tab w:val="left" w:pos="1416"/>
                <w:tab w:val="decimal" w:pos="4962"/>
                <w:tab w:val="decimal" w:pos="6521"/>
                <w:tab w:val="right" w:pos="7560"/>
                <w:tab w:val="decimal" w:pos="8220"/>
                <w:tab w:val="left" w:pos="8640"/>
                <w:tab w:val="right" w:pos="9000"/>
              </w:tabs>
              <w:suppressAutoHyphens/>
              <w:spacing w:afterLines="20" w:after="48" w:line="240" w:lineRule="auto"/>
              <w:rPr>
                <w:rFonts w:ascii="Arial" w:eastAsia="Times New Roman" w:hAnsi="Arial" w:cs="Arial"/>
                <w:bCs/>
                <w:sz w:val="18"/>
                <w:szCs w:val="18"/>
                <w:lang w:val="el-GR" w:eastAsia="el-GR"/>
              </w:rPr>
            </w:pPr>
            <w:r w:rsidRPr="00CB38F0">
              <w:rPr>
                <w:rFonts w:ascii="Arial" w:hAnsi="Arial" w:cs="Arial"/>
                <w:color w:val="000000" w:themeColor="text1"/>
                <w:sz w:val="18"/>
                <w:szCs w:val="18"/>
                <w:lang w:val="el-GR"/>
              </w:rPr>
              <w:t>Καθαρά έσοδα από αμοιβές και προμήθειες</w:t>
            </w:r>
          </w:p>
        </w:tc>
        <w:tc>
          <w:tcPr>
            <w:tcW w:w="1159" w:type="dxa"/>
            <w:vAlign w:val="center"/>
          </w:tcPr>
          <w:p w14:paraId="39E7B13C" w14:textId="5E392427"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val="el-GR" w:eastAsia="el-GR"/>
              </w:rPr>
            </w:pPr>
            <w:r>
              <w:rPr>
                <w:rFonts w:ascii="Arial" w:eastAsia="Times New Roman" w:hAnsi="Arial" w:cs="Arial"/>
                <w:sz w:val="18"/>
                <w:szCs w:val="20"/>
                <w:lang w:eastAsia="el-GR"/>
              </w:rPr>
              <w:t>86</w:t>
            </w:r>
          </w:p>
        </w:tc>
        <w:tc>
          <w:tcPr>
            <w:tcW w:w="1134" w:type="dxa"/>
            <w:vAlign w:val="center"/>
          </w:tcPr>
          <w:p w14:paraId="73414417" w14:textId="3D9E0D6F"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Pr>
                <w:rFonts w:ascii="Arial" w:eastAsia="Times New Roman" w:hAnsi="Arial" w:cs="Arial"/>
                <w:sz w:val="18"/>
                <w:szCs w:val="20"/>
                <w:lang w:eastAsia="el-GR"/>
              </w:rPr>
              <w:t>90</w:t>
            </w:r>
          </w:p>
        </w:tc>
        <w:tc>
          <w:tcPr>
            <w:tcW w:w="1134" w:type="dxa"/>
            <w:vAlign w:val="center"/>
          </w:tcPr>
          <w:p w14:paraId="29DE2E94" w14:textId="18022805"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Pr>
                <w:rFonts w:ascii="Arial" w:eastAsia="Times New Roman" w:hAnsi="Arial" w:cs="Arial"/>
                <w:sz w:val="18"/>
                <w:szCs w:val="20"/>
                <w:lang w:eastAsia="el-GR"/>
              </w:rPr>
              <w:t>44</w:t>
            </w:r>
          </w:p>
        </w:tc>
        <w:tc>
          <w:tcPr>
            <w:tcW w:w="1134" w:type="dxa"/>
            <w:vAlign w:val="center"/>
          </w:tcPr>
          <w:p w14:paraId="6EF30DDE" w14:textId="3962A59B"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Pr>
                <w:rFonts w:ascii="Arial" w:eastAsia="Times New Roman" w:hAnsi="Arial" w:cs="Arial"/>
                <w:sz w:val="18"/>
                <w:szCs w:val="20"/>
                <w:lang w:eastAsia="el-GR"/>
              </w:rPr>
              <w:t>42</w:t>
            </w:r>
          </w:p>
        </w:tc>
        <w:tc>
          <w:tcPr>
            <w:tcW w:w="992" w:type="dxa"/>
            <w:vAlign w:val="center"/>
          </w:tcPr>
          <w:p w14:paraId="7D67F754" w14:textId="4E39A22F"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D42E7E">
              <w:rPr>
                <w:rFonts w:ascii="Arial" w:eastAsia="Times New Roman" w:hAnsi="Arial" w:cs="Arial"/>
                <w:sz w:val="18"/>
                <w:szCs w:val="20"/>
                <w:lang w:eastAsia="el-GR"/>
              </w:rPr>
              <w:t>5%</w:t>
            </w:r>
          </w:p>
        </w:tc>
        <w:tc>
          <w:tcPr>
            <w:tcW w:w="992" w:type="dxa"/>
            <w:shd w:val="clear" w:color="auto" w:fill="auto"/>
            <w:vAlign w:val="center"/>
          </w:tcPr>
          <w:p w14:paraId="1888511F" w14:textId="3D43CFD9"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387DEE">
              <w:rPr>
                <w:rFonts w:ascii="Arial" w:eastAsia="Times New Roman" w:hAnsi="Arial" w:cs="Arial"/>
                <w:sz w:val="18"/>
                <w:szCs w:val="20"/>
                <w:lang w:eastAsia="el-GR"/>
              </w:rPr>
              <w:t>-4%</w:t>
            </w:r>
          </w:p>
        </w:tc>
      </w:tr>
      <w:tr w:rsidR="008E7D1C" w:rsidRPr="006B5511" w14:paraId="065A996B" w14:textId="77777777" w:rsidTr="004470C2">
        <w:trPr>
          <w:trHeight w:val="193"/>
          <w:jc w:val="center"/>
        </w:trPr>
        <w:tc>
          <w:tcPr>
            <w:tcW w:w="4932" w:type="dxa"/>
            <w:vAlign w:val="center"/>
          </w:tcPr>
          <w:p w14:paraId="5B491F16" w14:textId="53BCED1A" w:rsidR="008E7D1C" w:rsidRPr="00CB38F0" w:rsidRDefault="008E7D1C" w:rsidP="008E7D1C">
            <w:pPr>
              <w:tabs>
                <w:tab w:val="left" w:pos="0"/>
                <w:tab w:val="left" w:pos="974"/>
                <w:tab w:val="left" w:pos="1416"/>
                <w:tab w:val="decimal" w:pos="4962"/>
                <w:tab w:val="decimal" w:pos="6521"/>
                <w:tab w:val="right" w:pos="7560"/>
                <w:tab w:val="decimal" w:pos="8220"/>
                <w:tab w:val="left" w:pos="8640"/>
                <w:tab w:val="right" w:pos="9000"/>
              </w:tabs>
              <w:suppressAutoHyphens/>
              <w:spacing w:afterLines="20" w:after="48" w:line="240" w:lineRule="auto"/>
              <w:rPr>
                <w:rFonts w:ascii="Arial" w:hAnsi="Arial" w:cs="Arial"/>
                <w:sz w:val="18"/>
                <w:szCs w:val="18"/>
                <w:lang w:val="el-GR"/>
              </w:rPr>
            </w:pPr>
            <w:r w:rsidRPr="00CB38F0">
              <w:rPr>
                <w:rFonts w:ascii="Arial" w:hAnsi="Arial" w:cs="Arial"/>
                <w:sz w:val="18"/>
                <w:szCs w:val="18"/>
                <w:lang w:val="el-GR"/>
              </w:rPr>
              <w:t>Καθαρά κέρδη από διαπραγμάτευση συναλλάγματος και καθαρά κέρδη</w:t>
            </w:r>
            <w:r w:rsidR="00212BA8" w:rsidRPr="006A1797">
              <w:rPr>
                <w:rFonts w:ascii="Arial" w:hAnsi="Arial" w:cs="Arial"/>
                <w:sz w:val="18"/>
                <w:szCs w:val="18"/>
                <w:lang w:val="el-GR"/>
              </w:rPr>
              <w:t xml:space="preserve"> </w:t>
            </w:r>
            <w:r w:rsidRPr="00CB38F0">
              <w:rPr>
                <w:rFonts w:ascii="Arial" w:hAnsi="Arial" w:cs="Arial"/>
                <w:sz w:val="18"/>
                <w:szCs w:val="18"/>
                <w:lang w:val="el-GR"/>
              </w:rPr>
              <w:t>από χρηματοοικονομικά μέσα</w:t>
            </w:r>
          </w:p>
        </w:tc>
        <w:tc>
          <w:tcPr>
            <w:tcW w:w="1159" w:type="dxa"/>
            <w:vAlign w:val="center"/>
          </w:tcPr>
          <w:p w14:paraId="40FA70E4" w14:textId="11E0D896"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val="el-GR" w:eastAsia="el-GR"/>
              </w:rPr>
            </w:pPr>
            <w:r>
              <w:rPr>
                <w:rFonts w:ascii="Arial" w:eastAsia="Times New Roman" w:hAnsi="Arial" w:cs="Arial"/>
                <w:sz w:val="18"/>
                <w:szCs w:val="20"/>
                <w:lang w:eastAsia="el-GR"/>
              </w:rPr>
              <w:t>13</w:t>
            </w:r>
          </w:p>
        </w:tc>
        <w:tc>
          <w:tcPr>
            <w:tcW w:w="1134" w:type="dxa"/>
            <w:vAlign w:val="center"/>
          </w:tcPr>
          <w:p w14:paraId="21C5A32B" w14:textId="639CEAC0"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Pr>
                <w:rFonts w:ascii="Arial" w:eastAsia="Times New Roman" w:hAnsi="Arial" w:cs="Arial"/>
                <w:sz w:val="18"/>
                <w:szCs w:val="20"/>
                <w:lang w:eastAsia="el-GR"/>
              </w:rPr>
              <w:t>21</w:t>
            </w:r>
          </w:p>
        </w:tc>
        <w:tc>
          <w:tcPr>
            <w:tcW w:w="1134" w:type="dxa"/>
            <w:vAlign w:val="center"/>
          </w:tcPr>
          <w:p w14:paraId="36117C77" w14:textId="50107EA4"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Pr>
                <w:rFonts w:ascii="Arial" w:eastAsia="Times New Roman" w:hAnsi="Arial" w:cs="Arial"/>
                <w:sz w:val="18"/>
                <w:szCs w:val="20"/>
                <w:lang w:eastAsia="el-GR"/>
              </w:rPr>
              <w:t>6</w:t>
            </w:r>
          </w:p>
        </w:tc>
        <w:tc>
          <w:tcPr>
            <w:tcW w:w="1134" w:type="dxa"/>
            <w:vAlign w:val="center"/>
          </w:tcPr>
          <w:p w14:paraId="19D9E7B0" w14:textId="140FC833"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Pr>
                <w:rFonts w:ascii="Arial" w:eastAsia="Times New Roman" w:hAnsi="Arial" w:cs="Arial"/>
                <w:sz w:val="18"/>
                <w:szCs w:val="20"/>
                <w:lang w:eastAsia="el-GR"/>
              </w:rPr>
              <w:t>7</w:t>
            </w:r>
          </w:p>
        </w:tc>
        <w:tc>
          <w:tcPr>
            <w:tcW w:w="992" w:type="dxa"/>
            <w:vAlign w:val="center"/>
          </w:tcPr>
          <w:p w14:paraId="5799FD83" w14:textId="215E5CBA"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jc w:val="center"/>
              <w:rPr>
                <w:rFonts w:ascii="Arial" w:eastAsia="Times New Roman" w:hAnsi="Arial" w:cs="Arial"/>
                <w:sz w:val="18"/>
                <w:szCs w:val="18"/>
                <w:highlight w:val="yellow"/>
                <w:lang w:eastAsia="el-GR"/>
              </w:rPr>
            </w:pPr>
            <w:r w:rsidRPr="00D42E7E">
              <w:rPr>
                <w:rFonts w:ascii="Arial" w:eastAsia="Times New Roman" w:hAnsi="Arial" w:cs="Arial"/>
                <w:sz w:val="18"/>
                <w:szCs w:val="20"/>
                <w:lang w:eastAsia="el-GR"/>
              </w:rPr>
              <w:t>-2</w:t>
            </w:r>
            <w:r>
              <w:rPr>
                <w:rFonts w:ascii="Arial" w:eastAsia="Times New Roman" w:hAnsi="Arial" w:cs="Arial"/>
                <w:sz w:val="18"/>
                <w:szCs w:val="20"/>
                <w:lang w:eastAsia="el-GR"/>
              </w:rPr>
              <w:t>0</w:t>
            </w:r>
            <w:r w:rsidRPr="00D42E7E">
              <w:rPr>
                <w:rFonts w:ascii="Arial" w:eastAsia="Times New Roman" w:hAnsi="Arial" w:cs="Arial"/>
                <w:sz w:val="18"/>
                <w:szCs w:val="20"/>
                <w:lang w:eastAsia="el-GR"/>
              </w:rPr>
              <w:t>%</w:t>
            </w:r>
          </w:p>
        </w:tc>
        <w:tc>
          <w:tcPr>
            <w:tcW w:w="992" w:type="dxa"/>
            <w:shd w:val="clear" w:color="auto" w:fill="auto"/>
            <w:vAlign w:val="center"/>
          </w:tcPr>
          <w:p w14:paraId="499F7BBB" w14:textId="01DB851B"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jc w:val="center"/>
              <w:rPr>
                <w:rFonts w:ascii="Arial" w:eastAsia="Times New Roman" w:hAnsi="Arial" w:cs="Arial"/>
                <w:color w:val="000000" w:themeColor="text1"/>
                <w:sz w:val="18"/>
                <w:szCs w:val="18"/>
                <w:highlight w:val="yellow"/>
                <w:lang w:eastAsia="el-GR"/>
              </w:rPr>
            </w:pPr>
            <w:r w:rsidRPr="00387DEE">
              <w:rPr>
                <w:rFonts w:ascii="Arial" w:eastAsia="Times New Roman" w:hAnsi="Arial" w:cs="Arial"/>
                <w:sz w:val="18"/>
                <w:szCs w:val="20"/>
                <w:lang w:eastAsia="el-GR"/>
              </w:rPr>
              <w:t>-3</w:t>
            </w:r>
            <w:r>
              <w:rPr>
                <w:rFonts w:ascii="Arial" w:eastAsia="Times New Roman" w:hAnsi="Arial" w:cs="Arial"/>
                <w:sz w:val="18"/>
                <w:szCs w:val="20"/>
                <w:lang w:eastAsia="el-GR"/>
              </w:rPr>
              <w:t>8</w:t>
            </w:r>
            <w:r w:rsidRPr="00387DEE">
              <w:rPr>
                <w:rFonts w:ascii="Arial" w:eastAsia="Times New Roman" w:hAnsi="Arial" w:cs="Arial"/>
                <w:sz w:val="18"/>
                <w:szCs w:val="20"/>
                <w:lang w:eastAsia="el-GR"/>
              </w:rPr>
              <w:t>%</w:t>
            </w:r>
          </w:p>
        </w:tc>
      </w:tr>
      <w:tr w:rsidR="008E7D1C" w:rsidRPr="006B5511" w14:paraId="43C52DA4" w14:textId="77777777" w:rsidTr="004470C2">
        <w:trPr>
          <w:trHeight w:val="193"/>
          <w:jc w:val="center"/>
        </w:trPr>
        <w:tc>
          <w:tcPr>
            <w:tcW w:w="4932" w:type="dxa"/>
            <w:vAlign w:val="center"/>
          </w:tcPr>
          <w:p w14:paraId="5CBC413C" w14:textId="77777777" w:rsidR="008E7D1C" w:rsidRPr="00CB38F0" w:rsidRDefault="008E7D1C" w:rsidP="008E7D1C">
            <w:pPr>
              <w:tabs>
                <w:tab w:val="left" w:pos="0"/>
                <w:tab w:val="left" w:pos="974"/>
                <w:tab w:val="left" w:pos="1416"/>
                <w:tab w:val="decimal" w:pos="4962"/>
                <w:tab w:val="decimal" w:pos="6521"/>
                <w:tab w:val="right" w:pos="7560"/>
                <w:tab w:val="decimal" w:pos="8220"/>
                <w:tab w:val="left" w:pos="8640"/>
                <w:tab w:val="right" w:pos="9000"/>
              </w:tabs>
              <w:suppressAutoHyphens/>
              <w:spacing w:afterLines="20" w:after="48" w:line="240" w:lineRule="auto"/>
              <w:rPr>
                <w:rFonts w:ascii="Arial" w:hAnsi="Arial" w:cs="Arial"/>
                <w:sz w:val="18"/>
                <w:szCs w:val="18"/>
                <w:lang w:val="el-GR"/>
              </w:rPr>
            </w:pPr>
            <w:r w:rsidRPr="00CB38F0">
              <w:rPr>
                <w:rFonts w:ascii="Arial" w:hAnsi="Arial" w:cs="Arial"/>
                <w:sz w:val="18"/>
                <w:szCs w:val="18"/>
                <w:lang w:val="el-GR"/>
              </w:rPr>
              <w:t>Καθαρό αποτέλεσμα από ασφαλιστικές εργασίες</w:t>
            </w:r>
          </w:p>
        </w:tc>
        <w:tc>
          <w:tcPr>
            <w:tcW w:w="1159" w:type="dxa"/>
            <w:vAlign w:val="center"/>
          </w:tcPr>
          <w:p w14:paraId="6EA09BBD" w14:textId="5D8E17ED"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val="el-GR" w:eastAsia="el-GR"/>
              </w:rPr>
            </w:pPr>
            <w:r>
              <w:rPr>
                <w:rFonts w:ascii="Arial" w:eastAsia="Times New Roman" w:hAnsi="Arial" w:cs="Arial"/>
                <w:sz w:val="18"/>
                <w:szCs w:val="20"/>
                <w:lang w:eastAsia="el-GR"/>
              </w:rPr>
              <w:t>23</w:t>
            </w:r>
          </w:p>
        </w:tc>
        <w:tc>
          <w:tcPr>
            <w:tcW w:w="1134" w:type="dxa"/>
            <w:vAlign w:val="center"/>
          </w:tcPr>
          <w:p w14:paraId="7F033242" w14:textId="2FEA830B"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sidRPr="00AA1DCA">
              <w:rPr>
                <w:rFonts w:ascii="Arial" w:eastAsia="Times New Roman" w:hAnsi="Arial" w:cs="Arial"/>
                <w:sz w:val="18"/>
                <w:szCs w:val="20"/>
                <w:lang w:eastAsia="el-GR"/>
              </w:rPr>
              <w:t>25</w:t>
            </w:r>
          </w:p>
        </w:tc>
        <w:tc>
          <w:tcPr>
            <w:tcW w:w="1134" w:type="dxa"/>
            <w:vAlign w:val="center"/>
          </w:tcPr>
          <w:p w14:paraId="38ABFEBF" w14:textId="1203C55F"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Pr>
                <w:rFonts w:ascii="Arial" w:eastAsia="Times New Roman" w:hAnsi="Arial" w:cs="Arial"/>
                <w:sz w:val="18"/>
                <w:szCs w:val="20"/>
                <w:lang w:eastAsia="el-GR"/>
              </w:rPr>
              <w:t>13</w:t>
            </w:r>
          </w:p>
        </w:tc>
        <w:tc>
          <w:tcPr>
            <w:tcW w:w="1134" w:type="dxa"/>
            <w:vAlign w:val="center"/>
          </w:tcPr>
          <w:p w14:paraId="7B65529E" w14:textId="5B01C569"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sidRPr="00A80F70">
              <w:rPr>
                <w:rFonts w:ascii="Arial" w:eastAsia="Times New Roman" w:hAnsi="Arial" w:cs="Arial"/>
                <w:sz w:val="18"/>
                <w:szCs w:val="20"/>
                <w:lang w:eastAsia="el-GR"/>
              </w:rPr>
              <w:t>10</w:t>
            </w:r>
          </w:p>
        </w:tc>
        <w:tc>
          <w:tcPr>
            <w:tcW w:w="992" w:type="dxa"/>
            <w:vAlign w:val="center"/>
          </w:tcPr>
          <w:p w14:paraId="791F6670" w14:textId="71679921"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D42E7E">
              <w:rPr>
                <w:rFonts w:ascii="Arial" w:eastAsia="Times New Roman" w:hAnsi="Arial" w:cs="Arial"/>
                <w:sz w:val="18"/>
                <w:szCs w:val="20"/>
                <w:lang w:eastAsia="el-GR"/>
              </w:rPr>
              <w:t>30%</w:t>
            </w:r>
          </w:p>
        </w:tc>
        <w:tc>
          <w:tcPr>
            <w:tcW w:w="992" w:type="dxa"/>
            <w:shd w:val="clear" w:color="auto" w:fill="auto"/>
            <w:vAlign w:val="center"/>
          </w:tcPr>
          <w:p w14:paraId="44A9DE62" w14:textId="45924E6A"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color w:val="000000" w:themeColor="text1"/>
                <w:sz w:val="18"/>
                <w:szCs w:val="18"/>
                <w:highlight w:val="yellow"/>
                <w:lang w:eastAsia="el-GR"/>
              </w:rPr>
            </w:pPr>
            <w:r w:rsidRPr="00387DEE">
              <w:rPr>
                <w:rFonts w:ascii="Arial" w:eastAsia="Times New Roman" w:hAnsi="Arial" w:cs="Arial"/>
                <w:sz w:val="18"/>
                <w:szCs w:val="20"/>
                <w:lang w:eastAsia="el-GR"/>
              </w:rPr>
              <w:t>-7%</w:t>
            </w:r>
          </w:p>
        </w:tc>
      </w:tr>
      <w:tr w:rsidR="008E7D1C" w:rsidRPr="006B5511" w14:paraId="6B7BF85D" w14:textId="77777777" w:rsidTr="004470C2">
        <w:trPr>
          <w:trHeight w:val="193"/>
          <w:jc w:val="center"/>
        </w:trPr>
        <w:tc>
          <w:tcPr>
            <w:tcW w:w="4932" w:type="dxa"/>
            <w:vAlign w:val="center"/>
          </w:tcPr>
          <w:p w14:paraId="7E74D6D3" w14:textId="77777777" w:rsidR="008E7D1C" w:rsidRPr="00CB38F0" w:rsidRDefault="008E7D1C" w:rsidP="008E7D1C">
            <w:pPr>
              <w:tabs>
                <w:tab w:val="left" w:pos="0"/>
                <w:tab w:val="left" w:pos="974"/>
                <w:tab w:val="left" w:pos="1416"/>
                <w:tab w:val="decimal" w:pos="4962"/>
                <w:tab w:val="decimal" w:pos="6521"/>
                <w:tab w:val="right" w:pos="7560"/>
                <w:tab w:val="decimal" w:pos="8220"/>
                <w:tab w:val="left" w:pos="8640"/>
                <w:tab w:val="right" w:pos="9000"/>
              </w:tabs>
              <w:suppressAutoHyphens/>
              <w:spacing w:afterLines="20" w:after="48" w:line="240" w:lineRule="auto"/>
              <w:rPr>
                <w:rFonts w:ascii="Arial" w:eastAsia="Times New Roman" w:hAnsi="Arial" w:cs="Arial"/>
                <w:bCs/>
                <w:sz w:val="18"/>
                <w:szCs w:val="18"/>
                <w:lang w:val="el-GR" w:eastAsia="el-GR"/>
              </w:rPr>
            </w:pPr>
            <w:r w:rsidRPr="00CB38F0">
              <w:rPr>
                <w:rFonts w:ascii="Arial" w:hAnsi="Arial" w:cs="Arial"/>
                <w:sz w:val="18"/>
                <w:szCs w:val="18"/>
                <w:lang w:val="el-GR"/>
              </w:rPr>
              <w:t>Καθαρά κέρδη/(ζημιές) από επανεκτίμηση και πώληση επενδύσεων σε ακίνητα και από πώληση αποθεμάτων ακινήτων</w:t>
            </w:r>
          </w:p>
        </w:tc>
        <w:tc>
          <w:tcPr>
            <w:tcW w:w="1159" w:type="dxa"/>
            <w:vAlign w:val="center"/>
          </w:tcPr>
          <w:p w14:paraId="2E7DF1B0" w14:textId="18D70516"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val="el-GR" w:eastAsia="el-GR"/>
              </w:rPr>
            </w:pPr>
            <w:r>
              <w:rPr>
                <w:rFonts w:ascii="Arial" w:eastAsia="Times New Roman" w:hAnsi="Arial" w:cs="Arial"/>
                <w:sz w:val="18"/>
                <w:szCs w:val="20"/>
                <w:lang w:eastAsia="el-GR"/>
              </w:rPr>
              <w:t>2</w:t>
            </w:r>
          </w:p>
        </w:tc>
        <w:tc>
          <w:tcPr>
            <w:tcW w:w="1134" w:type="dxa"/>
            <w:vAlign w:val="center"/>
          </w:tcPr>
          <w:p w14:paraId="4D12EC04" w14:textId="4DF5731B"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sidRPr="00AA1DCA">
              <w:rPr>
                <w:rFonts w:ascii="Arial" w:eastAsia="Times New Roman" w:hAnsi="Arial" w:cs="Arial"/>
                <w:sz w:val="18"/>
                <w:szCs w:val="20"/>
                <w:lang w:eastAsia="el-GR"/>
              </w:rPr>
              <w:t>5</w:t>
            </w:r>
          </w:p>
        </w:tc>
        <w:tc>
          <w:tcPr>
            <w:tcW w:w="1134" w:type="dxa"/>
            <w:vAlign w:val="center"/>
          </w:tcPr>
          <w:p w14:paraId="69F52FF7" w14:textId="2AB7300C"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Pr>
                <w:rFonts w:ascii="Arial" w:eastAsia="Times New Roman" w:hAnsi="Arial" w:cs="Arial"/>
                <w:sz w:val="18"/>
                <w:szCs w:val="20"/>
                <w:lang w:eastAsia="el-GR"/>
              </w:rPr>
              <w:t>1</w:t>
            </w:r>
          </w:p>
        </w:tc>
        <w:tc>
          <w:tcPr>
            <w:tcW w:w="1134" w:type="dxa"/>
            <w:vAlign w:val="center"/>
          </w:tcPr>
          <w:p w14:paraId="1169920B" w14:textId="32A04799"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Pr>
                <w:rFonts w:ascii="Arial" w:eastAsia="Times New Roman" w:hAnsi="Arial" w:cs="Arial"/>
                <w:sz w:val="18"/>
                <w:szCs w:val="20"/>
                <w:lang w:eastAsia="el-GR"/>
              </w:rPr>
              <w:t>1</w:t>
            </w:r>
          </w:p>
        </w:tc>
        <w:tc>
          <w:tcPr>
            <w:tcW w:w="992" w:type="dxa"/>
            <w:vAlign w:val="center"/>
          </w:tcPr>
          <w:p w14:paraId="1A1469FE" w14:textId="14A1C1FD"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Pr>
                <w:rFonts w:ascii="Arial" w:eastAsia="Times New Roman" w:hAnsi="Arial" w:cs="Arial"/>
                <w:sz w:val="18"/>
                <w:szCs w:val="20"/>
                <w:lang w:eastAsia="el-GR"/>
              </w:rPr>
              <w:t>39</w:t>
            </w:r>
            <w:r w:rsidRPr="00D42E7E">
              <w:rPr>
                <w:rFonts w:ascii="Arial" w:eastAsia="Times New Roman" w:hAnsi="Arial" w:cs="Arial"/>
                <w:sz w:val="18"/>
                <w:szCs w:val="20"/>
                <w:lang w:eastAsia="el-GR"/>
              </w:rPr>
              <w:t>%</w:t>
            </w:r>
          </w:p>
        </w:tc>
        <w:tc>
          <w:tcPr>
            <w:tcW w:w="992" w:type="dxa"/>
            <w:shd w:val="clear" w:color="auto" w:fill="auto"/>
            <w:vAlign w:val="center"/>
          </w:tcPr>
          <w:p w14:paraId="1C32FF61" w14:textId="2CBB1CD3"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color w:val="000000" w:themeColor="text1"/>
                <w:sz w:val="18"/>
                <w:szCs w:val="18"/>
                <w:highlight w:val="yellow"/>
                <w:lang w:eastAsia="el-GR"/>
              </w:rPr>
            </w:pPr>
            <w:r w:rsidRPr="00387DEE">
              <w:rPr>
                <w:rFonts w:ascii="Arial" w:eastAsia="Times New Roman" w:hAnsi="Arial" w:cs="Arial"/>
                <w:sz w:val="18"/>
                <w:szCs w:val="20"/>
                <w:lang w:eastAsia="el-GR"/>
              </w:rPr>
              <w:t>-7</w:t>
            </w:r>
            <w:r>
              <w:rPr>
                <w:rFonts w:ascii="Arial" w:eastAsia="Times New Roman" w:hAnsi="Arial" w:cs="Arial"/>
                <w:sz w:val="18"/>
                <w:szCs w:val="20"/>
                <w:lang w:eastAsia="el-GR"/>
              </w:rPr>
              <w:t>2</w:t>
            </w:r>
            <w:r w:rsidRPr="00387DEE">
              <w:rPr>
                <w:rFonts w:ascii="Arial" w:eastAsia="Times New Roman" w:hAnsi="Arial" w:cs="Arial"/>
                <w:sz w:val="18"/>
                <w:szCs w:val="20"/>
                <w:lang w:eastAsia="el-GR"/>
              </w:rPr>
              <w:t>%</w:t>
            </w:r>
          </w:p>
        </w:tc>
      </w:tr>
      <w:tr w:rsidR="008E7D1C" w:rsidRPr="006B5511" w14:paraId="6F354D9E" w14:textId="77777777" w:rsidTr="004470C2">
        <w:trPr>
          <w:trHeight w:val="59"/>
          <w:jc w:val="center"/>
        </w:trPr>
        <w:tc>
          <w:tcPr>
            <w:tcW w:w="4932" w:type="dxa"/>
            <w:tcBorders>
              <w:bottom w:val="single" w:sz="4" w:space="0" w:color="808080" w:themeColor="background1" w:themeShade="80"/>
            </w:tcBorders>
            <w:vAlign w:val="center"/>
          </w:tcPr>
          <w:p w14:paraId="0DF3F69C" w14:textId="77777777" w:rsidR="008E7D1C" w:rsidRPr="00CB38F0" w:rsidRDefault="008E7D1C" w:rsidP="008E7D1C">
            <w:pPr>
              <w:tabs>
                <w:tab w:val="left" w:pos="0"/>
                <w:tab w:val="left" w:pos="974"/>
                <w:tab w:val="left" w:pos="1416"/>
                <w:tab w:val="decimal" w:pos="4962"/>
                <w:tab w:val="decimal" w:pos="6521"/>
                <w:tab w:val="right" w:pos="7560"/>
                <w:tab w:val="decimal" w:pos="8220"/>
                <w:tab w:val="left" w:pos="8640"/>
                <w:tab w:val="right" w:pos="9000"/>
              </w:tabs>
              <w:suppressAutoHyphens/>
              <w:spacing w:afterLines="20" w:after="48" w:line="240" w:lineRule="auto"/>
              <w:rPr>
                <w:rFonts w:ascii="Arial" w:eastAsia="Times New Roman" w:hAnsi="Arial" w:cs="Arial"/>
                <w:bCs/>
                <w:sz w:val="18"/>
                <w:szCs w:val="18"/>
                <w:lang w:eastAsia="el-GR"/>
              </w:rPr>
            </w:pPr>
            <w:r w:rsidRPr="00CB38F0">
              <w:rPr>
                <w:rFonts w:ascii="Arial" w:hAnsi="Arial" w:cs="Arial"/>
                <w:color w:val="000000" w:themeColor="text1"/>
                <w:sz w:val="18"/>
                <w:szCs w:val="18"/>
              </w:rPr>
              <w:t>Λοιπά έσοδα</w:t>
            </w:r>
          </w:p>
        </w:tc>
        <w:tc>
          <w:tcPr>
            <w:tcW w:w="1159" w:type="dxa"/>
            <w:tcBorders>
              <w:bottom w:val="single" w:sz="4" w:space="0" w:color="808080" w:themeColor="background1" w:themeShade="80"/>
            </w:tcBorders>
            <w:vAlign w:val="center"/>
          </w:tcPr>
          <w:p w14:paraId="15E62F83" w14:textId="214DA458"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eastAsia="el-GR"/>
              </w:rPr>
            </w:pPr>
            <w:r>
              <w:rPr>
                <w:rFonts w:ascii="Arial" w:eastAsia="Times New Roman" w:hAnsi="Arial" w:cs="Arial"/>
                <w:sz w:val="18"/>
                <w:szCs w:val="20"/>
                <w:lang w:eastAsia="el-GR"/>
              </w:rPr>
              <w:t>5</w:t>
            </w:r>
          </w:p>
        </w:tc>
        <w:tc>
          <w:tcPr>
            <w:tcW w:w="1134" w:type="dxa"/>
            <w:tcBorders>
              <w:top w:val="nil"/>
              <w:left w:val="nil"/>
              <w:bottom w:val="single" w:sz="4" w:space="0" w:color="808080" w:themeColor="background1" w:themeShade="80"/>
              <w:right w:val="nil"/>
            </w:tcBorders>
            <w:vAlign w:val="center"/>
          </w:tcPr>
          <w:p w14:paraId="6B4A84C1" w14:textId="21B0E606"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sidRPr="00AA1DCA">
              <w:rPr>
                <w:rFonts w:ascii="Arial" w:eastAsia="Times New Roman" w:hAnsi="Arial" w:cs="Arial"/>
                <w:sz w:val="18"/>
                <w:szCs w:val="20"/>
                <w:lang w:eastAsia="el-GR"/>
              </w:rPr>
              <w:t>12</w:t>
            </w:r>
          </w:p>
        </w:tc>
        <w:tc>
          <w:tcPr>
            <w:tcW w:w="1134" w:type="dxa"/>
            <w:tcBorders>
              <w:bottom w:val="single" w:sz="4" w:space="0" w:color="808080" w:themeColor="background1" w:themeShade="80"/>
            </w:tcBorders>
            <w:vAlign w:val="center"/>
          </w:tcPr>
          <w:p w14:paraId="24D3C664" w14:textId="1F649CD4"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Pr>
                <w:rFonts w:ascii="Arial" w:eastAsia="Times New Roman" w:hAnsi="Arial" w:cs="Arial"/>
                <w:sz w:val="18"/>
                <w:szCs w:val="20"/>
                <w:lang w:eastAsia="el-GR"/>
              </w:rPr>
              <w:t>2</w:t>
            </w:r>
          </w:p>
        </w:tc>
        <w:tc>
          <w:tcPr>
            <w:tcW w:w="1134" w:type="dxa"/>
            <w:tcBorders>
              <w:bottom w:val="single" w:sz="4" w:space="0" w:color="808080" w:themeColor="background1" w:themeShade="80"/>
            </w:tcBorders>
            <w:vAlign w:val="center"/>
          </w:tcPr>
          <w:p w14:paraId="3D74E8EB" w14:textId="695AF83D"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sidRPr="00A80F70">
              <w:rPr>
                <w:rFonts w:ascii="Arial" w:eastAsia="Times New Roman" w:hAnsi="Arial" w:cs="Arial"/>
                <w:sz w:val="18"/>
                <w:szCs w:val="20"/>
                <w:lang w:eastAsia="el-GR"/>
              </w:rPr>
              <w:t>3</w:t>
            </w:r>
          </w:p>
        </w:tc>
        <w:tc>
          <w:tcPr>
            <w:tcW w:w="992" w:type="dxa"/>
            <w:tcBorders>
              <w:bottom w:val="single" w:sz="4" w:space="0" w:color="808080" w:themeColor="background1" w:themeShade="80"/>
            </w:tcBorders>
            <w:vAlign w:val="center"/>
          </w:tcPr>
          <w:p w14:paraId="4918425B" w14:textId="2A54FAB5"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D42E7E">
              <w:rPr>
                <w:rFonts w:ascii="Arial" w:eastAsia="Times New Roman" w:hAnsi="Arial" w:cs="Arial"/>
                <w:sz w:val="18"/>
                <w:szCs w:val="20"/>
                <w:lang w:eastAsia="el-GR"/>
              </w:rPr>
              <w:t>-2</w:t>
            </w:r>
            <w:r>
              <w:rPr>
                <w:rFonts w:ascii="Arial" w:eastAsia="Times New Roman" w:hAnsi="Arial" w:cs="Arial"/>
                <w:sz w:val="18"/>
                <w:szCs w:val="20"/>
                <w:lang w:eastAsia="el-GR"/>
              </w:rPr>
              <w:t>2</w:t>
            </w:r>
            <w:r w:rsidRPr="00D42E7E">
              <w:rPr>
                <w:rFonts w:ascii="Arial" w:eastAsia="Times New Roman" w:hAnsi="Arial" w:cs="Arial"/>
                <w:sz w:val="18"/>
                <w:szCs w:val="20"/>
                <w:lang w:eastAsia="el-GR"/>
              </w:rPr>
              <w:t>%</w:t>
            </w:r>
          </w:p>
        </w:tc>
        <w:tc>
          <w:tcPr>
            <w:tcW w:w="992" w:type="dxa"/>
            <w:tcBorders>
              <w:bottom w:val="single" w:sz="4" w:space="0" w:color="808080" w:themeColor="background1" w:themeShade="80"/>
            </w:tcBorders>
            <w:shd w:val="clear" w:color="auto" w:fill="auto"/>
            <w:vAlign w:val="center"/>
          </w:tcPr>
          <w:p w14:paraId="42B685BC" w14:textId="60142CA5"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387DEE">
              <w:rPr>
                <w:rFonts w:ascii="Arial" w:eastAsia="Times New Roman" w:hAnsi="Arial" w:cs="Arial"/>
                <w:sz w:val="18"/>
                <w:szCs w:val="20"/>
                <w:lang w:eastAsia="el-GR"/>
              </w:rPr>
              <w:t>-5</w:t>
            </w:r>
            <w:r>
              <w:rPr>
                <w:rFonts w:ascii="Arial" w:eastAsia="Times New Roman" w:hAnsi="Arial" w:cs="Arial"/>
                <w:sz w:val="18"/>
                <w:szCs w:val="20"/>
                <w:lang w:eastAsia="el-GR"/>
              </w:rPr>
              <w:t>7</w:t>
            </w:r>
            <w:r w:rsidRPr="00387DEE">
              <w:rPr>
                <w:rFonts w:ascii="Arial" w:eastAsia="Times New Roman" w:hAnsi="Arial" w:cs="Arial"/>
                <w:sz w:val="18"/>
                <w:szCs w:val="20"/>
                <w:lang w:eastAsia="el-GR"/>
              </w:rPr>
              <w:t>%</w:t>
            </w:r>
          </w:p>
        </w:tc>
      </w:tr>
      <w:tr w:rsidR="008E7D1C" w:rsidRPr="006B5511" w14:paraId="4788DBF6" w14:textId="77777777" w:rsidTr="004470C2">
        <w:trPr>
          <w:trHeight w:val="50"/>
          <w:jc w:val="center"/>
        </w:trPr>
        <w:tc>
          <w:tcPr>
            <w:tcW w:w="4932"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6AEF9BCF" w14:textId="77777777" w:rsidR="008E7D1C" w:rsidRPr="00CB38F0" w:rsidRDefault="008E7D1C" w:rsidP="008E7D1C">
            <w:pPr>
              <w:tabs>
                <w:tab w:val="left" w:pos="0"/>
                <w:tab w:val="left" w:pos="974"/>
                <w:tab w:val="left" w:pos="1416"/>
                <w:tab w:val="decimal" w:pos="4962"/>
                <w:tab w:val="decimal" w:pos="6521"/>
                <w:tab w:val="right" w:pos="7560"/>
                <w:tab w:val="decimal" w:pos="8220"/>
                <w:tab w:val="left" w:pos="8640"/>
                <w:tab w:val="right" w:pos="9000"/>
              </w:tabs>
              <w:suppressAutoHyphens/>
              <w:spacing w:afterLines="20" w:after="48" w:line="240" w:lineRule="auto"/>
              <w:rPr>
                <w:rFonts w:ascii="Arial" w:eastAsia="Times New Roman" w:hAnsi="Arial" w:cs="Arial"/>
                <w:b/>
                <w:sz w:val="18"/>
                <w:szCs w:val="18"/>
                <w:lang w:eastAsia="el-GR"/>
              </w:rPr>
            </w:pPr>
            <w:r w:rsidRPr="00CB38F0">
              <w:rPr>
                <w:rFonts w:ascii="Arial" w:hAnsi="Arial" w:cs="Arial"/>
                <w:b/>
                <w:bCs/>
                <w:color w:val="000000" w:themeColor="text1"/>
                <w:sz w:val="18"/>
                <w:szCs w:val="18"/>
              </w:rPr>
              <w:t>Σύνολο εσόδων</w:t>
            </w:r>
          </w:p>
        </w:tc>
        <w:tc>
          <w:tcPr>
            <w:tcW w:w="1159" w:type="dxa"/>
            <w:tcBorders>
              <w:top w:val="single" w:sz="4" w:space="0" w:color="808080" w:themeColor="background1" w:themeShade="80"/>
              <w:left w:val="nil"/>
              <w:bottom w:val="single" w:sz="4" w:space="0" w:color="808080" w:themeColor="background1" w:themeShade="80"/>
            </w:tcBorders>
            <w:vAlign w:val="center"/>
          </w:tcPr>
          <w:p w14:paraId="758C8956" w14:textId="0101A98F" w:rsidR="008E7D1C" w:rsidRPr="004470C2"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20"/>
                <w:highlight w:val="yellow"/>
                <w:lang w:eastAsia="el-GR"/>
              </w:rPr>
            </w:pPr>
            <w:r>
              <w:rPr>
                <w:rFonts w:ascii="Arial" w:eastAsia="Times New Roman" w:hAnsi="Arial" w:cs="Arial"/>
                <w:b/>
                <w:bCs/>
                <w:sz w:val="18"/>
                <w:szCs w:val="20"/>
                <w:lang w:eastAsia="el-GR"/>
              </w:rPr>
              <w:t>549</w:t>
            </w:r>
          </w:p>
        </w:tc>
        <w:tc>
          <w:tcPr>
            <w:tcW w:w="1134" w:type="dxa"/>
            <w:tcBorders>
              <w:top w:val="single" w:sz="4" w:space="0" w:color="808080" w:themeColor="background1" w:themeShade="80"/>
              <w:left w:val="nil"/>
              <w:bottom w:val="single" w:sz="4" w:space="0" w:color="808080" w:themeColor="background1" w:themeShade="80"/>
              <w:right w:val="nil"/>
            </w:tcBorders>
            <w:vAlign w:val="center"/>
          </w:tcPr>
          <w:p w14:paraId="014B5D7B" w14:textId="240B634C"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20"/>
                <w:lang w:eastAsia="el-GR"/>
              </w:rPr>
            </w:pPr>
            <w:r w:rsidRPr="00AA1DCA">
              <w:rPr>
                <w:rFonts w:ascii="Arial" w:eastAsia="Times New Roman" w:hAnsi="Arial" w:cs="Arial"/>
                <w:b/>
                <w:bCs/>
                <w:sz w:val="18"/>
                <w:szCs w:val="20"/>
                <w:lang w:eastAsia="el-GR"/>
              </w:rPr>
              <w:t>511</w:t>
            </w:r>
          </w:p>
        </w:tc>
        <w:tc>
          <w:tcPr>
            <w:tcW w:w="1134" w:type="dxa"/>
            <w:tcBorders>
              <w:top w:val="single" w:sz="4" w:space="0" w:color="808080" w:themeColor="background1" w:themeShade="80"/>
              <w:bottom w:val="single" w:sz="4" w:space="0" w:color="808080" w:themeColor="background1" w:themeShade="80"/>
            </w:tcBorders>
            <w:vAlign w:val="center"/>
          </w:tcPr>
          <w:p w14:paraId="434DF92C" w14:textId="1A4D5C21" w:rsidR="008E7D1C" w:rsidRPr="004470C2"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18"/>
                <w:highlight w:val="yellow"/>
                <w:lang w:eastAsia="el-GR"/>
              </w:rPr>
            </w:pPr>
            <w:r w:rsidRPr="00D42E7E">
              <w:rPr>
                <w:rFonts w:ascii="Arial" w:eastAsia="Times New Roman" w:hAnsi="Arial" w:cs="Arial"/>
                <w:b/>
                <w:bCs/>
                <w:sz w:val="18"/>
                <w:szCs w:val="20"/>
                <w:lang w:eastAsia="el-GR"/>
              </w:rPr>
              <w:t>273</w:t>
            </w:r>
          </w:p>
        </w:tc>
        <w:tc>
          <w:tcPr>
            <w:tcW w:w="1134" w:type="dxa"/>
            <w:tcBorders>
              <w:top w:val="single" w:sz="4" w:space="0" w:color="808080" w:themeColor="background1" w:themeShade="80"/>
              <w:bottom w:val="single" w:sz="4" w:space="0" w:color="808080" w:themeColor="background1" w:themeShade="80"/>
            </w:tcBorders>
            <w:vAlign w:val="center"/>
          </w:tcPr>
          <w:p w14:paraId="2FAC3D88" w14:textId="29A0C5D1"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20"/>
                <w:lang w:eastAsia="el-GR"/>
              </w:rPr>
            </w:pPr>
            <w:r w:rsidRPr="00A80F70">
              <w:rPr>
                <w:rFonts w:ascii="Arial" w:eastAsia="Times New Roman" w:hAnsi="Arial" w:cs="Arial"/>
                <w:b/>
                <w:bCs/>
                <w:sz w:val="18"/>
                <w:szCs w:val="20"/>
                <w:lang w:eastAsia="el-GR"/>
              </w:rPr>
              <w:t>2</w:t>
            </w:r>
            <w:r>
              <w:rPr>
                <w:rFonts w:ascii="Arial" w:eastAsia="Times New Roman" w:hAnsi="Arial" w:cs="Arial"/>
                <w:b/>
                <w:bCs/>
                <w:sz w:val="18"/>
                <w:szCs w:val="20"/>
                <w:lang w:eastAsia="el-GR"/>
              </w:rPr>
              <w:t>76</w:t>
            </w:r>
          </w:p>
        </w:tc>
        <w:tc>
          <w:tcPr>
            <w:tcW w:w="992" w:type="dxa"/>
            <w:tcBorders>
              <w:top w:val="single" w:sz="4" w:space="0" w:color="808080" w:themeColor="background1" w:themeShade="80"/>
              <w:bottom w:val="single" w:sz="4" w:space="0" w:color="808080" w:themeColor="background1" w:themeShade="80"/>
            </w:tcBorders>
            <w:vAlign w:val="center"/>
          </w:tcPr>
          <w:p w14:paraId="7DC16571" w14:textId="639CC460"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18"/>
                <w:highlight w:val="yellow"/>
                <w:lang w:eastAsia="el-GR"/>
              </w:rPr>
            </w:pPr>
            <w:r w:rsidRPr="00D42E7E">
              <w:rPr>
                <w:rFonts w:ascii="Arial" w:eastAsia="Times New Roman" w:hAnsi="Arial" w:cs="Arial"/>
                <w:b/>
                <w:bCs/>
                <w:sz w:val="18"/>
                <w:szCs w:val="20"/>
                <w:lang w:eastAsia="el-GR"/>
              </w:rPr>
              <w:t>-1%</w:t>
            </w:r>
          </w:p>
        </w:tc>
        <w:tc>
          <w:tcPr>
            <w:tcW w:w="992"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F5DAB7D" w14:textId="2F00DFAB"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18"/>
                <w:highlight w:val="yellow"/>
                <w:lang w:eastAsia="el-GR"/>
              </w:rPr>
            </w:pPr>
            <w:r w:rsidRPr="00387DEE">
              <w:rPr>
                <w:rFonts w:ascii="Arial" w:eastAsia="Times New Roman" w:hAnsi="Arial" w:cs="Arial"/>
                <w:b/>
                <w:bCs/>
                <w:sz w:val="18"/>
                <w:szCs w:val="20"/>
                <w:lang w:eastAsia="el-GR"/>
              </w:rPr>
              <w:t>7%</w:t>
            </w:r>
          </w:p>
        </w:tc>
      </w:tr>
      <w:tr w:rsidR="008E7D1C" w:rsidRPr="006B5511" w14:paraId="114E79B6" w14:textId="77777777" w:rsidTr="004470C2">
        <w:trPr>
          <w:trHeight w:val="193"/>
          <w:jc w:val="center"/>
        </w:trPr>
        <w:tc>
          <w:tcPr>
            <w:tcW w:w="4932" w:type="dxa"/>
            <w:tcBorders>
              <w:top w:val="single" w:sz="4" w:space="0" w:color="808080" w:themeColor="background1" w:themeShade="80"/>
            </w:tcBorders>
            <w:vAlign w:val="center"/>
          </w:tcPr>
          <w:p w14:paraId="686B4874" w14:textId="77777777" w:rsidR="008E7D1C" w:rsidRPr="00CB38F0" w:rsidRDefault="008E7D1C" w:rsidP="008E7D1C">
            <w:pPr>
              <w:tabs>
                <w:tab w:val="left" w:pos="0"/>
                <w:tab w:val="left" w:pos="974"/>
                <w:tab w:val="left" w:pos="1416"/>
                <w:tab w:val="decimal" w:pos="4962"/>
                <w:tab w:val="decimal" w:pos="6521"/>
                <w:tab w:val="right" w:pos="7560"/>
                <w:tab w:val="decimal" w:pos="8220"/>
                <w:tab w:val="left" w:pos="8640"/>
                <w:tab w:val="right" w:pos="9000"/>
              </w:tabs>
              <w:suppressAutoHyphens/>
              <w:spacing w:afterLines="20" w:after="48" w:line="240" w:lineRule="auto"/>
              <w:rPr>
                <w:rFonts w:ascii="Arial" w:eastAsia="Times New Roman" w:hAnsi="Arial" w:cs="Arial"/>
                <w:bCs/>
                <w:sz w:val="18"/>
                <w:szCs w:val="18"/>
                <w:lang w:eastAsia="el-GR"/>
              </w:rPr>
            </w:pPr>
            <w:r w:rsidRPr="00CB38F0">
              <w:rPr>
                <w:rFonts w:ascii="Arial" w:hAnsi="Arial" w:cs="Arial"/>
                <w:color w:val="000000" w:themeColor="text1"/>
                <w:sz w:val="18"/>
                <w:szCs w:val="18"/>
              </w:rPr>
              <w:t>Κόστος προσωπικού</w:t>
            </w:r>
          </w:p>
        </w:tc>
        <w:tc>
          <w:tcPr>
            <w:tcW w:w="1159" w:type="dxa"/>
            <w:tcBorders>
              <w:top w:val="single" w:sz="4" w:space="0" w:color="808080" w:themeColor="background1" w:themeShade="80"/>
            </w:tcBorders>
            <w:vAlign w:val="center"/>
          </w:tcPr>
          <w:p w14:paraId="0E10169C" w14:textId="4F917B50"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eastAsia="el-GR"/>
              </w:rPr>
            </w:pPr>
            <w:r>
              <w:rPr>
                <w:rFonts w:ascii="Arial" w:eastAsia="Times New Roman" w:hAnsi="Arial" w:cs="Arial"/>
                <w:sz w:val="18"/>
                <w:szCs w:val="20"/>
                <w:lang w:eastAsia="el-GR"/>
              </w:rPr>
              <w:t>(96)</w:t>
            </w:r>
          </w:p>
        </w:tc>
        <w:tc>
          <w:tcPr>
            <w:tcW w:w="1134" w:type="dxa"/>
            <w:tcBorders>
              <w:top w:val="single" w:sz="4" w:space="0" w:color="808080" w:themeColor="background1" w:themeShade="80"/>
              <w:left w:val="nil"/>
              <w:bottom w:val="nil"/>
              <w:right w:val="nil"/>
            </w:tcBorders>
            <w:vAlign w:val="center"/>
          </w:tcPr>
          <w:p w14:paraId="5BAF3635" w14:textId="47CE2E6D"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sidRPr="00AA1DCA">
              <w:rPr>
                <w:rFonts w:ascii="Arial" w:eastAsia="Times New Roman" w:hAnsi="Arial" w:cs="Arial"/>
                <w:sz w:val="18"/>
                <w:szCs w:val="20"/>
                <w:lang w:eastAsia="el-GR"/>
              </w:rPr>
              <w:t>(93)</w:t>
            </w:r>
          </w:p>
        </w:tc>
        <w:tc>
          <w:tcPr>
            <w:tcW w:w="1134" w:type="dxa"/>
            <w:tcBorders>
              <w:top w:val="single" w:sz="4" w:space="0" w:color="808080" w:themeColor="background1" w:themeShade="80"/>
            </w:tcBorders>
            <w:vAlign w:val="center"/>
          </w:tcPr>
          <w:p w14:paraId="6BBF68CA" w14:textId="374FCB6B"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Pr>
                <w:rFonts w:ascii="Arial" w:eastAsia="Times New Roman" w:hAnsi="Arial" w:cs="Arial"/>
                <w:sz w:val="18"/>
                <w:szCs w:val="20"/>
                <w:lang w:eastAsia="el-GR"/>
              </w:rPr>
              <w:t>(48)</w:t>
            </w:r>
          </w:p>
        </w:tc>
        <w:tc>
          <w:tcPr>
            <w:tcW w:w="1134" w:type="dxa"/>
            <w:tcBorders>
              <w:top w:val="single" w:sz="4" w:space="0" w:color="808080" w:themeColor="background1" w:themeShade="80"/>
            </w:tcBorders>
            <w:vAlign w:val="center"/>
          </w:tcPr>
          <w:p w14:paraId="2CA18800" w14:textId="5D842B95"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sidRPr="00A80F70">
              <w:rPr>
                <w:rFonts w:ascii="Arial" w:eastAsia="Times New Roman" w:hAnsi="Arial" w:cs="Arial"/>
                <w:sz w:val="18"/>
                <w:szCs w:val="20"/>
                <w:lang w:eastAsia="el-GR"/>
              </w:rPr>
              <w:t>(4</w:t>
            </w:r>
            <w:r>
              <w:rPr>
                <w:rFonts w:ascii="Arial" w:eastAsia="Times New Roman" w:hAnsi="Arial" w:cs="Arial"/>
                <w:sz w:val="18"/>
                <w:szCs w:val="20"/>
                <w:lang w:eastAsia="el-GR"/>
              </w:rPr>
              <w:t>8</w:t>
            </w:r>
            <w:r w:rsidRPr="00A80F70">
              <w:rPr>
                <w:rFonts w:ascii="Arial" w:eastAsia="Times New Roman" w:hAnsi="Arial" w:cs="Arial"/>
                <w:sz w:val="18"/>
                <w:szCs w:val="20"/>
                <w:lang w:eastAsia="el-GR"/>
              </w:rPr>
              <w:t>)</w:t>
            </w:r>
          </w:p>
        </w:tc>
        <w:tc>
          <w:tcPr>
            <w:tcW w:w="992" w:type="dxa"/>
            <w:tcBorders>
              <w:top w:val="single" w:sz="4" w:space="0" w:color="808080" w:themeColor="background1" w:themeShade="80"/>
            </w:tcBorders>
            <w:vAlign w:val="center"/>
          </w:tcPr>
          <w:p w14:paraId="4BEB3999" w14:textId="4693679A"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D42E7E">
              <w:rPr>
                <w:rFonts w:ascii="Arial" w:eastAsia="Times New Roman" w:hAnsi="Arial" w:cs="Arial"/>
                <w:sz w:val="18"/>
                <w:szCs w:val="20"/>
                <w:lang w:eastAsia="el-GR"/>
              </w:rPr>
              <w:t>1%</w:t>
            </w:r>
          </w:p>
        </w:tc>
        <w:tc>
          <w:tcPr>
            <w:tcW w:w="992" w:type="dxa"/>
            <w:tcBorders>
              <w:top w:val="single" w:sz="4" w:space="0" w:color="808080" w:themeColor="background1" w:themeShade="80"/>
            </w:tcBorders>
            <w:shd w:val="clear" w:color="auto" w:fill="auto"/>
            <w:vAlign w:val="center"/>
          </w:tcPr>
          <w:p w14:paraId="1A0D7501" w14:textId="5FA625CA"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A22076">
              <w:rPr>
                <w:rFonts w:ascii="Arial" w:eastAsia="Times New Roman" w:hAnsi="Arial" w:cs="Arial"/>
                <w:sz w:val="18"/>
                <w:szCs w:val="20"/>
                <w:lang w:eastAsia="el-GR"/>
              </w:rPr>
              <w:t>3%</w:t>
            </w:r>
          </w:p>
        </w:tc>
      </w:tr>
      <w:tr w:rsidR="008E7D1C" w:rsidRPr="006B5511" w14:paraId="0D4BE08E" w14:textId="77777777" w:rsidTr="004470C2">
        <w:trPr>
          <w:trHeight w:val="193"/>
          <w:jc w:val="center"/>
        </w:trPr>
        <w:tc>
          <w:tcPr>
            <w:tcW w:w="4932" w:type="dxa"/>
            <w:vAlign w:val="center"/>
          </w:tcPr>
          <w:p w14:paraId="0AA00680" w14:textId="77777777" w:rsidR="008E7D1C" w:rsidRPr="00CB38F0" w:rsidRDefault="008E7D1C" w:rsidP="008E7D1C">
            <w:pPr>
              <w:tabs>
                <w:tab w:val="left" w:pos="0"/>
                <w:tab w:val="left" w:pos="974"/>
                <w:tab w:val="left" w:pos="1416"/>
                <w:tab w:val="decimal" w:pos="4962"/>
                <w:tab w:val="decimal" w:pos="6521"/>
                <w:tab w:val="right" w:pos="7560"/>
                <w:tab w:val="decimal" w:pos="8220"/>
                <w:tab w:val="left" w:pos="8640"/>
                <w:tab w:val="right" w:pos="9000"/>
              </w:tabs>
              <w:suppressAutoHyphens/>
              <w:spacing w:afterLines="20" w:after="48" w:line="240" w:lineRule="auto"/>
              <w:rPr>
                <w:rFonts w:ascii="Arial" w:eastAsia="Times New Roman" w:hAnsi="Arial" w:cs="Arial"/>
                <w:bCs/>
                <w:sz w:val="18"/>
                <w:szCs w:val="18"/>
                <w:lang w:eastAsia="el-GR"/>
              </w:rPr>
            </w:pPr>
            <w:r w:rsidRPr="00CB38F0">
              <w:rPr>
                <w:rFonts w:ascii="Arial" w:hAnsi="Arial" w:cs="Arial"/>
                <w:color w:val="000000" w:themeColor="text1"/>
                <w:sz w:val="18"/>
                <w:szCs w:val="18"/>
              </w:rPr>
              <w:t>Άλλα λειτουργικά έξοδα</w:t>
            </w:r>
          </w:p>
        </w:tc>
        <w:tc>
          <w:tcPr>
            <w:tcW w:w="1159" w:type="dxa"/>
            <w:vAlign w:val="center"/>
          </w:tcPr>
          <w:p w14:paraId="29BF8E0D" w14:textId="0404964C"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eastAsia="el-GR"/>
              </w:rPr>
            </w:pPr>
            <w:r>
              <w:rPr>
                <w:rFonts w:ascii="Arial" w:eastAsia="Times New Roman" w:hAnsi="Arial" w:cs="Arial"/>
                <w:sz w:val="18"/>
                <w:szCs w:val="20"/>
                <w:lang w:eastAsia="el-GR"/>
              </w:rPr>
              <w:t>(71)</w:t>
            </w:r>
          </w:p>
        </w:tc>
        <w:tc>
          <w:tcPr>
            <w:tcW w:w="1134" w:type="dxa"/>
            <w:vAlign w:val="center"/>
          </w:tcPr>
          <w:p w14:paraId="25B30D57" w14:textId="77B25FC5"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sidRPr="00AA1DCA">
              <w:rPr>
                <w:rFonts w:ascii="Arial" w:eastAsia="Times New Roman" w:hAnsi="Arial" w:cs="Arial"/>
                <w:sz w:val="18"/>
                <w:szCs w:val="20"/>
                <w:lang w:eastAsia="el-GR"/>
              </w:rPr>
              <w:t>(69)</w:t>
            </w:r>
          </w:p>
        </w:tc>
        <w:tc>
          <w:tcPr>
            <w:tcW w:w="1134" w:type="dxa"/>
            <w:vAlign w:val="center"/>
          </w:tcPr>
          <w:p w14:paraId="61139540" w14:textId="52992132"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Pr>
                <w:rFonts w:ascii="Arial" w:eastAsia="Times New Roman" w:hAnsi="Arial" w:cs="Arial"/>
                <w:sz w:val="18"/>
                <w:szCs w:val="20"/>
                <w:lang w:eastAsia="el-GR"/>
              </w:rPr>
              <w:t>(38)</w:t>
            </w:r>
          </w:p>
        </w:tc>
        <w:tc>
          <w:tcPr>
            <w:tcW w:w="1134" w:type="dxa"/>
            <w:vAlign w:val="center"/>
          </w:tcPr>
          <w:p w14:paraId="1B20465D" w14:textId="15701D6B"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sidRPr="00A80F70">
              <w:rPr>
                <w:rFonts w:ascii="Arial" w:eastAsia="Times New Roman" w:hAnsi="Arial" w:cs="Arial"/>
                <w:sz w:val="18"/>
                <w:szCs w:val="20"/>
                <w:lang w:eastAsia="el-GR"/>
              </w:rPr>
              <w:t>(3</w:t>
            </w:r>
            <w:r>
              <w:rPr>
                <w:rFonts w:ascii="Arial" w:eastAsia="Times New Roman" w:hAnsi="Arial" w:cs="Arial"/>
                <w:sz w:val="18"/>
                <w:szCs w:val="20"/>
                <w:lang w:eastAsia="el-GR"/>
              </w:rPr>
              <w:t>3</w:t>
            </w:r>
            <w:r w:rsidRPr="00A80F70">
              <w:rPr>
                <w:rFonts w:ascii="Arial" w:eastAsia="Times New Roman" w:hAnsi="Arial" w:cs="Arial"/>
                <w:sz w:val="18"/>
                <w:szCs w:val="20"/>
                <w:lang w:eastAsia="el-GR"/>
              </w:rPr>
              <w:t>)</w:t>
            </w:r>
          </w:p>
        </w:tc>
        <w:tc>
          <w:tcPr>
            <w:tcW w:w="992" w:type="dxa"/>
            <w:vAlign w:val="center"/>
          </w:tcPr>
          <w:p w14:paraId="40382258" w14:textId="6486E4D8" w:rsidR="008E7D1C" w:rsidRPr="006B5511" w:rsidDel="00027A6E"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D42E7E">
              <w:rPr>
                <w:rFonts w:ascii="Arial" w:eastAsia="Times New Roman" w:hAnsi="Arial" w:cs="Arial"/>
                <w:sz w:val="18"/>
                <w:szCs w:val="20"/>
                <w:lang w:eastAsia="el-GR"/>
              </w:rPr>
              <w:t>1</w:t>
            </w:r>
            <w:r>
              <w:rPr>
                <w:rFonts w:ascii="Arial" w:eastAsia="Times New Roman" w:hAnsi="Arial" w:cs="Arial"/>
                <w:sz w:val="18"/>
                <w:szCs w:val="20"/>
                <w:lang w:eastAsia="el-GR"/>
              </w:rPr>
              <w:t>5</w:t>
            </w:r>
            <w:r w:rsidRPr="00D42E7E">
              <w:rPr>
                <w:rFonts w:ascii="Arial" w:eastAsia="Times New Roman" w:hAnsi="Arial" w:cs="Arial"/>
                <w:sz w:val="18"/>
                <w:szCs w:val="20"/>
                <w:lang w:eastAsia="el-GR"/>
              </w:rPr>
              <w:t>%</w:t>
            </w:r>
          </w:p>
        </w:tc>
        <w:tc>
          <w:tcPr>
            <w:tcW w:w="992" w:type="dxa"/>
            <w:shd w:val="clear" w:color="auto" w:fill="auto"/>
            <w:vAlign w:val="center"/>
          </w:tcPr>
          <w:p w14:paraId="448A6B87" w14:textId="2A0B6F15"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Pr>
                <w:rFonts w:ascii="Arial" w:eastAsia="Times New Roman" w:hAnsi="Arial" w:cs="Arial"/>
                <w:sz w:val="18"/>
                <w:szCs w:val="20"/>
                <w:lang w:eastAsia="el-GR"/>
              </w:rPr>
              <w:t>4</w:t>
            </w:r>
            <w:r w:rsidRPr="00A22076">
              <w:rPr>
                <w:rFonts w:ascii="Arial" w:eastAsia="Times New Roman" w:hAnsi="Arial" w:cs="Arial"/>
                <w:sz w:val="18"/>
                <w:szCs w:val="20"/>
                <w:lang w:eastAsia="el-GR"/>
              </w:rPr>
              <w:t>%</w:t>
            </w:r>
          </w:p>
        </w:tc>
      </w:tr>
      <w:tr w:rsidR="008E7D1C" w:rsidRPr="006B5511" w14:paraId="2046F8E1" w14:textId="77777777" w:rsidTr="004470C2">
        <w:trPr>
          <w:trHeight w:val="193"/>
          <w:jc w:val="center"/>
        </w:trPr>
        <w:tc>
          <w:tcPr>
            <w:tcW w:w="4932" w:type="dxa"/>
            <w:vAlign w:val="center"/>
          </w:tcPr>
          <w:p w14:paraId="32F25824" w14:textId="77777777" w:rsidR="008E7D1C" w:rsidRPr="00CB38F0" w:rsidRDefault="008E7D1C" w:rsidP="008E7D1C">
            <w:pPr>
              <w:tabs>
                <w:tab w:val="left" w:pos="0"/>
                <w:tab w:val="left" w:pos="974"/>
                <w:tab w:val="left" w:pos="1416"/>
                <w:tab w:val="decimal" w:pos="4962"/>
                <w:tab w:val="decimal" w:pos="6521"/>
                <w:tab w:val="right" w:pos="7560"/>
                <w:tab w:val="decimal" w:pos="8220"/>
                <w:tab w:val="left" w:pos="8640"/>
                <w:tab w:val="right" w:pos="9000"/>
              </w:tabs>
              <w:suppressAutoHyphens/>
              <w:spacing w:afterLines="20" w:after="48" w:line="240" w:lineRule="auto"/>
              <w:rPr>
                <w:rFonts w:ascii="Arial" w:eastAsia="Times New Roman" w:hAnsi="Arial" w:cs="Arial"/>
                <w:bCs/>
                <w:sz w:val="18"/>
                <w:szCs w:val="18"/>
                <w:lang w:val="el-GR" w:eastAsia="el-GR"/>
              </w:rPr>
            </w:pPr>
            <w:r w:rsidRPr="00CB38F0">
              <w:rPr>
                <w:rFonts w:ascii="Arial" w:hAnsi="Arial" w:cs="Arial"/>
                <w:color w:val="000000" w:themeColor="text1"/>
                <w:sz w:val="18"/>
                <w:szCs w:val="18"/>
                <w:lang w:val="el-GR"/>
              </w:rPr>
              <w:t>Ειδικός φόρος επί των καταθέσεων και άλλα τέλη/εισφορές</w:t>
            </w:r>
          </w:p>
        </w:tc>
        <w:tc>
          <w:tcPr>
            <w:tcW w:w="1159" w:type="dxa"/>
            <w:vAlign w:val="center"/>
          </w:tcPr>
          <w:p w14:paraId="465D679D" w14:textId="13B14F2D"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val="el-GR" w:eastAsia="el-GR"/>
              </w:rPr>
            </w:pPr>
            <w:r>
              <w:rPr>
                <w:rFonts w:ascii="Arial" w:eastAsia="Times New Roman" w:hAnsi="Arial" w:cs="Arial"/>
                <w:sz w:val="18"/>
                <w:szCs w:val="20"/>
                <w:lang w:eastAsia="el-GR"/>
              </w:rPr>
              <w:t>(19)</w:t>
            </w:r>
          </w:p>
        </w:tc>
        <w:tc>
          <w:tcPr>
            <w:tcW w:w="1134" w:type="dxa"/>
            <w:vAlign w:val="center"/>
          </w:tcPr>
          <w:p w14:paraId="378EBAB4" w14:textId="215EB1E8"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sidRPr="00AA1DCA">
              <w:rPr>
                <w:rFonts w:ascii="Arial" w:eastAsia="Times New Roman" w:hAnsi="Arial" w:cs="Arial"/>
                <w:sz w:val="18"/>
                <w:szCs w:val="20"/>
                <w:lang w:eastAsia="el-GR"/>
              </w:rPr>
              <w:t>(18)</w:t>
            </w:r>
          </w:p>
        </w:tc>
        <w:tc>
          <w:tcPr>
            <w:tcW w:w="1134" w:type="dxa"/>
            <w:vAlign w:val="center"/>
          </w:tcPr>
          <w:p w14:paraId="799D4B00" w14:textId="33A1E66F"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Pr>
                <w:rFonts w:ascii="Arial" w:eastAsia="Times New Roman" w:hAnsi="Arial" w:cs="Arial"/>
                <w:sz w:val="18"/>
                <w:szCs w:val="20"/>
                <w:lang w:eastAsia="el-GR"/>
              </w:rPr>
              <w:t>(8)</w:t>
            </w:r>
          </w:p>
        </w:tc>
        <w:tc>
          <w:tcPr>
            <w:tcW w:w="1134" w:type="dxa"/>
            <w:vAlign w:val="center"/>
          </w:tcPr>
          <w:p w14:paraId="5EA1A6C8" w14:textId="7BEC8F2A"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sidRPr="00A80F70">
              <w:rPr>
                <w:rFonts w:ascii="Arial" w:eastAsia="Times New Roman" w:hAnsi="Arial" w:cs="Arial"/>
                <w:sz w:val="18"/>
                <w:szCs w:val="20"/>
                <w:lang w:eastAsia="el-GR"/>
              </w:rPr>
              <w:t>(11)</w:t>
            </w:r>
          </w:p>
        </w:tc>
        <w:tc>
          <w:tcPr>
            <w:tcW w:w="992" w:type="dxa"/>
            <w:vAlign w:val="center"/>
          </w:tcPr>
          <w:p w14:paraId="7A883DDD" w14:textId="71E562C9"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D42E7E">
              <w:rPr>
                <w:rFonts w:ascii="Arial" w:eastAsia="Times New Roman" w:hAnsi="Arial" w:cs="Arial"/>
                <w:sz w:val="18"/>
                <w:szCs w:val="20"/>
                <w:lang w:eastAsia="el-GR"/>
              </w:rPr>
              <w:t>-38%</w:t>
            </w:r>
          </w:p>
        </w:tc>
        <w:tc>
          <w:tcPr>
            <w:tcW w:w="992" w:type="dxa"/>
            <w:shd w:val="clear" w:color="auto" w:fill="auto"/>
            <w:vAlign w:val="center"/>
          </w:tcPr>
          <w:p w14:paraId="57BA471D" w14:textId="4412B9EF"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A22076">
              <w:rPr>
                <w:rFonts w:ascii="Arial" w:eastAsia="Times New Roman" w:hAnsi="Arial" w:cs="Arial"/>
                <w:sz w:val="18"/>
                <w:szCs w:val="20"/>
                <w:lang w:eastAsia="el-GR"/>
              </w:rPr>
              <w:t>3%</w:t>
            </w:r>
          </w:p>
        </w:tc>
      </w:tr>
      <w:tr w:rsidR="008E7D1C" w:rsidRPr="006B5511" w14:paraId="0DB60706" w14:textId="77777777" w:rsidTr="004470C2">
        <w:trPr>
          <w:trHeight w:val="193"/>
          <w:jc w:val="center"/>
        </w:trPr>
        <w:tc>
          <w:tcPr>
            <w:tcW w:w="4932"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5DC6A54E" w14:textId="77777777" w:rsidR="008E7D1C" w:rsidRPr="00CB38F0" w:rsidRDefault="008E7D1C" w:rsidP="008E7D1C">
            <w:pPr>
              <w:tabs>
                <w:tab w:val="left" w:pos="0"/>
                <w:tab w:val="left" w:pos="974"/>
                <w:tab w:val="left" w:pos="1416"/>
                <w:tab w:val="decimal" w:pos="4962"/>
                <w:tab w:val="decimal" w:pos="6521"/>
                <w:tab w:val="right" w:pos="7560"/>
                <w:tab w:val="decimal" w:pos="8220"/>
                <w:tab w:val="left" w:pos="8640"/>
                <w:tab w:val="right" w:pos="9000"/>
              </w:tabs>
              <w:suppressAutoHyphens/>
              <w:spacing w:afterLines="20" w:after="48" w:line="240" w:lineRule="auto"/>
              <w:rPr>
                <w:rFonts w:ascii="Arial" w:eastAsia="Times New Roman" w:hAnsi="Arial" w:cs="Arial"/>
                <w:b/>
                <w:sz w:val="18"/>
                <w:szCs w:val="18"/>
                <w:lang w:eastAsia="el-GR"/>
              </w:rPr>
            </w:pPr>
            <w:r w:rsidRPr="00CB38F0">
              <w:rPr>
                <w:rFonts w:ascii="Arial" w:hAnsi="Arial" w:cs="Arial"/>
                <w:b/>
                <w:bCs/>
                <w:color w:val="000000" w:themeColor="text1"/>
                <w:sz w:val="18"/>
                <w:szCs w:val="18"/>
              </w:rPr>
              <w:t>Σύνολο εξόδων</w:t>
            </w:r>
          </w:p>
        </w:tc>
        <w:tc>
          <w:tcPr>
            <w:tcW w:w="1159" w:type="dxa"/>
            <w:tcBorders>
              <w:top w:val="single" w:sz="4" w:space="0" w:color="808080" w:themeColor="background1" w:themeShade="80"/>
              <w:left w:val="nil"/>
              <w:bottom w:val="single" w:sz="4" w:space="0" w:color="808080" w:themeColor="background1" w:themeShade="80"/>
            </w:tcBorders>
            <w:vAlign w:val="center"/>
          </w:tcPr>
          <w:p w14:paraId="6CE62C72" w14:textId="5CCE66A7" w:rsidR="008E7D1C" w:rsidRPr="004470C2"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20"/>
                <w:highlight w:val="yellow"/>
                <w:lang w:eastAsia="el-GR"/>
              </w:rPr>
            </w:pPr>
            <w:r w:rsidRPr="00E82FBE">
              <w:rPr>
                <w:rFonts w:ascii="Arial" w:eastAsia="Times New Roman" w:hAnsi="Arial" w:cs="Arial"/>
                <w:b/>
                <w:bCs/>
                <w:sz w:val="18"/>
                <w:szCs w:val="20"/>
                <w:lang w:eastAsia="el-GR"/>
              </w:rPr>
              <w:t>(18</w:t>
            </w:r>
            <w:r>
              <w:rPr>
                <w:rFonts w:ascii="Arial" w:eastAsia="Times New Roman" w:hAnsi="Arial" w:cs="Arial"/>
                <w:b/>
                <w:bCs/>
                <w:sz w:val="18"/>
                <w:szCs w:val="20"/>
                <w:lang w:eastAsia="el-GR"/>
              </w:rPr>
              <w:t>6</w:t>
            </w:r>
            <w:r w:rsidRPr="00E82FBE">
              <w:rPr>
                <w:rFonts w:ascii="Arial" w:eastAsia="Times New Roman" w:hAnsi="Arial" w:cs="Arial"/>
                <w:b/>
                <w:bCs/>
                <w:sz w:val="18"/>
                <w:szCs w:val="20"/>
                <w:lang w:eastAsia="el-GR"/>
              </w:rPr>
              <w:t>)</w:t>
            </w:r>
          </w:p>
        </w:tc>
        <w:tc>
          <w:tcPr>
            <w:tcW w:w="1134" w:type="dxa"/>
            <w:tcBorders>
              <w:top w:val="single" w:sz="4" w:space="0" w:color="808080" w:themeColor="background1" w:themeShade="80"/>
              <w:left w:val="nil"/>
              <w:bottom w:val="single" w:sz="4" w:space="0" w:color="808080" w:themeColor="background1" w:themeShade="80"/>
              <w:right w:val="nil"/>
            </w:tcBorders>
            <w:vAlign w:val="center"/>
          </w:tcPr>
          <w:p w14:paraId="7DC0624E" w14:textId="729B4196"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20"/>
                <w:lang w:eastAsia="el-GR"/>
              </w:rPr>
            </w:pPr>
            <w:r w:rsidRPr="00AA1DCA">
              <w:rPr>
                <w:rFonts w:ascii="Arial" w:eastAsia="Times New Roman" w:hAnsi="Arial" w:cs="Arial"/>
                <w:b/>
                <w:bCs/>
                <w:sz w:val="18"/>
                <w:szCs w:val="20"/>
                <w:lang w:eastAsia="el-GR"/>
              </w:rPr>
              <w:t>(180)</w:t>
            </w:r>
          </w:p>
        </w:tc>
        <w:tc>
          <w:tcPr>
            <w:tcW w:w="1134" w:type="dxa"/>
            <w:tcBorders>
              <w:top w:val="single" w:sz="4" w:space="0" w:color="808080" w:themeColor="background1" w:themeShade="80"/>
              <w:bottom w:val="single" w:sz="4" w:space="0" w:color="808080" w:themeColor="background1" w:themeShade="80"/>
            </w:tcBorders>
            <w:vAlign w:val="center"/>
          </w:tcPr>
          <w:p w14:paraId="58884FEF" w14:textId="3B3E5E25" w:rsidR="008E7D1C" w:rsidRPr="004470C2"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18"/>
                <w:highlight w:val="yellow"/>
                <w:lang w:eastAsia="el-GR"/>
              </w:rPr>
            </w:pPr>
            <w:r w:rsidRPr="00D42E7E">
              <w:rPr>
                <w:rFonts w:ascii="Arial" w:eastAsia="Times New Roman" w:hAnsi="Arial" w:cs="Arial"/>
                <w:b/>
                <w:bCs/>
                <w:sz w:val="18"/>
                <w:szCs w:val="20"/>
                <w:lang w:eastAsia="el-GR"/>
              </w:rPr>
              <w:t>(9</w:t>
            </w:r>
            <w:r>
              <w:rPr>
                <w:rFonts w:ascii="Arial" w:eastAsia="Times New Roman" w:hAnsi="Arial" w:cs="Arial"/>
                <w:b/>
                <w:bCs/>
                <w:sz w:val="18"/>
                <w:szCs w:val="20"/>
                <w:lang w:eastAsia="el-GR"/>
              </w:rPr>
              <w:t>4</w:t>
            </w:r>
            <w:r w:rsidRPr="00D42E7E">
              <w:rPr>
                <w:rFonts w:ascii="Arial" w:eastAsia="Times New Roman" w:hAnsi="Arial" w:cs="Arial"/>
                <w:b/>
                <w:bCs/>
                <w:sz w:val="18"/>
                <w:szCs w:val="20"/>
                <w:lang w:eastAsia="el-GR"/>
              </w:rPr>
              <w:t>)</w:t>
            </w:r>
          </w:p>
        </w:tc>
        <w:tc>
          <w:tcPr>
            <w:tcW w:w="1134" w:type="dxa"/>
            <w:tcBorders>
              <w:top w:val="single" w:sz="4" w:space="0" w:color="808080" w:themeColor="background1" w:themeShade="80"/>
              <w:bottom w:val="single" w:sz="4" w:space="0" w:color="808080" w:themeColor="background1" w:themeShade="80"/>
            </w:tcBorders>
            <w:vAlign w:val="center"/>
          </w:tcPr>
          <w:p w14:paraId="4E8D78C9" w14:textId="4470248A"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20"/>
                <w:lang w:eastAsia="el-GR"/>
              </w:rPr>
            </w:pPr>
            <w:r w:rsidRPr="00A80F70">
              <w:rPr>
                <w:rFonts w:ascii="Arial" w:eastAsia="Times New Roman" w:hAnsi="Arial" w:cs="Arial"/>
                <w:b/>
                <w:bCs/>
                <w:sz w:val="18"/>
                <w:szCs w:val="20"/>
                <w:lang w:eastAsia="el-GR"/>
              </w:rPr>
              <w:t>(9</w:t>
            </w:r>
            <w:r>
              <w:rPr>
                <w:rFonts w:ascii="Arial" w:eastAsia="Times New Roman" w:hAnsi="Arial" w:cs="Arial"/>
                <w:b/>
                <w:bCs/>
                <w:sz w:val="18"/>
                <w:szCs w:val="20"/>
                <w:lang w:eastAsia="el-GR"/>
              </w:rPr>
              <w:t>2</w:t>
            </w:r>
            <w:r w:rsidRPr="00A80F70">
              <w:rPr>
                <w:rFonts w:ascii="Arial" w:eastAsia="Times New Roman" w:hAnsi="Arial" w:cs="Arial"/>
                <w:b/>
                <w:bCs/>
                <w:sz w:val="18"/>
                <w:szCs w:val="20"/>
                <w:lang w:eastAsia="el-GR"/>
              </w:rPr>
              <w:t>)</w:t>
            </w:r>
          </w:p>
        </w:tc>
        <w:tc>
          <w:tcPr>
            <w:tcW w:w="992" w:type="dxa"/>
            <w:tcBorders>
              <w:top w:val="single" w:sz="4" w:space="0" w:color="808080" w:themeColor="background1" w:themeShade="80"/>
              <w:bottom w:val="single" w:sz="4" w:space="0" w:color="808080" w:themeColor="background1" w:themeShade="80"/>
            </w:tcBorders>
            <w:vAlign w:val="center"/>
          </w:tcPr>
          <w:p w14:paraId="245F9D99" w14:textId="5523F8F2"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18"/>
                <w:highlight w:val="yellow"/>
                <w:lang w:eastAsia="el-GR"/>
              </w:rPr>
            </w:pPr>
            <w:r w:rsidRPr="00D42E7E">
              <w:rPr>
                <w:rFonts w:ascii="Arial" w:eastAsia="Times New Roman" w:hAnsi="Arial" w:cs="Arial"/>
                <w:b/>
                <w:bCs/>
                <w:sz w:val="18"/>
                <w:szCs w:val="20"/>
                <w:lang w:eastAsia="el-GR"/>
              </w:rPr>
              <w:t>1%</w:t>
            </w:r>
          </w:p>
        </w:tc>
        <w:tc>
          <w:tcPr>
            <w:tcW w:w="992"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32DC39D" w14:textId="1DC825FD"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18"/>
                <w:highlight w:val="yellow"/>
                <w:lang w:eastAsia="el-GR"/>
              </w:rPr>
            </w:pPr>
            <w:r>
              <w:rPr>
                <w:rFonts w:ascii="Arial" w:eastAsia="Times New Roman" w:hAnsi="Arial" w:cs="Arial"/>
                <w:b/>
                <w:bCs/>
                <w:sz w:val="18"/>
                <w:szCs w:val="20"/>
                <w:lang w:eastAsia="el-GR"/>
              </w:rPr>
              <w:t>4</w:t>
            </w:r>
            <w:r w:rsidRPr="00A22076">
              <w:rPr>
                <w:rFonts w:ascii="Arial" w:eastAsia="Times New Roman" w:hAnsi="Arial" w:cs="Arial"/>
                <w:b/>
                <w:bCs/>
                <w:sz w:val="18"/>
                <w:szCs w:val="20"/>
                <w:lang w:eastAsia="el-GR"/>
              </w:rPr>
              <w:t>%</w:t>
            </w:r>
          </w:p>
        </w:tc>
      </w:tr>
      <w:tr w:rsidR="008E7D1C" w:rsidRPr="006B5511" w14:paraId="27AB9103" w14:textId="77777777" w:rsidTr="004470C2">
        <w:trPr>
          <w:trHeight w:val="66"/>
          <w:jc w:val="center"/>
        </w:trPr>
        <w:tc>
          <w:tcPr>
            <w:tcW w:w="4932"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1B38325F" w14:textId="77777777" w:rsidR="008E7D1C" w:rsidRPr="00CB38F0" w:rsidRDefault="008E7D1C" w:rsidP="008E7D1C">
            <w:pPr>
              <w:tabs>
                <w:tab w:val="left" w:pos="0"/>
                <w:tab w:val="left" w:pos="974"/>
                <w:tab w:val="left" w:pos="1416"/>
                <w:tab w:val="decimal" w:pos="4962"/>
                <w:tab w:val="decimal" w:pos="6521"/>
                <w:tab w:val="right" w:pos="7560"/>
                <w:tab w:val="decimal" w:pos="8220"/>
                <w:tab w:val="left" w:pos="8640"/>
                <w:tab w:val="right" w:pos="9000"/>
              </w:tabs>
              <w:suppressAutoHyphens/>
              <w:spacing w:afterLines="20" w:after="48" w:line="240" w:lineRule="auto"/>
              <w:rPr>
                <w:rFonts w:ascii="Arial" w:eastAsia="Times New Roman" w:hAnsi="Arial" w:cs="Arial"/>
                <w:b/>
                <w:sz w:val="18"/>
                <w:szCs w:val="18"/>
                <w:lang w:eastAsia="el-GR"/>
              </w:rPr>
            </w:pPr>
            <w:r w:rsidRPr="00CB38F0">
              <w:rPr>
                <w:rFonts w:ascii="Arial" w:hAnsi="Arial" w:cs="Arial"/>
                <w:b/>
                <w:bCs/>
                <w:color w:val="000000" w:themeColor="text1"/>
                <w:sz w:val="18"/>
                <w:szCs w:val="18"/>
              </w:rPr>
              <w:t xml:space="preserve">Λειτουργικά κέρδη </w:t>
            </w:r>
          </w:p>
        </w:tc>
        <w:tc>
          <w:tcPr>
            <w:tcW w:w="1159" w:type="dxa"/>
            <w:tcBorders>
              <w:top w:val="single" w:sz="4" w:space="0" w:color="808080" w:themeColor="background1" w:themeShade="80"/>
              <w:left w:val="nil"/>
              <w:bottom w:val="single" w:sz="4" w:space="0" w:color="808080" w:themeColor="background1" w:themeShade="80"/>
            </w:tcBorders>
            <w:vAlign w:val="center"/>
          </w:tcPr>
          <w:p w14:paraId="2FAC88D7" w14:textId="4167F072" w:rsidR="008E7D1C" w:rsidRPr="004470C2"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20"/>
                <w:highlight w:val="yellow"/>
                <w:lang w:eastAsia="el-GR"/>
              </w:rPr>
            </w:pPr>
            <w:r w:rsidRPr="00D42E7E">
              <w:rPr>
                <w:rFonts w:ascii="Arial" w:eastAsia="Times New Roman" w:hAnsi="Arial" w:cs="Arial"/>
                <w:b/>
                <w:bCs/>
                <w:sz w:val="18"/>
                <w:szCs w:val="20"/>
                <w:lang w:eastAsia="el-GR"/>
              </w:rPr>
              <w:t>36</w:t>
            </w:r>
            <w:r>
              <w:rPr>
                <w:rFonts w:ascii="Arial" w:eastAsia="Times New Roman" w:hAnsi="Arial" w:cs="Arial"/>
                <w:b/>
                <w:bCs/>
                <w:sz w:val="18"/>
                <w:szCs w:val="20"/>
                <w:lang w:eastAsia="el-GR"/>
              </w:rPr>
              <w:t>3</w:t>
            </w:r>
          </w:p>
        </w:tc>
        <w:tc>
          <w:tcPr>
            <w:tcW w:w="1134" w:type="dxa"/>
            <w:tcBorders>
              <w:top w:val="single" w:sz="4" w:space="0" w:color="808080" w:themeColor="background1" w:themeShade="80"/>
              <w:left w:val="nil"/>
              <w:bottom w:val="single" w:sz="4" w:space="0" w:color="808080" w:themeColor="background1" w:themeShade="80"/>
              <w:right w:val="nil"/>
            </w:tcBorders>
            <w:vAlign w:val="center"/>
          </w:tcPr>
          <w:p w14:paraId="21198712" w14:textId="0D69D038"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20"/>
                <w:lang w:eastAsia="el-GR"/>
              </w:rPr>
            </w:pPr>
            <w:r w:rsidRPr="00AA1DCA">
              <w:rPr>
                <w:rFonts w:ascii="Arial" w:eastAsia="Times New Roman" w:hAnsi="Arial" w:cs="Arial"/>
                <w:b/>
                <w:bCs/>
                <w:sz w:val="18"/>
                <w:szCs w:val="20"/>
                <w:lang w:eastAsia="el-GR"/>
              </w:rPr>
              <w:t>331</w:t>
            </w:r>
          </w:p>
        </w:tc>
        <w:tc>
          <w:tcPr>
            <w:tcW w:w="1134" w:type="dxa"/>
            <w:tcBorders>
              <w:top w:val="single" w:sz="4" w:space="0" w:color="808080" w:themeColor="background1" w:themeShade="80"/>
              <w:bottom w:val="single" w:sz="4" w:space="0" w:color="808080" w:themeColor="background1" w:themeShade="80"/>
            </w:tcBorders>
            <w:vAlign w:val="center"/>
          </w:tcPr>
          <w:p w14:paraId="6B5F846B" w14:textId="5B2E6FAB" w:rsidR="008E7D1C" w:rsidRPr="004470C2"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18"/>
                <w:highlight w:val="yellow"/>
                <w:lang w:eastAsia="el-GR"/>
              </w:rPr>
            </w:pPr>
            <w:r w:rsidRPr="00D42E7E">
              <w:rPr>
                <w:rFonts w:ascii="Arial" w:eastAsia="Times New Roman" w:hAnsi="Arial" w:cs="Arial"/>
                <w:b/>
                <w:bCs/>
                <w:sz w:val="18"/>
                <w:szCs w:val="20"/>
                <w:lang w:eastAsia="el-GR"/>
              </w:rPr>
              <w:t>1</w:t>
            </w:r>
            <w:r>
              <w:rPr>
                <w:rFonts w:ascii="Arial" w:eastAsia="Times New Roman" w:hAnsi="Arial" w:cs="Arial"/>
                <w:b/>
                <w:bCs/>
                <w:sz w:val="18"/>
                <w:szCs w:val="20"/>
                <w:lang w:eastAsia="el-GR"/>
              </w:rPr>
              <w:t>79</w:t>
            </w:r>
          </w:p>
        </w:tc>
        <w:tc>
          <w:tcPr>
            <w:tcW w:w="1134" w:type="dxa"/>
            <w:tcBorders>
              <w:top w:val="single" w:sz="4" w:space="0" w:color="808080" w:themeColor="background1" w:themeShade="80"/>
              <w:bottom w:val="single" w:sz="4" w:space="0" w:color="808080" w:themeColor="background1" w:themeShade="80"/>
            </w:tcBorders>
            <w:vAlign w:val="center"/>
          </w:tcPr>
          <w:p w14:paraId="2BD99511" w14:textId="3DD90566"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20"/>
                <w:lang w:eastAsia="el-GR"/>
              </w:rPr>
            </w:pPr>
            <w:r w:rsidRPr="00A80F70">
              <w:rPr>
                <w:rFonts w:ascii="Arial" w:eastAsia="Times New Roman" w:hAnsi="Arial" w:cs="Arial"/>
                <w:b/>
                <w:bCs/>
                <w:sz w:val="18"/>
                <w:szCs w:val="20"/>
                <w:lang w:eastAsia="el-GR"/>
              </w:rPr>
              <w:t>1</w:t>
            </w:r>
            <w:r>
              <w:rPr>
                <w:rFonts w:ascii="Arial" w:eastAsia="Times New Roman" w:hAnsi="Arial" w:cs="Arial"/>
                <w:b/>
                <w:bCs/>
                <w:sz w:val="18"/>
                <w:szCs w:val="20"/>
                <w:lang w:eastAsia="el-GR"/>
              </w:rPr>
              <w:t>84</w:t>
            </w:r>
          </w:p>
        </w:tc>
        <w:tc>
          <w:tcPr>
            <w:tcW w:w="992" w:type="dxa"/>
            <w:tcBorders>
              <w:top w:val="single" w:sz="4" w:space="0" w:color="808080" w:themeColor="background1" w:themeShade="80"/>
              <w:bottom w:val="single" w:sz="4" w:space="0" w:color="808080" w:themeColor="background1" w:themeShade="80"/>
            </w:tcBorders>
            <w:vAlign w:val="center"/>
          </w:tcPr>
          <w:p w14:paraId="55387D6C" w14:textId="2424CE64"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18"/>
                <w:highlight w:val="yellow"/>
                <w:lang w:eastAsia="el-GR"/>
              </w:rPr>
            </w:pPr>
            <w:r w:rsidRPr="00D42E7E">
              <w:rPr>
                <w:rFonts w:ascii="Arial" w:eastAsia="Times New Roman" w:hAnsi="Arial" w:cs="Arial"/>
                <w:b/>
                <w:bCs/>
                <w:sz w:val="18"/>
                <w:szCs w:val="20"/>
                <w:lang w:eastAsia="el-GR"/>
              </w:rPr>
              <w:t>-2%</w:t>
            </w:r>
          </w:p>
        </w:tc>
        <w:tc>
          <w:tcPr>
            <w:tcW w:w="992"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33086AD" w14:textId="7B0F1DBD"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18"/>
                <w:highlight w:val="yellow"/>
                <w:lang w:eastAsia="el-GR"/>
              </w:rPr>
            </w:pPr>
            <w:r>
              <w:rPr>
                <w:rFonts w:ascii="Arial" w:eastAsia="Times New Roman" w:hAnsi="Arial" w:cs="Arial"/>
                <w:b/>
                <w:bCs/>
                <w:sz w:val="18"/>
                <w:szCs w:val="20"/>
                <w:lang w:eastAsia="el-GR"/>
              </w:rPr>
              <w:t>9</w:t>
            </w:r>
            <w:r w:rsidRPr="003748A3">
              <w:rPr>
                <w:rFonts w:ascii="Arial" w:eastAsia="Times New Roman" w:hAnsi="Arial" w:cs="Arial"/>
                <w:b/>
                <w:bCs/>
                <w:sz w:val="18"/>
                <w:szCs w:val="20"/>
                <w:lang w:eastAsia="el-GR"/>
              </w:rPr>
              <w:t>%</w:t>
            </w:r>
          </w:p>
        </w:tc>
      </w:tr>
      <w:tr w:rsidR="008E7D1C" w:rsidRPr="006B5511" w14:paraId="7FE66FD1" w14:textId="77777777" w:rsidTr="004470C2">
        <w:trPr>
          <w:trHeight w:val="259"/>
          <w:jc w:val="center"/>
        </w:trPr>
        <w:tc>
          <w:tcPr>
            <w:tcW w:w="4932" w:type="dxa"/>
            <w:tcBorders>
              <w:top w:val="single" w:sz="4" w:space="0" w:color="808080" w:themeColor="background1" w:themeShade="80"/>
            </w:tcBorders>
            <w:vAlign w:val="center"/>
          </w:tcPr>
          <w:p w14:paraId="7BE6E4CC" w14:textId="77777777" w:rsidR="008E7D1C" w:rsidRPr="00CB38F0" w:rsidRDefault="008E7D1C" w:rsidP="008E7D1C">
            <w:pPr>
              <w:tabs>
                <w:tab w:val="left" w:pos="974"/>
                <w:tab w:val="left" w:pos="1416"/>
                <w:tab w:val="decimal" w:pos="4962"/>
                <w:tab w:val="decimal" w:pos="6521"/>
                <w:tab w:val="right" w:pos="7560"/>
                <w:tab w:val="decimal" w:pos="8220"/>
                <w:tab w:val="left" w:pos="8640"/>
                <w:tab w:val="right" w:pos="9000"/>
              </w:tabs>
              <w:suppressAutoHyphens/>
              <w:spacing w:afterLines="20" w:after="48" w:line="240" w:lineRule="auto"/>
              <w:ind w:left="10"/>
              <w:rPr>
                <w:rFonts w:ascii="Arial" w:eastAsia="Times New Roman" w:hAnsi="Arial" w:cs="Arial"/>
                <w:sz w:val="18"/>
                <w:szCs w:val="18"/>
                <w:lang w:eastAsia="el-GR"/>
              </w:rPr>
            </w:pPr>
            <w:r w:rsidRPr="00CB38F0">
              <w:rPr>
                <w:rFonts w:ascii="Arial" w:hAnsi="Arial" w:cs="Arial"/>
                <w:color w:val="000000" w:themeColor="text1"/>
                <w:sz w:val="18"/>
                <w:szCs w:val="18"/>
                <w:lang w:val="el-GR" w:eastAsia="el-GR"/>
              </w:rPr>
              <w:t>Πιστωτικές ζημιές</w:t>
            </w:r>
            <w:r w:rsidRPr="00CB38F0">
              <w:rPr>
                <w:rFonts w:ascii="Arial" w:hAnsi="Arial" w:cs="Arial"/>
                <w:color w:val="000000" w:themeColor="text1"/>
                <w:sz w:val="18"/>
                <w:szCs w:val="18"/>
                <w:lang w:eastAsia="el-GR"/>
              </w:rPr>
              <w:t xml:space="preserve"> </w:t>
            </w:r>
            <w:r w:rsidRPr="00CB38F0">
              <w:rPr>
                <w:rFonts w:ascii="Arial" w:hAnsi="Arial" w:cs="Arial"/>
                <w:color w:val="000000" w:themeColor="text1"/>
                <w:sz w:val="18"/>
                <w:szCs w:val="18"/>
                <w:lang w:val="el-GR" w:eastAsia="el-GR"/>
              </w:rPr>
              <w:t>δανείων</w:t>
            </w:r>
          </w:p>
        </w:tc>
        <w:tc>
          <w:tcPr>
            <w:tcW w:w="1159" w:type="dxa"/>
            <w:tcBorders>
              <w:top w:val="single" w:sz="4" w:space="0" w:color="808080" w:themeColor="background1" w:themeShade="80"/>
            </w:tcBorders>
            <w:vAlign w:val="center"/>
          </w:tcPr>
          <w:p w14:paraId="6DF2D8C1" w14:textId="0DF4C649"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Cs/>
                <w:sz w:val="18"/>
                <w:szCs w:val="20"/>
                <w:highlight w:val="yellow"/>
                <w:lang w:eastAsia="el-GR"/>
              </w:rPr>
            </w:pPr>
            <w:r>
              <w:rPr>
                <w:rFonts w:ascii="Arial" w:eastAsia="Times New Roman" w:hAnsi="Arial" w:cs="Arial"/>
                <w:bCs/>
                <w:sz w:val="18"/>
                <w:szCs w:val="20"/>
                <w:lang w:eastAsia="el-GR"/>
              </w:rPr>
              <w:t>(16)</w:t>
            </w:r>
          </w:p>
        </w:tc>
        <w:tc>
          <w:tcPr>
            <w:tcW w:w="1134" w:type="dxa"/>
            <w:tcBorders>
              <w:top w:val="single" w:sz="4" w:space="0" w:color="808080" w:themeColor="background1" w:themeShade="80"/>
              <w:left w:val="nil"/>
              <w:bottom w:val="nil"/>
              <w:right w:val="nil"/>
            </w:tcBorders>
            <w:vAlign w:val="center"/>
          </w:tcPr>
          <w:p w14:paraId="49B4D993" w14:textId="5D1615C0"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sidRPr="00AA1DCA">
              <w:rPr>
                <w:rFonts w:ascii="Arial" w:eastAsia="Times New Roman" w:hAnsi="Arial" w:cs="Arial"/>
                <w:bCs/>
                <w:sz w:val="18"/>
                <w:szCs w:val="20"/>
                <w:lang w:eastAsia="el-GR"/>
              </w:rPr>
              <w:t>(24)</w:t>
            </w:r>
          </w:p>
        </w:tc>
        <w:tc>
          <w:tcPr>
            <w:tcW w:w="1134" w:type="dxa"/>
            <w:tcBorders>
              <w:top w:val="single" w:sz="4" w:space="0" w:color="808080" w:themeColor="background1" w:themeShade="80"/>
            </w:tcBorders>
            <w:vAlign w:val="center"/>
          </w:tcPr>
          <w:p w14:paraId="3A0BB412" w14:textId="3A2BD60F"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Cs/>
                <w:sz w:val="18"/>
                <w:szCs w:val="18"/>
                <w:highlight w:val="yellow"/>
                <w:lang w:eastAsia="el-GR"/>
              </w:rPr>
            </w:pPr>
            <w:r>
              <w:rPr>
                <w:rFonts w:ascii="Arial" w:eastAsia="Times New Roman" w:hAnsi="Arial" w:cs="Arial"/>
                <w:bCs/>
                <w:sz w:val="18"/>
                <w:szCs w:val="20"/>
                <w:lang w:eastAsia="el-GR"/>
              </w:rPr>
              <w:t>(9)</w:t>
            </w:r>
          </w:p>
        </w:tc>
        <w:tc>
          <w:tcPr>
            <w:tcW w:w="1134" w:type="dxa"/>
            <w:tcBorders>
              <w:top w:val="single" w:sz="4" w:space="0" w:color="808080" w:themeColor="background1" w:themeShade="80"/>
            </w:tcBorders>
            <w:vAlign w:val="center"/>
          </w:tcPr>
          <w:p w14:paraId="5C3D24EE" w14:textId="56CFEFD7"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sidRPr="00A80F70">
              <w:rPr>
                <w:rFonts w:ascii="Arial" w:eastAsia="Times New Roman" w:hAnsi="Arial" w:cs="Arial"/>
                <w:bCs/>
                <w:sz w:val="18"/>
                <w:szCs w:val="20"/>
                <w:lang w:eastAsia="el-GR"/>
              </w:rPr>
              <w:t>(</w:t>
            </w:r>
            <w:r>
              <w:rPr>
                <w:rFonts w:ascii="Arial" w:eastAsia="Times New Roman" w:hAnsi="Arial" w:cs="Arial"/>
                <w:bCs/>
                <w:sz w:val="18"/>
                <w:szCs w:val="20"/>
                <w:lang w:eastAsia="el-GR"/>
              </w:rPr>
              <w:t>7</w:t>
            </w:r>
            <w:r w:rsidRPr="00A80F70">
              <w:rPr>
                <w:rFonts w:ascii="Arial" w:eastAsia="Times New Roman" w:hAnsi="Arial" w:cs="Arial"/>
                <w:bCs/>
                <w:sz w:val="18"/>
                <w:szCs w:val="20"/>
                <w:lang w:eastAsia="el-GR"/>
              </w:rPr>
              <w:t>)</w:t>
            </w:r>
          </w:p>
        </w:tc>
        <w:tc>
          <w:tcPr>
            <w:tcW w:w="992" w:type="dxa"/>
            <w:tcBorders>
              <w:top w:val="single" w:sz="4" w:space="0" w:color="808080" w:themeColor="background1" w:themeShade="80"/>
            </w:tcBorders>
            <w:vAlign w:val="center"/>
          </w:tcPr>
          <w:p w14:paraId="30BEA39E" w14:textId="2CF6599C"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D42E7E">
              <w:rPr>
                <w:rFonts w:ascii="Arial" w:eastAsia="Times New Roman" w:hAnsi="Arial" w:cs="Arial"/>
                <w:bCs/>
                <w:sz w:val="18"/>
                <w:szCs w:val="20"/>
                <w:lang w:eastAsia="el-GR"/>
              </w:rPr>
              <w:t>28%</w:t>
            </w:r>
          </w:p>
        </w:tc>
        <w:tc>
          <w:tcPr>
            <w:tcW w:w="992" w:type="dxa"/>
            <w:tcBorders>
              <w:top w:val="single" w:sz="4" w:space="0" w:color="808080" w:themeColor="background1" w:themeShade="80"/>
            </w:tcBorders>
            <w:shd w:val="clear" w:color="auto" w:fill="auto"/>
            <w:vAlign w:val="center"/>
          </w:tcPr>
          <w:p w14:paraId="1C97A01E" w14:textId="670D168E"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3748A3">
              <w:rPr>
                <w:rFonts w:ascii="Arial" w:eastAsia="Times New Roman" w:hAnsi="Arial" w:cs="Arial"/>
                <w:bCs/>
                <w:sz w:val="18"/>
                <w:szCs w:val="20"/>
                <w:lang w:eastAsia="el-GR"/>
              </w:rPr>
              <w:t>-36%</w:t>
            </w:r>
          </w:p>
        </w:tc>
      </w:tr>
      <w:tr w:rsidR="008E7D1C" w:rsidRPr="006B5511" w14:paraId="2938F7D4" w14:textId="77777777" w:rsidTr="004470C2">
        <w:trPr>
          <w:trHeight w:val="193"/>
          <w:jc w:val="center"/>
        </w:trPr>
        <w:tc>
          <w:tcPr>
            <w:tcW w:w="4932" w:type="dxa"/>
            <w:vAlign w:val="center"/>
          </w:tcPr>
          <w:p w14:paraId="465CABB9" w14:textId="77777777" w:rsidR="008E7D1C" w:rsidRPr="00CB38F0" w:rsidRDefault="008E7D1C" w:rsidP="008E7D1C">
            <w:pPr>
              <w:tabs>
                <w:tab w:val="left" w:pos="974"/>
                <w:tab w:val="left" w:pos="1416"/>
                <w:tab w:val="decimal" w:pos="4962"/>
                <w:tab w:val="decimal" w:pos="6521"/>
                <w:tab w:val="right" w:pos="7560"/>
                <w:tab w:val="decimal" w:pos="8220"/>
                <w:tab w:val="left" w:pos="8640"/>
                <w:tab w:val="right" w:pos="9000"/>
              </w:tabs>
              <w:suppressAutoHyphens/>
              <w:spacing w:afterLines="20" w:after="48" w:line="240" w:lineRule="auto"/>
              <w:ind w:left="10"/>
              <w:rPr>
                <w:rFonts w:ascii="Arial" w:eastAsia="Times New Roman" w:hAnsi="Arial" w:cs="Arial"/>
                <w:sz w:val="18"/>
                <w:szCs w:val="18"/>
                <w:lang w:val="el-GR" w:eastAsia="el-GR"/>
              </w:rPr>
            </w:pPr>
            <w:r w:rsidRPr="00CB38F0">
              <w:rPr>
                <w:rFonts w:ascii="Arial" w:hAnsi="Arial" w:cs="Arial"/>
                <w:color w:val="000000" w:themeColor="text1"/>
                <w:sz w:val="18"/>
                <w:szCs w:val="18"/>
                <w:lang w:val="el-GR"/>
              </w:rPr>
              <w:t>Απομειώσεις άλλων χρηματοοικονομικών και μη χρηματοοικονομικών περιουσιακών στοιχείων</w:t>
            </w:r>
          </w:p>
        </w:tc>
        <w:tc>
          <w:tcPr>
            <w:tcW w:w="1159" w:type="dxa"/>
            <w:vAlign w:val="center"/>
          </w:tcPr>
          <w:p w14:paraId="73B0D4F0" w14:textId="7C272C76"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val="el-GR" w:eastAsia="el-GR"/>
              </w:rPr>
            </w:pPr>
            <w:r>
              <w:rPr>
                <w:rFonts w:ascii="Arial" w:eastAsia="Times New Roman" w:hAnsi="Arial" w:cs="Arial"/>
                <w:sz w:val="18"/>
                <w:szCs w:val="20"/>
                <w:lang w:eastAsia="el-GR"/>
              </w:rPr>
              <w:t>(25)</w:t>
            </w:r>
          </w:p>
        </w:tc>
        <w:tc>
          <w:tcPr>
            <w:tcW w:w="1134" w:type="dxa"/>
            <w:vAlign w:val="center"/>
          </w:tcPr>
          <w:p w14:paraId="3B51D709" w14:textId="3D6123CE"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sidRPr="00AA1DCA">
              <w:rPr>
                <w:rFonts w:ascii="Arial" w:eastAsia="Times New Roman" w:hAnsi="Arial" w:cs="Arial"/>
                <w:sz w:val="18"/>
                <w:szCs w:val="20"/>
                <w:lang w:eastAsia="el-GR"/>
              </w:rPr>
              <w:t>(30)</w:t>
            </w:r>
          </w:p>
        </w:tc>
        <w:tc>
          <w:tcPr>
            <w:tcW w:w="1134" w:type="dxa"/>
            <w:vAlign w:val="center"/>
          </w:tcPr>
          <w:p w14:paraId="4DB33921" w14:textId="7A26CC07"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Cs/>
                <w:sz w:val="18"/>
                <w:szCs w:val="18"/>
                <w:highlight w:val="yellow"/>
                <w:lang w:eastAsia="el-GR"/>
              </w:rPr>
            </w:pPr>
            <w:r>
              <w:rPr>
                <w:rFonts w:ascii="Arial" w:eastAsia="Times New Roman" w:hAnsi="Arial" w:cs="Arial"/>
                <w:bCs/>
                <w:sz w:val="18"/>
                <w:szCs w:val="20"/>
                <w:lang w:eastAsia="el-GR"/>
              </w:rPr>
              <w:t>(17)</w:t>
            </w:r>
          </w:p>
        </w:tc>
        <w:tc>
          <w:tcPr>
            <w:tcW w:w="1134" w:type="dxa"/>
            <w:vAlign w:val="center"/>
          </w:tcPr>
          <w:p w14:paraId="054FE974" w14:textId="3313D058"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sidRPr="00A80F70">
              <w:rPr>
                <w:rFonts w:ascii="Arial" w:eastAsia="Times New Roman" w:hAnsi="Arial" w:cs="Arial"/>
                <w:sz w:val="18"/>
                <w:szCs w:val="20"/>
                <w:lang w:eastAsia="el-GR"/>
              </w:rPr>
              <w:t>(</w:t>
            </w:r>
            <w:r>
              <w:rPr>
                <w:rFonts w:ascii="Arial" w:eastAsia="Times New Roman" w:hAnsi="Arial" w:cs="Arial"/>
                <w:sz w:val="18"/>
                <w:szCs w:val="20"/>
                <w:lang w:eastAsia="el-GR"/>
              </w:rPr>
              <w:t>8</w:t>
            </w:r>
            <w:r w:rsidRPr="00A80F70">
              <w:rPr>
                <w:rFonts w:ascii="Arial" w:eastAsia="Times New Roman" w:hAnsi="Arial" w:cs="Arial"/>
                <w:sz w:val="18"/>
                <w:szCs w:val="20"/>
                <w:lang w:eastAsia="el-GR"/>
              </w:rPr>
              <w:t>)</w:t>
            </w:r>
          </w:p>
        </w:tc>
        <w:tc>
          <w:tcPr>
            <w:tcW w:w="992" w:type="dxa"/>
            <w:vAlign w:val="center"/>
          </w:tcPr>
          <w:p w14:paraId="65BBA82F" w14:textId="3D15405D"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Pr>
                <w:rFonts w:ascii="Arial" w:eastAsia="Times New Roman" w:hAnsi="Arial" w:cs="Arial"/>
                <w:bCs/>
                <w:sz w:val="18"/>
                <w:szCs w:val="20"/>
                <w:lang w:eastAsia="el-GR"/>
              </w:rPr>
              <w:t>90</w:t>
            </w:r>
            <w:r w:rsidRPr="00D42E7E">
              <w:rPr>
                <w:rFonts w:ascii="Arial" w:eastAsia="Times New Roman" w:hAnsi="Arial" w:cs="Arial"/>
                <w:bCs/>
                <w:sz w:val="18"/>
                <w:szCs w:val="20"/>
                <w:lang w:eastAsia="el-GR"/>
              </w:rPr>
              <w:t>%</w:t>
            </w:r>
          </w:p>
        </w:tc>
        <w:tc>
          <w:tcPr>
            <w:tcW w:w="992" w:type="dxa"/>
            <w:shd w:val="clear" w:color="auto" w:fill="auto"/>
            <w:vAlign w:val="center"/>
          </w:tcPr>
          <w:p w14:paraId="6B2FF0E2" w14:textId="505AD6B0"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3748A3">
              <w:rPr>
                <w:rFonts w:ascii="Arial" w:eastAsia="Times New Roman" w:hAnsi="Arial" w:cs="Arial"/>
                <w:bCs/>
                <w:sz w:val="18"/>
                <w:szCs w:val="20"/>
                <w:lang w:eastAsia="el-GR"/>
              </w:rPr>
              <w:t>-</w:t>
            </w:r>
            <w:r>
              <w:rPr>
                <w:rFonts w:ascii="Arial" w:eastAsia="Times New Roman" w:hAnsi="Arial" w:cs="Arial"/>
                <w:bCs/>
                <w:sz w:val="18"/>
                <w:szCs w:val="20"/>
                <w:lang w:eastAsia="el-GR"/>
              </w:rPr>
              <w:t>1</w:t>
            </w:r>
            <w:r w:rsidRPr="003748A3">
              <w:rPr>
                <w:rFonts w:ascii="Arial" w:eastAsia="Times New Roman" w:hAnsi="Arial" w:cs="Arial"/>
                <w:bCs/>
                <w:sz w:val="18"/>
                <w:szCs w:val="20"/>
                <w:lang w:eastAsia="el-GR"/>
              </w:rPr>
              <w:t>6%</w:t>
            </w:r>
          </w:p>
        </w:tc>
      </w:tr>
      <w:tr w:rsidR="008E7D1C" w:rsidRPr="006B5511" w14:paraId="619DBCF6" w14:textId="77777777" w:rsidTr="004470C2">
        <w:trPr>
          <w:trHeight w:val="200"/>
          <w:jc w:val="center"/>
        </w:trPr>
        <w:tc>
          <w:tcPr>
            <w:tcW w:w="4932" w:type="dxa"/>
            <w:tcBorders>
              <w:bottom w:val="single" w:sz="4" w:space="0" w:color="808080" w:themeColor="background1" w:themeShade="80"/>
            </w:tcBorders>
            <w:vAlign w:val="center"/>
          </w:tcPr>
          <w:p w14:paraId="09883EE2" w14:textId="77777777" w:rsidR="008E7D1C" w:rsidRPr="00CB38F0" w:rsidRDefault="008E7D1C" w:rsidP="008E7D1C">
            <w:pPr>
              <w:tabs>
                <w:tab w:val="left" w:pos="974"/>
                <w:tab w:val="left" w:pos="1416"/>
                <w:tab w:val="decimal" w:pos="4962"/>
                <w:tab w:val="decimal" w:pos="6521"/>
                <w:tab w:val="right" w:pos="7560"/>
                <w:tab w:val="decimal" w:pos="8220"/>
                <w:tab w:val="left" w:pos="8640"/>
                <w:tab w:val="right" w:pos="9000"/>
              </w:tabs>
              <w:suppressAutoHyphens/>
              <w:spacing w:afterLines="20" w:after="48" w:line="240" w:lineRule="auto"/>
              <w:ind w:left="10"/>
              <w:rPr>
                <w:rFonts w:ascii="Arial" w:eastAsia="Times New Roman" w:hAnsi="Arial" w:cs="Arial"/>
                <w:sz w:val="18"/>
                <w:szCs w:val="18"/>
                <w:lang w:val="el-GR" w:eastAsia="el-GR"/>
              </w:rPr>
            </w:pPr>
            <w:r w:rsidRPr="00CB38F0">
              <w:rPr>
                <w:rFonts w:ascii="Arial" w:hAnsi="Arial" w:cs="Arial"/>
                <w:bCs/>
                <w:sz w:val="18"/>
                <w:szCs w:val="18"/>
                <w:lang w:val="el-GR"/>
              </w:rPr>
              <w:t>Προβλέψεις για επιδικίες, απαιτήσεις, κανονιστικά θέματα και άλλα θέματα (μετά από αναστροφές)</w:t>
            </w:r>
          </w:p>
        </w:tc>
        <w:tc>
          <w:tcPr>
            <w:tcW w:w="1159" w:type="dxa"/>
            <w:tcBorders>
              <w:bottom w:val="single" w:sz="4" w:space="0" w:color="808080" w:themeColor="background1" w:themeShade="80"/>
            </w:tcBorders>
            <w:vAlign w:val="center"/>
          </w:tcPr>
          <w:p w14:paraId="4B7D4498" w14:textId="47EB099C"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val="el-GR" w:eastAsia="el-GR"/>
              </w:rPr>
            </w:pPr>
            <w:r>
              <w:rPr>
                <w:rFonts w:ascii="Arial" w:eastAsia="Times New Roman" w:hAnsi="Arial" w:cs="Arial"/>
                <w:sz w:val="18"/>
                <w:szCs w:val="20"/>
                <w:lang w:eastAsia="el-GR"/>
              </w:rPr>
              <w:t>(3)</w:t>
            </w:r>
          </w:p>
        </w:tc>
        <w:tc>
          <w:tcPr>
            <w:tcW w:w="1134" w:type="dxa"/>
            <w:tcBorders>
              <w:top w:val="nil"/>
              <w:left w:val="nil"/>
              <w:bottom w:val="single" w:sz="4" w:space="0" w:color="808080" w:themeColor="background1" w:themeShade="80"/>
              <w:right w:val="nil"/>
            </w:tcBorders>
            <w:vAlign w:val="center"/>
          </w:tcPr>
          <w:p w14:paraId="3A99E02F" w14:textId="0C2E751A"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sidRPr="00AA1DCA">
              <w:rPr>
                <w:rFonts w:ascii="Arial" w:eastAsia="Times New Roman" w:hAnsi="Arial" w:cs="Arial"/>
                <w:sz w:val="18"/>
                <w:szCs w:val="20"/>
                <w:lang w:eastAsia="el-GR"/>
              </w:rPr>
              <w:t>(14)</w:t>
            </w:r>
          </w:p>
        </w:tc>
        <w:tc>
          <w:tcPr>
            <w:tcW w:w="1134" w:type="dxa"/>
            <w:tcBorders>
              <w:bottom w:val="single" w:sz="4" w:space="0" w:color="808080" w:themeColor="background1" w:themeShade="80"/>
            </w:tcBorders>
            <w:vAlign w:val="center"/>
          </w:tcPr>
          <w:p w14:paraId="3C3A4BE2" w14:textId="0EC1E2FD"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Cs/>
                <w:sz w:val="18"/>
                <w:szCs w:val="18"/>
                <w:highlight w:val="yellow"/>
                <w:lang w:eastAsia="el-GR"/>
              </w:rPr>
            </w:pPr>
            <w:r>
              <w:rPr>
                <w:rFonts w:ascii="Arial" w:eastAsia="Times New Roman" w:hAnsi="Arial" w:cs="Arial"/>
                <w:bCs/>
                <w:sz w:val="18"/>
                <w:szCs w:val="20"/>
                <w:lang w:eastAsia="el-GR"/>
              </w:rPr>
              <w:t>7</w:t>
            </w:r>
          </w:p>
        </w:tc>
        <w:tc>
          <w:tcPr>
            <w:tcW w:w="1134" w:type="dxa"/>
            <w:tcBorders>
              <w:bottom w:val="single" w:sz="4" w:space="0" w:color="808080" w:themeColor="background1" w:themeShade="80"/>
            </w:tcBorders>
            <w:vAlign w:val="center"/>
          </w:tcPr>
          <w:p w14:paraId="00BE8708" w14:textId="50B974A9"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sidRPr="00A80F70">
              <w:rPr>
                <w:rFonts w:ascii="Arial" w:eastAsia="Times New Roman" w:hAnsi="Arial" w:cs="Arial"/>
                <w:sz w:val="18"/>
                <w:szCs w:val="20"/>
                <w:lang w:eastAsia="el-GR"/>
              </w:rPr>
              <w:t>(</w:t>
            </w:r>
            <w:r>
              <w:rPr>
                <w:rFonts w:ascii="Arial" w:eastAsia="Times New Roman" w:hAnsi="Arial" w:cs="Arial"/>
                <w:sz w:val="18"/>
                <w:szCs w:val="20"/>
                <w:lang w:eastAsia="el-GR"/>
              </w:rPr>
              <w:t>10</w:t>
            </w:r>
            <w:r w:rsidRPr="00A80F70">
              <w:rPr>
                <w:rFonts w:ascii="Arial" w:eastAsia="Times New Roman" w:hAnsi="Arial" w:cs="Arial"/>
                <w:sz w:val="18"/>
                <w:szCs w:val="20"/>
                <w:lang w:eastAsia="el-GR"/>
              </w:rPr>
              <w:t>)</w:t>
            </w:r>
          </w:p>
        </w:tc>
        <w:tc>
          <w:tcPr>
            <w:tcW w:w="992" w:type="dxa"/>
            <w:tcBorders>
              <w:bottom w:val="single" w:sz="4" w:space="0" w:color="808080" w:themeColor="background1" w:themeShade="80"/>
            </w:tcBorders>
            <w:vAlign w:val="center"/>
          </w:tcPr>
          <w:p w14:paraId="284EF50E" w14:textId="7E7FD2D3"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D42E7E">
              <w:rPr>
                <w:rFonts w:ascii="Arial" w:eastAsia="Times New Roman" w:hAnsi="Arial" w:cs="Arial"/>
                <w:bCs/>
                <w:sz w:val="18"/>
                <w:szCs w:val="20"/>
                <w:lang w:eastAsia="el-GR"/>
              </w:rPr>
              <w:t>-</w:t>
            </w:r>
            <w:r>
              <w:rPr>
                <w:rFonts w:ascii="Arial" w:eastAsia="Times New Roman" w:hAnsi="Arial" w:cs="Arial"/>
                <w:bCs/>
                <w:sz w:val="18"/>
                <w:szCs w:val="20"/>
                <w:lang w:eastAsia="el-GR"/>
              </w:rPr>
              <w:t>174</w:t>
            </w:r>
            <w:r w:rsidRPr="00D42E7E">
              <w:rPr>
                <w:rFonts w:ascii="Arial" w:eastAsia="Times New Roman" w:hAnsi="Arial" w:cs="Arial"/>
                <w:bCs/>
                <w:sz w:val="18"/>
                <w:szCs w:val="20"/>
                <w:lang w:eastAsia="el-GR"/>
              </w:rPr>
              <w:t>%</w:t>
            </w:r>
          </w:p>
        </w:tc>
        <w:tc>
          <w:tcPr>
            <w:tcW w:w="992" w:type="dxa"/>
            <w:tcBorders>
              <w:bottom w:val="single" w:sz="4" w:space="0" w:color="808080" w:themeColor="background1" w:themeShade="80"/>
            </w:tcBorders>
            <w:shd w:val="clear" w:color="auto" w:fill="auto"/>
            <w:vAlign w:val="center"/>
          </w:tcPr>
          <w:p w14:paraId="781BE7EF" w14:textId="74C79323"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3748A3">
              <w:rPr>
                <w:rFonts w:ascii="Arial" w:eastAsia="Times New Roman" w:hAnsi="Arial" w:cs="Arial"/>
                <w:bCs/>
                <w:sz w:val="18"/>
                <w:szCs w:val="20"/>
                <w:lang w:eastAsia="el-GR"/>
              </w:rPr>
              <w:t>-8</w:t>
            </w:r>
            <w:r>
              <w:rPr>
                <w:rFonts w:ascii="Arial" w:eastAsia="Times New Roman" w:hAnsi="Arial" w:cs="Arial"/>
                <w:bCs/>
                <w:sz w:val="18"/>
                <w:szCs w:val="20"/>
                <w:lang w:eastAsia="el-GR"/>
              </w:rPr>
              <w:t>2</w:t>
            </w:r>
            <w:r w:rsidRPr="003748A3">
              <w:rPr>
                <w:rFonts w:ascii="Arial" w:eastAsia="Times New Roman" w:hAnsi="Arial" w:cs="Arial"/>
                <w:bCs/>
                <w:sz w:val="18"/>
                <w:szCs w:val="20"/>
                <w:lang w:eastAsia="el-GR"/>
              </w:rPr>
              <w:t>%</w:t>
            </w:r>
          </w:p>
        </w:tc>
      </w:tr>
      <w:tr w:rsidR="008E7D1C" w:rsidRPr="006B5511" w14:paraId="00E7CD87" w14:textId="77777777" w:rsidTr="004470C2">
        <w:trPr>
          <w:trHeight w:val="82"/>
          <w:jc w:val="center"/>
        </w:trPr>
        <w:tc>
          <w:tcPr>
            <w:tcW w:w="4932"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7B6718A2" w14:textId="77777777" w:rsidR="008E7D1C" w:rsidRPr="00CB38F0" w:rsidRDefault="008E7D1C" w:rsidP="008E7D1C">
            <w:pPr>
              <w:tabs>
                <w:tab w:val="left" w:pos="0"/>
                <w:tab w:val="left" w:pos="974"/>
                <w:tab w:val="left" w:pos="1416"/>
                <w:tab w:val="decimal" w:pos="4962"/>
                <w:tab w:val="decimal" w:pos="6521"/>
                <w:tab w:val="right" w:pos="7560"/>
                <w:tab w:val="decimal" w:pos="8220"/>
                <w:tab w:val="left" w:pos="8640"/>
                <w:tab w:val="right" w:pos="9000"/>
              </w:tabs>
              <w:suppressAutoHyphens/>
              <w:spacing w:afterLines="20" w:after="48" w:line="240" w:lineRule="auto"/>
              <w:rPr>
                <w:rFonts w:ascii="Arial" w:eastAsia="Times New Roman" w:hAnsi="Arial" w:cs="Arial"/>
                <w:b/>
                <w:sz w:val="18"/>
                <w:szCs w:val="18"/>
                <w:lang w:val="el-GR" w:eastAsia="el-GR"/>
              </w:rPr>
            </w:pPr>
            <w:r w:rsidRPr="00CB38F0">
              <w:rPr>
                <w:rFonts w:ascii="Arial" w:hAnsi="Arial" w:cs="Arial"/>
                <w:b/>
                <w:sz w:val="18"/>
                <w:szCs w:val="18"/>
                <w:lang w:val="el-GR"/>
              </w:rPr>
              <w:t>Σύνολο</w:t>
            </w:r>
            <w:r w:rsidRPr="00CB38F0">
              <w:rPr>
                <w:rFonts w:ascii="Arial" w:hAnsi="Arial" w:cs="Arial"/>
                <w:b/>
                <w:sz w:val="18"/>
                <w:szCs w:val="18"/>
                <w:lang w:val="el-GR" w:eastAsia="el-GR"/>
              </w:rPr>
              <w:t xml:space="preserve"> πιστωτικών ζημιών δανείων, </w:t>
            </w:r>
            <w:r w:rsidRPr="00CB38F0">
              <w:rPr>
                <w:rFonts w:ascii="Arial" w:hAnsi="Arial" w:cs="Arial"/>
                <w:b/>
                <w:sz w:val="18"/>
                <w:szCs w:val="18"/>
                <w:lang w:val="el-GR"/>
              </w:rPr>
              <w:t>απομειώσεων και προβλέψεων</w:t>
            </w:r>
          </w:p>
        </w:tc>
        <w:tc>
          <w:tcPr>
            <w:tcW w:w="1159" w:type="dxa"/>
            <w:tcBorders>
              <w:top w:val="single" w:sz="4" w:space="0" w:color="808080" w:themeColor="background1" w:themeShade="80"/>
              <w:left w:val="nil"/>
              <w:bottom w:val="single" w:sz="4" w:space="0" w:color="808080" w:themeColor="background1" w:themeShade="80"/>
            </w:tcBorders>
            <w:vAlign w:val="center"/>
          </w:tcPr>
          <w:p w14:paraId="3E1E8A7E" w14:textId="2764895F"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sz w:val="18"/>
                <w:szCs w:val="20"/>
                <w:highlight w:val="yellow"/>
                <w:lang w:val="el-GR" w:eastAsia="el-GR"/>
              </w:rPr>
            </w:pPr>
            <w:r>
              <w:rPr>
                <w:rFonts w:ascii="Arial" w:eastAsia="Times New Roman" w:hAnsi="Arial" w:cs="Arial"/>
                <w:b/>
                <w:sz w:val="18"/>
                <w:szCs w:val="20"/>
                <w:lang w:eastAsia="el-GR"/>
              </w:rPr>
              <w:t>(44)</w:t>
            </w:r>
          </w:p>
        </w:tc>
        <w:tc>
          <w:tcPr>
            <w:tcW w:w="1134" w:type="dxa"/>
            <w:tcBorders>
              <w:top w:val="single" w:sz="4" w:space="0" w:color="808080" w:themeColor="background1" w:themeShade="80"/>
              <w:left w:val="nil"/>
              <w:bottom w:val="single" w:sz="4" w:space="0" w:color="808080" w:themeColor="background1" w:themeShade="80"/>
              <w:right w:val="nil"/>
            </w:tcBorders>
            <w:vAlign w:val="center"/>
          </w:tcPr>
          <w:p w14:paraId="67497F37" w14:textId="54E878C9"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sz w:val="18"/>
                <w:szCs w:val="20"/>
                <w:lang w:eastAsia="el-GR"/>
              </w:rPr>
            </w:pPr>
            <w:r w:rsidRPr="00AA1DCA">
              <w:rPr>
                <w:rFonts w:ascii="Arial" w:eastAsia="Times New Roman" w:hAnsi="Arial" w:cs="Arial"/>
                <w:b/>
                <w:sz w:val="18"/>
                <w:szCs w:val="20"/>
                <w:lang w:eastAsia="el-GR"/>
              </w:rPr>
              <w:t>(68)</w:t>
            </w:r>
          </w:p>
        </w:tc>
        <w:tc>
          <w:tcPr>
            <w:tcW w:w="1134" w:type="dxa"/>
            <w:tcBorders>
              <w:top w:val="single" w:sz="4" w:space="0" w:color="808080" w:themeColor="background1" w:themeShade="80"/>
              <w:bottom w:val="single" w:sz="4" w:space="0" w:color="808080" w:themeColor="background1" w:themeShade="80"/>
            </w:tcBorders>
            <w:vAlign w:val="center"/>
          </w:tcPr>
          <w:p w14:paraId="09A24DA1" w14:textId="2C59695F" w:rsidR="008E7D1C" w:rsidRPr="004470C2"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sz w:val="18"/>
                <w:szCs w:val="18"/>
                <w:highlight w:val="yellow"/>
                <w:lang w:eastAsia="el-GR"/>
              </w:rPr>
            </w:pPr>
            <w:r w:rsidRPr="00D42E7E">
              <w:rPr>
                <w:rFonts w:ascii="Arial" w:eastAsia="Times New Roman" w:hAnsi="Arial" w:cs="Arial"/>
                <w:b/>
                <w:sz w:val="18"/>
                <w:szCs w:val="20"/>
                <w:lang w:eastAsia="el-GR"/>
              </w:rPr>
              <w:t>(</w:t>
            </w:r>
            <w:r>
              <w:rPr>
                <w:rFonts w:ascii="Arial" w:eastAsia="Times New Roman" w:hAnsi="Arial" w:cs="Arial"/>
                <w:b/>
                <w:sz w:val="18"/>
                <w:szCs w:val="20"/>
                <w:lang w:eastAsia="el-GR"/>
              </w:rPr>
              <w:t>19</w:t>
            </w:r>
            <w:r w:rsidRPr="00D42E7E">
              <w:rPr>
                <w:rFonts w:ascii="Arial" w:eastAsia="Times New Roman" w:hAnsi="Arial" w:cs="Arial"/>
                <w:b/>
                <w:sz w:val="18"/>
                <w:szCs w:val="20"/>
                <w:lang w:eastAsia="el-GR"/>
              </w:rPr>
              <w:t>)</w:t>
            </w:r>
          </w:p>
        </w:tc>
        <w:tc>
          <w:tcPr>
            <w:tcW w:w="1134" w:type="dxa"/>
            <w:tcBorders>
              <w:top w:val="single" w:sz="4" w:space="0" w:color="808080" w:themeColor="background1" w:themeShade="80"/>
              <w:bottom w:val="single" w:sz="4" w:space="0" w:color="808080" w:themeColor="background1" w:themeShade="80"/>
            </w:tcBorders>
            <w:vAlign w:val="center"/>
          </w:tcPr>
          <w:p w14:paraId="53351498" w14:textId="17EB7DD6"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sz w:val="18"/>
                <w:szCs w:val="20"/>
                <w:lang w:eastAsia="el-GR"/>
              </w:rPr>
            </w:pPr>
            <w:r w:rsidRPr="00A80F70">
              <w:rPr>
                <w:rFonts w:ascii="Arial" w:eastAsia="Times New Roman" w:hAnsi="Arial" w:cs="Arial"/>
                <w:b/>
                <w:sz w:val="18"/>
                <w:szCs w:val="20"/>
                <w:lang w:eastAsia="el-GR"/>
              </w:rPr>
              <w:t>(2</w:t>
            </w:r>
            <w:r>
              <w:rPr>
                <w:rFonts w:ascii="Arial" w:eastAsia="Times New Roman" w:hAnsi="Arial" w:cs="Arial"/>
                <w:b/>
                <w:sz w:val="18"/>
                <w:szCs w:val="20"/>
                <w:lang w:eastAsia="el-GR"/>
              </w:rPr>
              <w:t>5</w:t>
            </w:r>
            <w:r w:rsidRPr="00A80F70">
              <w:rPr>
                <w:rFonts w:ascii="Arial" w:eastAsia="Times New Roman" w:hAnsi="Arial" w:cs="Arial"/>
                <w:b/>
                <w:sz w:val="18"/>
                <w:szCs w:val="20"/>
                <w:lang w:eastAsia="el-GR"/>
              </w:rPr>
              <w:t>)</w:t>
            </w:r>
          </w:p>
        </w:tc>
        <w:tc>
          <w:tcPr>
            <w:tcW w:w="992" w:type="dxa"/>
            <w:tcBorders>
              <w:top w:val="single" w:sz="4" w:space="0" w:color="808080" w:themeColor="background1" w:themeShade="80"/>
              <w:bottom w:val="single" w:sz="4" w:space="0" w:color="808080" w:themeColor="background1" w:themeShade="80"/>
            </w:tcBorders>
            <w:vAlign w:val="center"/>
          </w:tcPr>
          <w:p w14:paraId="3663FBC3" w14:textId="05DBEAFC"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sz w:val="18"/>
                <w:szCs w:val="18"/>
                <w:highlight w:val="yellow"/>
                <w:lang w:eastAsia="el-GR"/>
              </w:rPr>
            </w:pPr>
            <w:r w:rsidRPr="00D42E7E">
              <w:rPr>
                <w:rFonts w:ascii="Arial" w:eastAsia="Times New Roman" w:hAnsi="Arial" w:cs="Arial"/>
                <w:b/>
                <w:sz w:val="18"/>
                <w:szCs w:val="20"/>
                <w:lang w:eastAsia="el-GR"/>
              </w:rPr>
              <w:t>-</w:t>
            </w:r>
            <w:r>
              <w:rPr>
                <w:rFonts w:ascii="Arial" w:eastAsia="Times New Roman" w:hAnsi="Arial" w:cs="Arial"/>
                <w:b/>
                <w:sz w:val="18"/>
                <w:szCs w:val="20"/>
                <w:lang w:eastAsia="el-GR"/>
              </w:rPr>
              <w:t>29</w:t>
            </w:r>
            <w:r w:rsidRPr="00D42E7E">
              <w:rPr>
                <w:rFonts w:ascii="Arial" w:eastAsia="Times New Roman" w:hAnsi="Arial" w:cs="Arial"/>
                <w:b/>
                <w:sz w:val="18"/>
                <w:szCs w:val="20"/>
                <w:lang w:eastAsia="el-GR"/>
              </w:rPr>
              <w:t>%</w:t>
            </w:r>
          </w:p>
        </w:tc>
        <w:tc>
          <w:tcPr>
            <w:tcW w:w="992"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4BE3AF0" w14:textId="06376452" w:rsidR="008E7D1C" w:rsidRPr="00CB38F0" w:rsidDel="00CB576F"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sz w:val="18"/>
                <w:szCs w:val="18"/>
                <w:highlight w:val="yellow"/>
                <w:lang w:eastAsia="el-GR"/>
              </w:rPr>
            </w:pPr>
            <w:r w:rsidRPr="003748A3">
              <w:rPr>
                <w:rFonts w:ascii="Arial" w:eastAsia="Times New Roman" w:hAnsi="Arial" w:cs="Arial"/>
                <w:b/>
                <w:sz w:val="18"/>
                <w:szCs w:val="20"/>
                <w:lang w:eastAsia="el-GR"/>
              </w:rPr>
              <w:t>-</w:t>
            </w:r>
            <w:r>
              <w:rPr>
                <w:rFonts w:ascii="Arial" w:eastAsia="Times New Roman" w:hAnsi="Arial" w:cs="Arial"/>
                <w:b/>
                <w:sz w:val="18"/>
                <w:szCs w:val="20"/>
                <w:lang w:eastAsia="el-GR"/>
              </w:rPr>
              <w:t>37</w:t>
            </w:r>
            <w:r w:rsidRPr="003748A3">
              <w:rPr>
                <w:rFonts w:ascii="Arial" w:eastAsia="Times New Roman" w:hAnsi="Arial" w:cs="Arial"/>
                <w:b/>
                <w:sz w:val="18"/>
                <w:szCs w:val="20"/>
                <w:lang w:eastAsia="el-GR"/>
              </w:rPr>
              <w:t>%</w:t>
            </w:r>
          </w:p>
        </w:tc>
      </w:tr>
      <w:tr w:rsidR="008E7D1C" w:rsidRPr="006B5511" w14:paraId="0F377E0E" w14:textId="77777777" w:rsidTr="004470C2">
        <w:trPr>
          <w:trHeight w:val="82"/>
          <w:jc w:val="center"/>
        </w:trPr>
        <w:tc>
          <w:tcPr>
            <w:tcW w:w="4932"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57C45A55" w14:textId="77777777" w:rsidR="008E7D1C" w:rsidRPr="00CB38F0" w:rsidRDefault="008E7D1C" w:rsidP="008E7D1C">
            <w:pPr>
              <w:tabs>
                <w:tab w:val="left" w:pos="0"/>
                <w:tab w:val="left" w:pos="974"/>
                <w:tab w:val="left" w:pos="1416"/>
                <w:tab w:val="decimal" w:pos="4962"/>
                <w:tab w:val="decimal" w:pos="6521"/>
                <w:tab w:val="right" w:pos="7560"/>
                <w:tab w:val="decimal" w:pos="8220"/>
                <w:tab w:val="left" w:pos="8640"/>
                <w:tab w:val="right" w:pos="9000"/>
              </w:tabs>
              <w:suppressAutoHyphens/>
              <w:spacing w:afterLines="20" w:after="48" w:line="240" w:lineRule="auto"/>
              <w:rPr>
                <w:rFonts w:ascii="Arial" w:eastAsia="Times New Roman" w:hAnsi="Arial" w:cs="Arial"/>
                <w:b/>
                <w:sz w:val="18"/>
                <w:szCs w:val="18"/>
                <w:lang w:val="el-GR" w:eastAsia="el-GR"/>
              </w:rPr>
            </w:pPr>
            <w:r w:rsidRPr="00CB38F0">
              <w:rPr>
                <w:rFonts w:ascii="Arial" w:hAnsi="Arial" w:cs="Arial"/>
                <w:b/>
                <w:sz w:val="18"/>
                <w:szCs w:val="18"/>
                <w:lang w:val="el-GR"/>
              </w:rPr>
              <w:t>Κέρδη πριν τη φορολογία και μη- επαναλαμβανόμενα στοιχεία</w:t>
            </w:r>
          </w:p>
        </w:tc>
        <w:tc>
          <w:tcPr>
            <w:tcW w:w="1159" w:type="dxa"/>
            <w:tcBorders>
              <w:top w:val="single" w:sz="4" w:space="0" w:color="808080" w:themeColor="background1" w:themeShade="80"/>
              <w:left w:val="nil"/>
              <w:bottom w:val="single" w:sz="4" w:space="0" w:color="808080" w:themeColor="background1" w:themeShade="80"/>
            </w:tcBorders>
            <w:vAlign w:val="center"/>
          </w:tcPr>
          <w:p w14:paraId="714718DB" w14:textId="16104D5F"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sz w:val="18"/>
                <w:szCs w:val="20"/>
                <w:highlight w:val="yellow"/>
                <w:lang w:val="el-GR" w:eastAsia="el-GR"/>
              </w:rPr>
            </w:pPr>
            <w:r>
              <w:rPr>
                <w:rFonts w:ascii="Arial" w:eastAsia="Times New Roman" w:hAnsi="Arial" w:cs="Arial"/>
                <w:b/>
                <w:bCs/>
                <w:sz w:val="18"/>
                <w:szCs w:val="20"/>
                <w:lang w:eastAsia="el-GR"/>
              </w:rPr>
              <w:t>319</w:t>
            </w:r>
          </w:p>
        </w:tc>
        <w:tc>
          <w:tcPr>
            <w:tcW w:w="1134" w:type="dxa"/>
            <w:tcBorders>
              <w:top w:val="single" w:sz="4" w:space="0" w:color="808080" w:themeColor="background1" w:themeShade="80"/>
              <w:left w:val="nil"/>
              <w:bottom w:val="single" w:sz="4" w:space="0" w:color="808080" w:themeColor="background1" w:themeShade="80"/>
              <w:right w:val="nil"/>
            </w:tcBorders>
            <w:vAlign w:val="center"/>
          </w:tcPr>
          <w:p w14:paraId="44494402" w14:textId="44120CF3"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sz w:val="18"/>
                <w:szCs w:val="20"/>
                <w:lang w:eastAsia="el-GR"/>
              </w:rPr>
            </w:pPr>
            <w:r w:rsidRPr="00AA1DCA">
              <w:rPr>
                <w:rFonts w:ascii="Arial" w:eastAsia="Times New Roman" w:hAnsi="Arial" w:cs="Arial"/>
                <w:b/>
                <w:bCs/>
                <w:sz w:val="18"/>
                <w:szCs w:val="20"/>
                <w:lang w:eastAsia="el-GR"/>
              </w:rPr>
              <w:t>263</w:t>
            </w:r>
          </w:p>
        </w:tc>
        <w:tc>
          <w:tcPr>
            <w:tcW w:w="1134" w:type="dxa"/>
            <w:tcBorders>
              <w:top w:val="single" w:sz="4" w:space="0" w:color="808080" w:themeColor="background1" w:themeShade="80"/>
              <w:bottom w:val="single" w:sz="4" w:space="0" w:color="808080" w:themeColor="background1" w:themeShade="80"/>
            </w:tcBorders>
            <w:vAlign w:val="center"/>
          </w:tcPr>
          <w:p w14:paraId="49C2D1B9" w14:textId="119789D3" w:rsidR="008E7D1C" w:rsidRPr="004470C2"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sz w:val="18"/>
                <w:szCs w:val="18"/>
                <w:highlight w:val="yellow"/>
                <w:lang w:eastAsia="el-GR"/>
              </w:rPr>
            </w:pPr>
            <w:r w:rsidRPr="00D42E7E">
              <w:rPr>
                <w:rFonts w:ascii="Arial" w:eastAsia="Times New Roman" w:hAnsi="Arial" w:cs="Arial"/>
                <w:b/>
                <w:bCs/>
                <w:sz w:val="18"/>
                <w:szCs w:val="20"/>
                <w:lang w:eastAsia="el-GR"/>
              </w:rPr>
              <w:t>1</w:t>
            </w:r>
            <w:r>
              <w:rPr>
                <w:rFonts w:ascii="Arial" w:eastAsia="Times New Roman" w:hAnsi="Arial" w:cs="Arial"/>
                <w:b/>
                <w:bCs/>
                <w:sz w:val="18"/>
                <w:szCs w:val="20"/>
                <w:lang w:eastAsia="el-GR"/>
              </w:rPr>
              <w:t>60</w:t>
            </w:r>
          </w:p>
        </w:tc>
        <w:tc>
          <w:tcPr>
            <w:tcW w:w="1134" w:type="dxa"/>
            <w:tcBorders>
              <w:top w:val="single" w:sz="4" w:space="0" w:color="808080" w:themeColor="background1" w:themeShade="80"/>
              <w:bottom w:val="single" w:sz="4" w:space="0" w:color="808080" w:themeColor="background1" w:themeShade="80"/>
            </w:tcBorders>
            <w:vAlign w:val="center"/>
          </w:tcPr>
          <w:p w14:paraId="6E12D081" w14:textId="1CA492B5"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sz w:val="18"/>
                <w:szCs w:val="20"/>
                <w:lang w:eastAsia="el-GR"/>
              </w:rPr>
            </w:pPr>
            <w:r w:rsidRPr="00A80F70">
              <w:rPr>
                <w:rFonts w:ascii="Arial" w:eastAsia="Times New Roman" w:hAnsi="Arial" w:cs="Arial"/>
                <w:b/>
                <w:bCs/>
                <w:sz w:val="18"/>
                <w:szCs w:val="20"/>
                <w:lang w:eastAsia="el-GR"/>
              </w:rPr>
              <w:t>15</w:t>
            </w:r>
            <w:r>
              <w:rPr>
                <w:rFonts w:ascii="Arial" w:eastAsia="Times New Roman" w:hAnsi="Arial" w:cs="Arial"/>
                <w:b/>
                <w:bCs/>
                <w:sz w:val="18"/>
                <w:szCs w:val="20"/>
                <w:lang w:eastAsia="el-GR"/>
              </w:rPr>
              <w:t>9</w:t>
            </w:r>
          </w:p>
        </w:tc>
        <w:tc>
          <w:tcPr>
            <w:tcW w:w="992" w:type="dxa"/>
            <w:tcBorders>
              <w:top w:val="single" w:sz="4" w:space="0" w:color="808080" w:themeColor="background1" w:themeShade="80"/>
              <w:bottom w:val="single" w:sz="4" w:space="0" w:color="808080" w:themeColor="background1" w:themeShade="80"/>
            </w:tcBorders>
            <w:vAlign w:val="center"/>
          </w:tcPr>
          <w:p w14:paraId="62D5D089" w14:textId="4C6CF747"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color w:val="000000" w:themeColor="text1"/>
                <w:sz w:val="18"/>
                <w:szCs w:val="18"/>
                <w:highlight w:val="yellow"/>
                <w:lang w:eastAsia="el-GR"/>
              </w:rPr>
            </w:pPr>
            <w:r w:rsidRPr="00D42E7E">
              <w:rPr>
                <w:rFonts w:ascii="Arial" w:eastAsia="Times New Roman" w:hAnsi="Arial" w:cs="Arial"/>
                <w:b/>
                <w:sz w:val="18"/>
                <w:szCs w:val="20"/>
                <w:lang w:eastAsia="el-GR"/>
              </w:rPr>
              <w:t>2%</w:t>
            </w:r>
          </w:p>
        </w:tc>
        <w:tc>
          <w:tcPr>
            <w:tcW w:w="992"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FADF25C" w14:textId="2DCDDD62"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color w:val="000000" w:themeColor="text1"/>
                <w:sz w:val="18"/>
                <w:szCs w:val="18"/>
                <w:highlight w:val="yellow"/>
                <w:lang w:eastAsia="el-GR"/>
              </w:rPr>
            </w:pPr>
            <w:r>
              <w:rPr>
                <w:rFonts w:ascii="Arial" w:eastAsia="Times New Roman" w:hAnsi="Arial" w:cs="Arial"/>
                <w:b/>
                <w:sz w:val="18"/>
                <w:szCs w:val="20"/>
                <w:lang w:eastAsia="el-GR"/>
              </w:rPr>
              <w:t>21</w:t>
            </w:r>
            <w:r w:rsidRPr="00E01287">
              <w:rPr>
                <w:rFonts w:ascii="Arial" w:eastAsia="Times New Roman" w:hAnsi="Arial" w:cs="Arial"/>
                <w:b/>
                <w:sz w:val="18"/>
                <w:szCs w:val="20"/>
                <w:lang w:eastAsia="el-GR"/>
              </w:rPr>
              <w:t>%</w:t>
            </w:r>
          </w:p>
        </w:tc>
      </w:tr>
      <w:tr w:rsidR="008E7D1C" w:rsidRPr="006B5511" w14:paraId="72D9A9F5" w14:textId="77777777" w:rsidTr="004470C2">
        <w:trPr>
          <w:trHeight w:val="193"/>
          <w:jc w:val="center"/>
        </w:trPr>
        <w:tc>
          <w:tcPr>
            <w:tcW w:w="4932" w:type="dxa"/>
            <w:vAlign w:val="center"/>
          </w:tcPr>
          <w:p w14:paraId="5EEB8F43" w14:textId="77777777" w:rsidR="008E7D1C" w:rsidRPr="00CB38F0" w:rsidRDefault="008E7D1C" w:rsidP="008E7D1C">
            <w:pPr>
              <w:tabs>
                <w:tab w:val="left" w:pos="974"/>
                <w:tab w:val="left" w:pos="1416"/>
                <w:tab w:val="decimal" w:pos="4962"/>
                <w:tab w:val="decimal" w:pos="6521"/>
                <w:tab w:val="right" w:pos="7560"/>
                <w:tab w:val="decimal" w:pos="8220"/>
                <w:tab w:val="left" w:pos="8640"/>
                <w:tab w:val="right" w:pos="9000"/>
              </w:tabs>
              <w:suppressAutoHyphens/>
              <w:spacing w:afterLines="20" w:after="48" w:line="240" w:lineRule="auto"/>
              <w:ind w:left="10"/>
              <w:rPr>
                <w:rFonts w:ascii="Arial" w:eastAsia="Times New Roman" w:hAnsi="Arial" w:cs="Arial"/>
                <w:sz w:val="18"/>
                <w:szCs w:val="18"/>
                <w:lang w:eastAsia="el-GR"/>
              </w:rPr>
            </w:pPr>
            <w:r w:rsidRPr="00CB38F0">
              <w:rPr>
                <w:rFonts w:ascii="Arial" w:hAnsi="Arial" w:cs="Arial"/>
                <w:sz w:val="18"/>
                <w:szCs w:val="18"/>
                <w:lang w:val="el-GR"/>
              </w:rPr>
              <w:t>Φορολογία</w:t>
            </w:r>
          </w:p>
        </w:tc>
        <w:tc>
          <w:tcPr>
            <w:tcW w:w="1159" w:type="dxa"/>
            <w:vAlign w:val="center"/>
          </w:tcPr>
          <w:p w14:paraId="18DE2386" w14:textId="4DB2D5E3"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eastAsia="el-GR"/>
              </w:rPr>
            </w:pPr>
            <w:r>
              <w:rPr>
                <w:rFonts w:ascii="Arial" w:eastAsia="Times New Roman" w:hAnsi="Arial" w:cs="Arial"/>
                <w:sz w:val="18"/>
                <w:szCs w:val="20"/>
                <w:lang w:eastAsia="el-GR"/>
              </w:rPr>
              <w:t>(48)</w:t>
            </w:r>
          </w:p>
        </w:tc>
        <w:tc>
          <w:tcPr>
            <w:tcW w:w="1134" w:type="dxa"/>
            <w:vAlign w:val="center"/>
          </w:tcPr>
          <w:p w14:paraId="7D54BCBE" w14:textId="648F3B91"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sidRPr="00AA1DCA">
              <w:rPr>
                <w:rFonts w:ascii="Arial" w:eastAsia="Times New Roman" w:hAnsi="Arial" w:cs="Arial"/>
                <w:sz w:val="18"/>
                <w:szCs w:val="20"/>
                <w:lang w:eastAsia="el-GR"/>
              </w:rPr>
              <w:t>(40)</w:t>
            </w:r>
          </w:p>
        </w:tc>
        <w:tc>
          <w:tcPr>
            <w:tcW w:w="1134" w:type="dxa"/>
            <w:vAlign w:val="center"/>
          </w:tcPr>
          <w:p w14:paraId="36D9CF7E" w14:textId="518446ED"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Pr>
                <w:rFonts w:ascii="Arial" w:eastAsia="Times New Roman" w:hAnsi="Arial" w:cs="Arial"/>
                <w:sz w:val="18"/>
                <w:szCs w:val="20"/>
                <w:lang w:eastAsia="el-GR"/>
              </w:rPr>
              <w:t>(23)</w:t>
            </w:r>
          </w:p>
        </w:tc>
        <w:tc>
          <w:tcPr>
            <w:tcW w:w="1134" w:type="dxa"/>
            <w:vAlign w:val="center"/>
          </w:tcPr>
          <w:p w14:paraId="15285184" w14:textId="660AC030"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sidRPr="00A80F70">
              <w:rPr>
                <w:rFonts w:ascii="Arial" w:eastAsia="Times New Roman" w:hAnsi="Arial" w:cs="Arial"/>
                <w:sz w:val="18"/>
                <w:szCs w:val="20"/>
                <w:lang w:eastAsia="el-GR"/>
              </w:rPr>
              <w:t>(</w:t>
            </w:r>
            <w:r>
              <w:rPr>
                <w:rFonts w:ascii="Arial" w:eastAsia="Times New Roman" w:hAnsi="Arial" w:cs="Arial"/>
                <w:sz w:val="18"/>
                <w:szCs w:val="20"/>
                <w:lang w:eastAsia="el-GR"/>
              </w:rPr>
              <w:t>25</w:t>
            </w:r>
            <w:r w:rsidRPr="00A80F70">
              <w:rPr>
                <w:rFonts w:ascii="Arial" w:eastAsia="Times New Roman" w:hAnsi="Arial" w:cs="Arial"/>
                <w:sz w:val="18"/>
                <w:szCs w:val="20"/>
                <w:lang w:eastAsia="el-GR"/>
              </w:rPr>
              <w:t>)</w:t>
            </w:r>
          </w:p>
        </w:tc>
        <w:tc>
          <w:tcPr>
            <w:tcW w:w="992" w:type="dxa"/>
            <w:vAlign w:val="center"/>
          </w:tcPr>
          <w:p w14:paraId="46CBEAAD" w14:textId="5C0053C9"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color w:val="000000" w:themeColor="text1"/>
                <w:sz w:val="18"/>
                <w:szCs w:val="18"/>
                <w:highlight w:val="yellow"/>
                <w:lang w:eastAsia="el-GR"/>
              </w:rPr>
            </w:pPr>
            <w:r w:rsidRPr="00D42E7E">
              <w:rPr>
                <w:rFonts w:ascii="Arial" w:eastAsia="Times New Roman" w:hAnsi="Arial" w:cs="Arial"/>
                <w:sz w:val="18"/>
                <w:szCs w:val="20"/>
                <w:lang w:eastAsia="el-GR"/>
              </w:rPr>
              <w:t>-</w:t>
            </w:r>
            <w:r>
              <w:rPr>
                <w:rFonts w:ascii="Arial" w:eastAsia="Times New Roman" w:hAnsi="Arial" w:cs="Arial"/>
                <w:sz w:val="18"/>
                <w:szCs w:val="20"/>
                <w:lang w:eastAsia="el-GR"/>
              </w:rPr>
              <w:t>7</w:t>
            </w:r>
            <w:r w:rsidRPr="00D42E7E">
              <w:rPr>
                <w:rFonts w:ascii="Arial" w:eastAsia="Times New Roman" w:hAnsi="Arial" w:cs="Arial"/>
                <w:sz w:val="18"/>
                <w:szCs w:val="20"/>
                <w:lang w:eastAsia="el-GR"/>
              </w:rPr>
              <w:t>%</w:t>
            </w:r>
          </w:p>
        </w:tc>
        <w:tc>
          <w:tcPr>
            <w:tcW w:w="992" w:type="dxa"/>
            <w:shd w:val="clear" w:color="auto" w:fill="auto"/>
            <w:vAlign w:val="center"/>
          </w:tcPr>
          <w:p w14:paraId="17F6D1C1" w14:textId="38D63EEF"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color w:val="000000" w:themeColor="text1"/>
                <w:sz w:val="18"/>
                <w:szCs w:val="18"/>
                <w:highlight w:val="yellow"/>
                <w:lang w:eastAsia="el-GR"/>
              </w:rPr>
            </w:pPr>
            <w:r w:rsidRPr="00E01287">
              <w:rPr>
                <w:rFonts w:ascii="Arial" w:eastAsia="Times New Roman" w:hAnsi="Arial" w:cs="Arial"/>
                <w:sz w:val="18"/>
                <w:szCs w:val="20"/>
                <w:lang w:eastAsia="el-GR"/>
              </w:rPr>
              <w:t>2</w:t>
            </w:r>
            <w:r>
              <w:rPr>
                <w:rFonts w:ascii="Arial" w:eastAsia="Times New Roman" w:hAnsi="Arial" w:cs="Arial"/>
                <w:sz w:val="18"/>
                <w:szCs w:val="20"/>
                <w:lang w:eastAsia="el-GR"/>
              </w:rPr>
              <w:t>1</w:t>
            </w:r>
            <w:r w:rsidRPr="00E01287">
              <w:rPr>
                <w:rFonts w:ascii="Arial" w:eastAsia="Times New Roman" w:hAnsi="Arial" w:cs="Arial"/>
                <w:sz w:val="18"/>
                <w:szCs w:val="20"/>
                <w:lang w:eastAsia="el-GR"/>
              </w:rPr>
              <w:t>%</w:t>
            </w:r>
          </w:p>
        </w:tc>
      </w:tr>
      <w:tr w:rsidR="008E7D1C" w:rsidRPr="006B5511" w14:paraId="1A535FC7" w14:textId="77777777" w:rsidTr="004470C2">
        <w:trPr>
          <w:trHeight w:val="94"/>
          <w:jc w:val="center"/>
        </w:trPr>
        <w:tc>
          <w:tcPr>
            <w:tcW w:w="4932" w:type="dxa"/>
            <w:vAlign w:val="center"/>
          </w:tcPr>
          <w:p w14:paraId="235A1BD5" w14:textId="77777777" w:rsidR="008E7D1C" w:rsidRPr="00CB38F0" w:rsidRDefault="008E7D1C" w:rsidP="008E7D1C">
            <w:pPr>
              <w:tabs>
                <w:tab w:val="left" w:pos="974"/>
                <w:tab w:val="left" w:pos="1416"/>
                <w:tab w:val="decimal" w:pos="4962"/>
                <w:tab w:val="decimal" w:pos="6521"/>
                <w:tab w:val="right" w:pos="7560"/>
                <w:tab w:val="decimal" w:pos="8220"/>
                <w:tab w:val="left" w:pos="8640"/>
                <w:tab w:val="right" w:pos="9000"/>
              </w:tabs>
              <w:suppressAutoHyphens/>
              <w:spacing w:afterLines="20" w:after="48" w:line="240" w:lineRule="auto"/>
              <w:ind w:left="10"/>
              <w:rPr>
                <w:rFonts w:ascii="Arial" w:eastAsia="Times New Roman" w:hAnsi="Arial" w:cs="Arial"/>
                <w:sz w:val="18"/>
                <w:szCs w:val="18"/>
                <w:lang w:val="el-GR" w:eastAsia="el-GR"/>
              </w:rPr>
            </w:pPr>
            <w:r w:rsidRPr="00CB38F0">
              <w:rPr>
                <w:rFonts w:ascii="Arial" w:hAnsi="Arial" w:cs="Arial"/>
                <w:sz w:val="18"/>
                <w:szCs w:val="18"/>
                <w:lang w:val="el-GR"/>
              </w:rPr>
              <w:t>Κέρδη</w:t>
            </w:r>
            <w:r w:rsidRPr="00CB38F0">
              <w:rPr>
                <w:rFonts w:ascii="Arial" w:hAnsi="Arial" w:cs="Arial"/>
                <w:color w:val="FF0000"/>
                <w:sz w:val="18"/>
                <w:szCs w:val="18"/>
                <w:lang w:val="el-GR"/>
              </w:rPr>
              <w:t xml:space="preserve"> </w:t>
            </w:r>
            <w:r w:rsidRPr="00CB38F0">
              <w:rPr>
                <w:rFonts w:ascii="Arial" w:hAnsi="Arial" w:cs="Arial"/>
                <w:sz w:val="18"/>
                <w:szCs w:val="18"/>
                <w:lang w:val="el-GR"/>
              </w:rPr>
              <w:t>που αναλογούν σε δικαιώματα μειοψηφίας</w:t>
            </w:r>
          </w:p>
        </w:tc>
        <w:tc>
          <w:tcPr>
            <w:tcW w:w="1159" w:type="dxa"/>
            <w:vAlign w:val="center"/>
          </w:tcPr>
          <w:p w14:paraId="796176E1" w14:textId="0E39328A"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val="el-GR" w:eastAsia="el-GR"/>
              </w:rPr>
            </w:pPr>
            <w:r>
              <w:rPr>
                <w:rFonts w:ascii="Arial" w:eastAsia="Times New Roman" w:hAnsi="Arial" w:cs="Arial"/>
                <w:sz w:val="18"/>
                <w:szCs w:val="20"/>
                <w:lang w:eastAsia="el-GR"/>
              </w:rPr>
              <w:t>(1)</w:t>
            </w:r>
          </w:p>
        </w:tc>
        <w:tc>
          <w:tcPr>
            <w:tcW w:w="1134" w:type="dxa"/>
            <w:vAlign w:val="center"/>
          </w:tcPr>
          <w:p w14:paraId="0B9881C7" w14:textId="1F5F9B9F"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sidRPr="00AA1DCA">
              <w:rPr>
                <w:rFonts w:ascii="Arial" w:eastAsia="Times New Roman" w:hAnsi="Arial" w:cs="Arial"/>
                <w:sz w:val="18"/>
                <w:szCs w:val="20"/>
                <w:lang w:eastAsia="el-GR"/>
              </w:rPr>
              <w:t>(1)</w:t>
            </w:r>
          </w:p>
        </w:tc>
        <w:tc>
          <w:tcPr>
            <w:tcW w:w="1134" w:type="dxa"/>
            <w:vAlign w:val="center"/>
          </w:tcPr>
          <w:p w14:paraId="74B77366" w14:textId="3F8E77B6"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Pr>
                <w:rFonts w:ascii="Arial" w:eastAsia="Times New Roman" w:hAnsi="Arial" w:cs="Arial"/>
                <w:sz w:val="18"/>
                <w:szCs w:val="20"/>
                <w:lang w:eastAsia="el-GR"/>
              </w:rPr>
              <w:t>0</w:t>
            </w:r>
          </w:p>
        </w:tc>
        <w:tc>
          <w:tcPr>
            <w:tcW w:w="1134" w:type="dxa"/>
            <w:vAlign w:val="center"/>
          </w:tcPr>
          <w:p w14:paraId="63789E76" w14:textId="4C4BACB5"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sidRPr="00A80F70">
              <w:rPr>
                <w:rFonts w:ascii="Arial" w:eastAsia="Times New Roman" w:hAnsi="Arial" w:cs="Arial"/>
                <w:sz w:val="18"/>
                <w:szCs w:val="20"/>
                <w:lang w:eastAsia="el-GR"/>
              </w:rPr>
              <w:t>(1)</w:t>
            </w:r>
          </w:p>
        </w:tc>
        <w:tc>
          <w:tcPr>
            <w:tcW w:w="992" w:type="dxa"/>
            <w:vAlign w:val="center"/>
          </w:tcPr>
          <w:p w14:paraId="2563F873" w14:textId="3A3D4FB8"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color w:val="000000" w:themeColor="text1"/>
                <w:sz w:val="18"/>
                <w:szCs w:val="18"/>
                <w:highlight w:val="yellow"/>
                <w:lang w:eastAsia="el-GR"/>
              </w:rPr>
            </w:pPr>
            <w:r w:rsidRPr="00D42E7E">
              <w:rPr>
                <w:rFonts w:ascii="Arial" w:eastAsia="Times New Roman" w:hAnsi="Arial" w:cs="Arial"/>
                <w:sz w:val="18"/>
                <w:szCs w:val="20"/>
                <w:lang w:eastAsia="el-GR"/>
              </w:rPr>
              <w:t>-2</w:t>
            </w:r>
            <w:r>
              <w:rPr>
                <w:rFonts w:ascii="Arial" w:eastAsia="Times New Roman" w:hAnsi="Arial" w:cs="Arial"/>
                <w:sz w:val="18"/>
                <w:szCs w:val="20"/>
                <w:lang w:eastAsia="el-GR"/>
              </w:rPr>
              <w:t>2</w:t>
            </w:r>
            <w:r w:rsidRPr="00D42E7E">
              <w:rPr>
                <w:rFonts w:ascii="Arial" w:eastAsia="Times New Roman" w:hAnsi="Arial" w:cs="Arial"/>
                <w:sz w:val="18"/>
                <w:szCs w:val="20"/>
                <w:lang w:eastAsia="el-GR"/>
              </w:rPr>
              <w:t>%</w:t>
            </w:r>
          </w:p>
        </w:tc>
        <w:tc>
          <w:tcPr>
            <w:tcW w:w="992" w:type="dxa"/>
            <w:shd w:val="clear" w:color="auto" w:fill="auto"/>
            <w:vAlign w:val="center"/>
          </w:tcPr>
          <w:p w14:paraId="073F169E" w14:textId="37D4B62A"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color w:val="000000" w:themeColor="text1"/>
                <w:sz w:val="18"/>
                <w:szCs w:val="18"/>
                <w:highlight w:val="yellow"/>
                <w:lang w:eastAsia="el-GR"/>
              </w:rPr>
            </w:pPr>
            <w:r w:rsidRPr="00E01287">
              <w:rPr>
                <w:rFonts w:ascii="Arial" w:eastAsia="Times New Roman" w:hAnsi="Arial" w:cs="Arial"/>
                <w:sz w:val="18"/>
                <w:szCs w:val="20"/>
                <w:lang w:eastAsia="el-GR"/>
              </w:rPr>
              <w:t>1</w:t>
            </w:r>
            <w:r>
              <w:rPr>
                <w:rFonts w:ascii="Arial" w:eastAsia="Times New Roman" w:hAnsi="Arial" w:cs="Arial"/>
                <w:sz w:val="18"/>
                <w:szCs w:val="20"/>
                <w:lang w:eastAsia="el-GR"/>
              </w:rPr>
              <w:t>4</w:t>
            </w:r>
            <w:r w:rsidRPr="00E01287">
              <w:rPr>
                <w:rFonts w:ascii="Arial" w:eastAsia="Times New Roman" w:hAnsi="Arial" w:cs="Arial"/>
                <w:sz w:val="18"/>
                <w:szCs w:val="20"/>
                <w:lang w:eastAsia="el-GR"/>
              </w:rPr>
              <w:t>%</w:t>
            </w:r>
          </w:p>
        </w:tc>
      </w:tr>
      <w:tr w:rsidR="008E7D1C" w:rsidRPr="006B5511" w14:paraId="174C00CA" w14:textId="77777777" w:rsidTr="004470C2">
        <w:trPr>
          <w:trHeight w:val="82"/>
          <w:jc w:val="center"/>
        </w:trPr>
        <w:tc>
          <w:tcPr>
            <w:tcW w:w="4932"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0B8E0780" w14:textId="77777777" w:rsidR="008E7D1C" w:rsidRPr="00CB38F0" w:rsidRDefault="008E7D1C" w:rsidP="008E7D1C">
            <w:pPr>
              <w:tabs>
                <w:tab w:val="left" w:pos="974"/>
                <w:tab w:val="left" w:pos="1416"/>
                <w:tab w:val="decimal" w:pos="4962"/>
                <w:tab w:val="decimal" w:pos="6521"/>
                <w:tab w:val="right" w:pos="7560"/>
                <w:tab w:val="decimal" w:pos="8220"/>
                <w:tab w:val="left" w:pos="8640"/>
                <w:tab w:val="right" w:pos="9000"/>
              </w:tabs>
              <w:suppressAutoHyphens/>
              <w:spacing w:afterLines="20" w:after="48" w:line="240" w:lineRule="auto"/>
              <w:ind w:left="10"/>
              <w:rPr>
                <w:rFonts w:ascii="Arial" w:eastAsia="Times New Roman" w:hAnsi="Arial" w:cs="Arial"/>
                <w:sz w:val="18"/>
                <w:szCs w:val="18"/>
                <w:lang w:val="el-GR" w:eastAsia="el-GR"/>
              </w:rPr>
            </w:pPr>
            <w:r w:rsidRPr="00CB38F0">
              <w:rPr>
                <w:rFonts w:ascii="Arial" w:hAnsi="Arial" w:cs="Arial"/>
                <w:b/>
                <w:sz w:val="18"/>
                <w:szCs w:val="18"/>
                <w:lang w:val="el-GR"/>
              </w:rPr>
              <w:t>Κέρδη</w:t>
            </w:r>
            <w:r w:rsidRPr="00CB38F0">
              <w:rPr>
                <w:rFonts w:ascii="Arial" w:hAnsi="Arial" w:cs="Arial"/>
                <w:b/>
                <w:bCs/>
                <w:sz w:val="18"/>
                <w:szCs w:val="18"/>
                <w:lang w:val="el-GR"/>
              </w:rPr>
              <w:t xml:space="preserve"> μετά τη φορολογία και πριν τα μη- επαναλαμβανόμενα στοιχεία (που αναλογούν στους ιδιοκτήτες της Εταιρίας)</w:t>
            </w:r>
          </w:p>
        </w:tc>
        <w:tc>
          <w:tcPr>
            <w:tcW w:w="1159" w:type="dxa"/>
            <w:tcBorders>
              <w:top w:val="single" w:sz="4" w:space="0" w:color="808080" w:themeColor="background1" w:themeShade="80"/>
              <w:left w:val="nil"/>
              <w:bottom w:val="single" w:sz="4" w:space="0" w:color="808080" w:themeColor="background1" w:themeShade="80"/>
            </w:tcBorders>
            <w:vAlign w:val="center"/>
          </w:tcPr>
          <w:p w14:paraId="32E093CA" w14:textId="765D4245"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20"/>
                <w:highlight w:val="yellow"/>
                <w:lang w:val="el-GR" w:eastAsia="el-GR"/>
              </w:rPr>
            </w:pPr>
            <w:r>
              <w:rPr>
                <w:rFonts w:ascii="Arial" w:eastAsia="Times New Roman" w:hAnsi="Arial" w:cs="Arial"/>
                <w:b/>
                <w:bCs/>
                <w:sz w:val="18"/>
                <w:szCs w:val="20"/>
                <w:lang w:eastAsia="el-GR"/>
              </w:rPr>
              <w:t>270</w:t>
            </w:r>
          </w:p>
        </w:tc>
        <w:tc>
          <w:tcPr>
            <w:tcW w:w="1134" w:type="dxa"/>
            <w:tcBorders>
              <w:top w:val="single" w:sz="4" w:space="0" w:color="808080" w:themeColor="background1" w:themeShade="80"/>
              <w:left w:val="nil"/>
              <w:bottom w:val="single" w:sz="4" w:space="0" w:color="808080" w:themeColor="background1" w:themeShade="80"/>
              <w:right w:val="nil"/>
            </w:tcBorders>
            <w:vAlign w:val="center"/>
          </w:tcPr>
          <w:p w14:paraId="5620D868" w14:textId="6F3823C7"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20"/>
                <w:lang w:eastAsia="el-GR"/>
              </w:rPr>
            </w:pPr>
            <w:r w:rsidRPr="00AA1DCA">
              <w:rPr>
                <w:rFonts w:ascii="Arial" w:eastAsia="Times New Roman" w:hAnsi="Arial" w:cs="Arial"/>
                <w:b/>
                <w:bCs/>
                <w:sz w:val="18"/>
                <w:szCs w:val="20"/>
                <w:lang w:eastAsia="el-GR"/>
              </w:rPr>
              <w:t>222</w:t>
            </w:r>
          </w:p>
        </w:tc>
        <w:tc>
          <w:tcPr>
            <w:tcW w:w="1134" w:type="dxa"/>
            <w:tcBorders>
              <w:top w:val="single" w:sz="4" w:space="0" w:color="808080" w:themeColor="background1" w:themeShade="80"/>
              <w:bottom w:val="single" w:sz="4" w:space="0" w:color="808080" w:themeColor="background1" w:themeShade="80"/>
            </w:tcBorders>
            <w:vAlign w:val="center"/>
          </w:tcPr>
          <w:p w14:paraId="451AFC00" w14:textId="38282925" w:rsidR="008E7D1C" w:rsidRPr="004470C2"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18"/>
                <w:highlight w:val="yellow"/>
                <w:lang w:eastAsia="el-GR"/>
              </w:rPr>
            </w:pPr>
            <w:r w:rsidRPr="00D42E7E">
              <w:rPr>
                <w:rFonts w:ascii="Arial" w:eastAsia="Times New Roman" w:hAnsi="Arial" w:cs="Arial"/>
                <w:b/>
                <w:bCs/>
                <w:sz w:val="18"/>
                <w:szCs w:val="20"/>
                <w:lang w:eastAsia="el-GR"/>
              </w:rPr>
              <w:t>13</w:t>
            </w:r>
            <w:r>
              <w:rPr>
                <w:rFonts w:ascii="Arial" w:eastAsia="Times New Roman" w:hAnsi="Arial" w:cs="Arial"/>
                <w:b/>
                <w:bCs/>
                <w:sz w:val="18"/>
                <w:szCs w:val="20"/>
                <w:lang w:eastAsia="el-GR"/>
              </w:rPr>
              <w:t>7</w:t>
            </w:r>
          </w:p>
        </w:tc>
        <w:tc>
          <w:tcPr>
            <w:tcW w:w="1134" w:type="dxa"/>
            <w:tcBorders>
              <w:top w:val="single" w:sz="4" w:space="0" w:color="808080" w:themeColor="background1" w:themeShade="80"/>
              <w:bottom w:val="single" w:sz="4" w:space="0" w:color="808080" w:themeColor="background1" w:themeShade="80"/>
            </w:tcBorders>
            <w:vAlign w:val="center"/>
          </w:tcPr>
          <w:p w14:paraId="11CA30DC" w14:textId="7D7261C7"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20"/>
                <w:lang w:eastAsia="el-GR"/>
              </w:rPr>
            </w:pPr>
            <w:r>
              <w:rPr>
                <w:rFonts w:ascii="Arial" w:eastAsia="Times New Roman" w:hAnsi="Arial" w:cs="Arial"/>
                <w:b/>
                <w:bCs/>
                <w:sz w:val="18"/>
                <w:szCs w:val="20"/>
                <w:lang w:eastAsia="el-GR"/>
              </w:rPr>
              <w:t>133</w:t>
            </w:r>
          </w:p>
        </w:tc>
        <w:tc>
          <w:tcPr>
            <w:tcW w:w="992" w:type="dxa"/>
            <w:tcBorders>
              <w:top w:val="single" w:sz="4" w:space="0" w:color="808080" w:themeColor="background1" w:themeShade="80"/>
              <w:bottom w:val="single" w:sz="4" w:space="0" w:color="808080" w:themeColor="background1" w:themeShade="80"/>
            </w:tcBorders>
            <w:vAlign w:val="center"/>
          </w:tcPr>
          <w:p w14:paraId="14C134E0" w14:textId="236AD6B7"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18"/>
                <w:highlight w:val="yellow"/>
                <w:lang w:eastAsia="el-GR"/>
              </w:rPr>
            </w:pPr>
            <w:r>
              <w:rPr>
                <w:rFonts w:ascii="Arial" w:eastAsia="Times New Roman" w:hAnsi="Arial" w:cs="Arial"/>
                <w:b/>
                <w:bCs/>
                <w:sz w:val="18"/>
                <w:szCs w:val="20"/>
                <w:lang w:eastAsia="el-GR"/>
              </w:rPr>
              <w:t>4</w:t>
            </w:r>
            <w:r w:rsidRPr="00D42E7E">
              <w:rPr>
                <w:rFonts w:ascii="Arial" w:eastAsia="Times New Roman" w:hAnsi="Arial" w:cs="Arial"/>
                <w:b/>
                <w:bCs/>
                <w:sz w:val="18"/>
                <w:szCs w:val="20"/>
                <w:lang w:eastAsia="el-GR"/>
              </w:rPr>
              <w:t>%</w:t>
            </w:r>
          </w:p>
        </w:tc>
        <w:tc>
          <w:tcPr>
            <w:tcW w:w="992"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3163DC1" w14:textId="482A5B90"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18"/>
                <w:highlight w:val="yellow"/>
                <w:lang w:eastAsia="el-GR"/>
              </w:rPr>
            </w:pPr>
            <w:r>
              <w:rPr>
                <w:rFonts w:ascii="Arial" w:eastAsia="Times New Roman" w:hAnsi="Arial" w:cs="Arial"/>
                <w:b/>
                <w:bCs/>
                <w:sz w:val="18"/>
                <w:szCs w:val="20"/>
                <w:lang w:eastAsia="el-GR"/>
              </w:rPr>
              <w:t>22</w:t>
            </w:r>
            <w:r w:rsidRPr="00E01287">
              <w:rPr>
                <w:rFonts w:ascii="Arial" w:eastAsia="Times New Roman" w:hAnsi="Arial" w:cs="Arial"/>
                <w:b/>
                <w:bCs/>
                <w:sz w:val="18"/>
                <w:szCs w:val="20"/>
                <w:lang w:eastAsia="el-GR"/>
              </w:rPr>
              <w:t>%</w:t>
            </w:r>
          </w:p>
        </w:tc>
      </w:tr>
      <w:tr w:rsidR="008E7D1C" w:rsidRPr="006B5511" w14:paraId="3D36A860" w14:textId="77777777" w:rsidTr="004470C2">
        <w:trPr>
          <w:trHeight w:val="82"/>
          <w:jc w:val="center"/>
        </w:trPr>
        <w:tc>
          <w:tcPr>
            <w:tcW w:w="4932" w:type="dxa"/>
            <w:tcBorders>
              <w:top w:val="single" w:sz="4" w:space="0" w:color="808080" w:themeColor="background1" w:themeShade="80"/>
              <w:bottom w:val="single" w:sz="4" w:space="0" w:color="808080" w:themeColor="background1" w:themeShade="80"/>
            </w:tcBorders>
            <w:vAlign w:val="center"/>
          </w:tcPr>
          <w:p w14:paraId="59C6F988" w14:textId="77777777" w:rsidR="008E7D1C" w:rsidRPr="00CB38F0" w:rsidRDefault="008E7D1C" w:rsidP="008E7D1C">
            <w:pPr>
              <w:tabs>
                <w:tab w:val="left" w:pos="974"/>
                <w:tab w:val="left" w:pos="1416"/>
                <w:tab w:val="decimal" w:pos="4962"/>
                <w:tab w:val="decimal" w:pos="6521"/>
                <w:tab w:val="right" w:pos="7560"/>
                <w:tab w:val="decimal" w:pos="8220"/>
                <w:tab w:val="left" w:pos="8640"/>
                <w:tab w:val="right" w:pos="9000"/>
              </w:tabs>
              <w:suppressAutoHyphens/>
              <w:spacing w:afterLines="20" w:after="48" w:line="240" w:lineRule="auto"/>
              <w:ind w:left="10"/>
              <w:rPr>
                <w:rFonts w:ascii="Arial" w:eastAsia="Times New Roman" w:hAnsi="Arial" w:cs="Arial"/>
                <w:sz w:val="18"/>
                <w:szCs w:val="18"/>
                <w:lang w:val="el-GR" w:eastAsia="el-GR"/>
              </w:rPr>
            </w:pPr>
            <w:r w:rsidRPr="00CB38F0">
              <w:rPr>
                <w:rFonts w:ascii="Arial" w:hAnsi="Arial" w:cs="Arial"/>
                <w:sz w:val="18"/>
                <w:szCs w:val="18"/>
                <w:lang w:val="el-GR"/>
              </w:rPr>
              <w:t>Έξοδα από συμβουλευτικές υπηρεσίες και άλλα έξοδα μετασχηματισμού – οργανικά</w:t>
            </w:r>
          </w:p>
        </w:tc>
        <w:tc>
          <w:tcPr>
            <w:tcW w:w="1159" w:type="dxa"/>
            <w:tcBorders>
              <w:top w:val="single" w:sz="4" w:space="0" w:color="808080" w:themeColor="background1" w:themeShade="80"/>
              <w:bottom w:val="single" w:sz="4" w:space="0" w:color="808080" w:themeColor="background1" w:themeShade="80"/>
            </w:tcBorders>
            <w:vAlign w:val="center"/>
          </w:tcPr>
          <w:p w14:paraId="497F498C" w14:textId="1C076E8B"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Cs/>
                <w:sz w:val="18"/>
                <w:szCs w:val="20"/>
                <w:highlight w:val="yellow"/>
                <w:lang w:val="el-GR" w:eastAsia="el-GR"/>
              </w:rPr>
            </w:pPr>
            <w:r>
              <w:rPr>
                <w:rFonts w:ascii="Arial" w:eastAsia="Times New Roman" w:hAnsi="Arial" w:cs="Arial"/>
                <w:bCs/>
                <w:sz w:val="18"/>
                <w:szCs w:val="20"/>
                <w:lang w:eastAsia="el-GR"/>
              </w:rPr>
              <w:t>-</w:t>
            </w:r>
          </w:p>
        </w:tc>
        <w:tc>
          <w:tcPr>
            <w:tcW w:w="1134" w:type="dxa"/>
            <w:tcBorders>
              <w:top w:val="single" w:sz="4" w:space="0" w:color="808080" w:themeColor="background1" w:themeShade="80"/>
              <w:left w:val="nil"/>
              <w:bottom w:val="single" w:sz="4" w:space="0" w:color="808080" w:themeColor="background1" w:themeShade="80"/>
              <w:right w:val="nil"/>
            </w:tcBorders>
            <w:vAlign w:val="center"/>
          </w:tcPr>
          <w:p w14:paraId="116616A1" w14:textId="0291F2D2"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sidRPr="00AA1DCA">
              <w:rPr>
                <w:rFonts w:ascii="Arial" w:eastAsia="Times New Roman" w:hAnsi="Arial" w:cs="Arial"/>
                <w:bCs/>
                <w:sz w:val="18"/>
                <w:szCs w:val="20"/>
                <w:lang w:eastAsia="el-GR"/>
              </w:rPr>
              <w:t>(2)</w:t>
            </w:r>
          </w:p>
        </w:tc>
        <w:tc>
          <w:tcPr>
            <w:tcW w:w="1134" w:type="dxa"/>
            <w:tcBorders>
              <w:top w:val="single" w:sz="4" w:space="0" w:color="808080" w:themeColor="background1" w:themeShade="80"/>
              <w:bottom w:val="single" w:sz="4" w:space="0" w:color="808080" w:themeColor="background1" w:themeShade="80"/>
            </w:tcBorders>
            <w:vAlign w:val="center"/>
          </w:tcPr>
          <w:p w14:paraId="147EC9BA" w14:textId="59A81F96"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Cs/>
                <w:sz w:val="18"/>
                <w:szCs w:val="18"/>
                <w:highlight w:val="yellow"/>
                <w:lang w:eastAsia="el-GR"/>
              </w:rPr>
            </w:pPr>
            <w:r w:rsidRPr="00D42E7E">
              <w:rPr>
                <w:rFonts w:ascii="Arial" w:eastAsia="Times New Roman" w:hAnsi="Arial" w:cs="Arial"/>
                <w:bCs/>
                <w:sz w:val="18"/>
                <w:szCs w:val="20"/>
                <w:lang w:eastAsia="el-GR"/>
              </w:rPr>
              <w:t>-</w:t>
            </w:r>
          </w:p>
        </w:tc>
        <w:tc>
          <w:tcPr>
            <w:tcW w:w="1134" w:type="dxa"/>
            <w:tcBorders>
              <w:top w:val="single" w:sz="4" w:space="0" w:color="808080" w:themeColor="background1" w:themeShade="80"/>
              <w:bottom w:val="single" w:sz="4" w:space="0" w:color="808080" w:themeColor="background1" w:themeShade="80"/>
            </w:tcBorders>
            <w:vAlign w:val="center"/>
          </w:tcPr>
          <w:p w14:paraId="087AD720" w14:textId="5A250B3B"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Pr>
                <w:rFonts w:ascii="Arial" w:eastAsia="Times New Roman" w:hAnsi="Arial" w:cs="Arial"/>
                <w:bCs/>
                <w:sz w:val="18"/>
                <w:szCs w:val="20"/>
                <w:lang w:eastAsia="el-GR"/>
              </w:rPr>
              <w:t>-</w:t>
            </w:r>
          </w:p>
        </w:tc>
        <w:tc>
          <w:tcPr>
            <w:tcW w:w="992" w:type="dxa"/>
            <w:tcBorders>
              <w:top w:val="single" w:sz="4" w:space="0" w:color="808080" w:themeColor="background1" w:themeShade="80"/>
              <w:bottom w:val="single" w:sz="4" w:space="0" w:color="808080" w:themeColor="background1" w:themeShade="80"/>
            </w:tcBorders>
            <w:vAlign w:val="center"/>
          </w:tcPr>
          <w:p w14:paraId="6B9B8FC2" w14:textId="01A985A1"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D42E7E">
              <w:rPr>
                <w:rFonts w:ascii="Arial" w:eastAsia="Times New Roman" w:hAnsi="Arial" w:cs="Arial"/>
                <w:bCs/>
                <w:sz w:val="18"/>
                <w:szCs w:val="20"/>
                <w:lang w:eastAsia="el-GR"/>
              </w:rPr>
              <w:t>-</w:t>
            </w:r>
          </w:p>
        </w:tc>
        <w:tc>
          <w:tcPr>
            <w:tcW w:w="992" w:type="dxa"/>
            <w:tcBorders>
              <w:top w:val="single" w:sz="4" w:space="0" w:color="808080" w:themeColor="background1" w:themeShade="80"/>
              <w:bottom w:val="single" w:sz="4" w:space="0" w:color="808080" w:themeColor="background1" w:themeShade="80"/>
            </w:tcBorders>
            <w:shd w:val="clear" w:color="auto" w:fill="auto"/>
            <w:vAlign w:val="center"/>
          </w:tcPr>
          <w:p w14:paraId="49E6FAF7" w14:textId="1E2F14EA" w:rsidR="008E7D1C" w:rsidRPr="006B5511"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E01287">
              <w:rPr>
                <w:rFonts w:ascii="Arial" w:eastAsia="Times New Roman" w:hAnsi="Arial" w:cs="Arial"/>
                <w:bCs/>
                <w:sz w:val="18"/>
                <w:szCs w:val="20"/>
                <w:lang w:eastAsia="el-GR"/>
              </w:rPr>
              <w:t>-100%</w:t>
            </w:r>
          </w:p>
        </w:tc>
      </w:tr>
      <w:tr w:rsidR="008E7D1C" w:rsidRPr="006B5511" w14:paraId="4AD679E8" w14:textId="77777777" w:rsidTr="004470C2">
        <w:trPr>
          <w:trHeight w:val="82"/>
          <w:jc w:val="center"/>
        </w:trPr>
        <w:tc>
          <w:tcPr>
            <w:tcW w:w="4932"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1C47DBEC" w14:textId="77777777" w:rsidR="008E7D1C" w:rsidRPr="00CB38F0" w:rsidRDefault="008E7D1C" w:rsidP="008E7D1C">
            <w:pPr>
              <w:tabs>
                <w:tab w:val="left" w:pos="974"/>
                <w:tab w:val="left" w:pos="1416"/>
                <w:tab w:val="decimal" w:pos="4962"/>
                <w:tab w:val="decimal" w:pos="6521"/>
                <w:tab w:val="right" w:pos="7560"/>
                <w:tab w:val="decimal" w:pos="8220"/>
                <w:tab w:val="left" w:pos="8640"/>
                <w:tab w:val="right" w:pos="9000"/>
              </w:tabs>
              <w:suppressAutoHyphens/>
              <w:spacing w:afterLines="20" w:after="48" w:line="240" w:lineRule="auto"/>
              <w:ind w:left="10"/>
              <w:rPr>
                <w:rFonts w:ascii="Arial" w:eastAsia="Times New Roman" w:hAnsi="Arial" w:cs="Arial"/>
                <w:sz w:val="18"/>
                <w:szCs w:val="18"/>
                <w:lang w:val="el-GR" w:eastAsia="el-GR"/>
              </w:rPr>
            </w:pPr>
            <w:r w:rsidRPr="00CB38F0">
              <w:rPr>
                <w:rFonts w:ascii="Arial" w:hAnsi="Arial" w:cs="Arial"/>
                <w:b/>
                <w:sz w:val="18"/>
                <w:szCs w:val="18"/>
                <w:lang w:val="el-GR"/>
              </w:rPr>
              <w:t xml:space="preserve">Κέρδη </w:t>
            </w:r>
            <w:r w:rsidRPr="00CB38F0">
              <w:rPr>
                <w:rFonts w:ascii="Arial" w:hAnsi="Arial" w:cs="Arial"/>
                <w:b/>
                <w:bCs/>
                <w:sz w:val="18"/>
                <w:szCs w:val="18"/>
                <w:lang w:val="el-GR"/>
              </w:rPr>
              <w:t>μετά τη φορολογία (που αναλογούν στους ιδιοκτήτες της Εταιρίας)</w:t>
            </w:r>
          </w:p>
        </w:tc>
        <w:tc>
          <w:tcPr>
            <w:tcW w:w="1159" w:type="dxa"/>
            <w:tcBorders>
              <w:top w:val="single" w:sz="4" w:space="0" w:color="808080" w:themeColor="background1" w:themeShade="80"/>
              <w:bottom w:val="single" w:sz="4" w:space="0" w:color="808080" w:themeColor="background1" w:themeShade="80"/>
            </w:tcBorders>
            <w:vAlign w:val="center"/>
          </w:tcPr>
          <w:p w14:paraId="200CC1B8" w14:textId="0F422901"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jc w:val="center"/>
              <w:rPr>
                <w:rFonts w:ascii="Arial" w:eastAsia="Times New Roman" w:hAnsi="Arial" w:cs="Arial"/>
                <w:b/>
                <w:sz w:val="18"/>
                <w:szCs w:val="20"/>
                <w:highlight w:val="yellow"/>
                <w:lang w:val="el-GR" w:eastAsia="el-GR"/>
              </w:rPr>
            </w:pPr>
            <w:r>
              <w:rPr>
                <w:rFonts w:ascii="Arial" w:eastAsia="Times New Roman" w:hAnsi="Arial" w:cs="Arial"/>
                <w:b/>
                <w:bCs/>
                <w:sz w:val="18"/>
                <w:szCs w:val="20"/>
                <w:lang w:eastAsia="el-GR"/>
              </w:rPr>
              <w:t>270</w:t>
            </w:r>
          </w:p>
        </w:tc>
        <w:tc>
          <w:tcPr>
            <w:tcW w:w="1134" w:type="dxa"/>
            <w:tcBorders>
              <w:top w:val="single" w:sz="4" w:space="0" w:color="808080" w:themeColor="background1" w:themeShade="80"/>
              <w:bottom w:val="single" w:sz="4" w:space="0" w:color="808080" w:themeColor="background1" w:themeShade="80"/>
            </w:tcBorders>
            <w:vAlign w:val="center"/>
          </w:tcPr>
          <w:p w14:paraId="46DFD59F" w14:textId="44D446C8"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sz w:val="18"/>
                <w:szCs w:val="20"/>
                <w:lang w:eastAsia="el-GR"/>
              </w:rPr>
            </w:pPr>
            <w:r w:rsidRPr="00AA1DCA">
              <w:rPr>
                <w:rFonts w:ascii="Arial" w:eastAsia="Times New Roman" w:hAnsi="Arial" w:cs="Arial"/>
                <w:b/>
                <w:bCs/>
                <w:sz w:val="18"/>
                <w:szCs w:val="20"/>
                <w:lang w:eastAsia="el-GR"/>
              </w:rPr>
              <w:t>220</w:t>
            </w:r>
          </w:p>
        </w:tc>
        <w:tc>
          <w:tcPr>
            <w:tcW w:w="1134" w:type="dxa"/>
            <w:tcBorders>
              <w:top w:val="single" w:sz="4" w:space="0" w:color="808080" w:themeColor="background1" w:themeShade="80"/>
              <w:bottom w:val="single" w:sz="4" w:space="0" w:color="808080" w:themeColor="background1" w:themeShade="80"/>
            </w:tcBorders>
            <w:vAlign w:val="center"/>
          </w:tcPr>
          <w:p w14:paraId="14132113" w14:textId="67A4B716" w:rsidR="008E7D1C" w:rsidRPr="004470C2"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jc w:val="center"/>
              <w:rPr>
                <w:rFonts w:ascii="Arial" w:eastAsia="Times New Roman" w:hAnsi="Arial" w:cs="Arial"/>
                <w:b/>
                <w:sz w:val="18"/>
                <w:szCs w:val="18"/>
                <w:highlight w:val="yellow"/>
                <w:lang w:eastAsia="el-GR"/>
              </w:rPr>
            </w:pPr>
            <w:r w:rsidRPr="00D42E7E">
              <w:rPr>
                <w:rFonts w:ascii="Arial" w:eastAsia="Times New Roman" w:hAnsi="Arial" w:cs="Arial"/>
                <w:b/>
                <w:bCs/>
                <w:sz w:val="18"/>
                <w:szCs w:val="20"/>
                <w:lang w:eastAsia="el-GR"/>
              </w:rPr>
              <w:t>13</w:t>
            </w:r>
            <w:r>
              <w:rPr>
                <w:rFonts w:ascii="Arial" w:eastAsia="Times New Roman" w:hAnsi="Arial" w:cs="Arial"/>
                <w:b/>
                <w:bCs/>
                <w:sz w:val="18"/>
                <w:szCs w:val="20"/>
                <w:lang w:eastAsia="el-GR"/>
              </w:rPr>
              <w:t>7</w:t>
            </w:r>
          </w:p>
        </w:tc>
        <w:tc>
          <w:tcPr>
            <w:tcW w:w="1134" w:type="dxa"/>
            <w:tcBorders>
              <w:top w:val="single" w:sz="4" w:space="0" w:color="808080" w:themeColor="background1" w:themeShade="80"/>
              <w:bottom w:val="single" w:sz="4" w:space="0" w:color="808080" w:themeColor="background1" w:themeShade="80"/>
            </w:tcBorders>
            <w:vAlign w:val="center"/>
          </w:tcPr>
          <w:p w14:paraId="14BAD9A6" w14:textId="5C2D2392"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sz w:val="18"/>
                <w:szCs w:val="20"/>
                <w:lang w:eastAsia="el-GR"/>
              </w:rPr>
            </w:pPr>
            <w:r>
              <w:rPr>
                <w:rFonts w:ascii="Arial" w:eastAsia="Times New Roman" w:hAnsi="Arial" w:cs="Arial"/>
                <w:b/>
                <w:bCs/>
                <w:sz w:val="18"/>
                <w:szCs w:val="20"/>
                <w:lang w:eastAsia="el-GR"/>
              </w:rPr>
              <w:t>133</w:t>
            </w:r>
          </w:p>
        </w:tc>
        <w:tc>
          <w:tcPr>
            <w:tcW w:w="992" w:type="dxa"/>
            <w:tcBorders>
              <w:top w:val="single" w:sz="4" w:space="0" w:color="808080" w:themeColor="background1" w:themeShade="80"/>
              <w:bottom w:val="single" w:sz="4" w:space="0" w:color="808080" w:themeColor="background1" w:themeShade="80"/>
            </w:tcBorders>
            <w:vAlign w:val="center"/>
          </w:tcPr>
          <w:p w14:paraId="5F3C68C7" w14:textId="726F7FB4" w:rsidR="008E7D1C" w:rsidRPr="004470C2"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jc w:val="center"/>
              <w:rPr>
                <w:rFonts w:ascii="Arial" w:eastAsia="Times New Roman" w:hAnsi="Arial" w:cs="Arial"/>
                <w:b/>
                <w:sz w:val="18"/>
                <w:szCs w:val="18"/>
                <w:highlight w:val="yellow"/>
                <w:lang w:eastAsia="el-GR"/>
              </w:rPr>
            </w:pPr>
            <w:r>
              <w:rPr>
                <w:rFonts w:ascii="Arial" w:eastAsia="Times New Roman" w:hAnsi="Arial" w:cs="Arial"/>
                <w:b/>
                <w:bCs/>
                <w:sz w:val="18"/>
                <w:szCs w:val="20"/>
                <w:lang w:eastAsia="el-GR"/>
              </w:rPr>
              <w:t>4</w:t>
            </w:r>
            <w:r w:rsidRPr="00D42E7E">
              <w:rPr>
                <w:rFonts w:ascii="Arial" w:eastAsia="Times New Roman" w:hAnsi="Arial" w:cs="Arial"/>
                <w:b/>
                <w:bCs/>
                <w:sz w:val="18"/>
                <w:szCs w:val="20"/>
                <w:lang w:eastAsia="el-GR"/>
              </w:rPr>
              <w:t>%</w:t>
            </w:r>
          </w:p>
        </w:tc>
        <w:tc>
          <w:tcPr>
            <w:tcW w:w="992"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B8C9254" w14:textId="5054C2C4" w:rsidR="008E7D1C" w:rsidRPr="00CB38F0" w:rsidRDefault="008E7D1C" w:rsidP="008E7D1C">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jc w:val="center"/>
              <w:rPr>
                <w:rFonts w:ascii="Arial" w:eastAsia="Times New Roman" w:hAnsi="Arial" w:cs="Arial"/>
                <w:b/>
                <w:sz w:val="18"/>
                <w:szCs w:val="18"/>
                <w:highlight w:val="yellow"/>
                <w:lang w:eastAsia="el-GR"/>
              </w:rPr>
            </w:pPr>
            <w:r w:rsidRPr="00E01287">
              <w:rPr>
                <w:rFonts w:ascii="Arial" w:eastAsia="Times New Roman" w:hAnsi="Arial" w:cs="Arial"/>
                <w:b/>
                <w:bCs/>
                <w:sz w:val="18"/>
                <w:szCs w:val="20"/>
                <w:lang w:eastAsia="el-GR"/>
              </w:rPr>
              <w:t>2</w:t>
            </w:r>
            <w:r>
              <w:rPr>
                <w:rFonts w:ascii="Arial" w:eastAsia="Times New Roman" w:hAnsi="Arial" w:cs="Arial"/>
                <w:b/>
                <w:bCs/>
                <w:sz w:val="18"/>
                <w:szCs w:val="20"/>
                <w:lang w:eastAsia="el-GR"/>
              </w:rPr>
              <w:t>3</w:t>
            </w:r>
            <w:r w:rsidRPr="00E01287">
              <w:rPr>
                <w:rFonts w:ascii="Arial" w:eastAsia="Times New Roman" w:hAnsi="Arial" w:cs="Arial"/>
                <w:b/>
                <w:bCs/>
                <w:sz w:val="18"/>
                <w:szCs w:val="20"/>
                <w:lang w:eastAsia="el-GR"/>
              </w:rPr>
              <w:t>%</w:t>
            </w:r>
          </w:p>
        </w:tc>
      </w:tr>
    </w:tbl>
    <w:p w14:paraId="210F8782" w14:textId="77777777" w:rsidR="009C412B" w:rsidRPr="006B5511" w:rsidRDefault="009C412B" w:rsidP="009C412B">
      <w:pPr>
        <w:spacing w:after="0" w:line="240" w:lineRule="auto"/>
        <w:jc w:val="both"/>
        <w:rPr>
          <w:rFonts w:ascii="Arial" w:hAnsi="Arial" w:cs="Arial"/>
          <w:b/>
          <w:bCs/>
          <w:color w:val="FF9900"/>
          <w:sz w:val="18"/>
          <w:szCs w:val="18"/>
          <w:highlight w:val="yellow"/>
          <w:lang w:val="el-GR"/>
        </w:rPr>
      </w:pPr>
    </w:p>
    <w:p w14:paraId="418EFBBD" w14:textId="77777777" w:rsidR="00CC2B9B" w:rsidRPr="006B5511" w:rsidRDefault="00CC2B9B" w:rsidP="009C412B">
      <w:pPr>
        <w:spacing w:after="0" w:line="240" w:lineRule="auto"/>
        <w:jc w:val="both"/>
        <w:rPr>
          <w:rFonts w:ascii="Arial" w:hAnsi="Arial" w:cs="Arial"/>
          <w:b/>
          <w:bCs/>
          <w:color w:val="FF9900"/>
          <w:sz w:val="18"/>
          <w:szCs w:val="18"/>
          <w:highlight w:val="yellow"/>
          <w:lang w:val="el-GR"/>
        </w:rPr>
      </w:pPr>
    </w:p>
    <w:p w14:paraId="0CE3FA8E" w14:textId="77777777" w:rsidR="00CC2B9B" w:rsidRPr="006B5511" w:rsidRDefault="00CC2B9B" w:rsidP="009C412B">
      <w:pPr>
        <w:spacing w:after="0" w:line="240" w:lineRule="auto"/>
        <w:jc w:val="both"/>
        <w:rPr>
          <w:rFonts w:ascii="Arial" w:hAnsi="Arial" w:cs="Arial"/>
          <w:b/>
          <w:bCs/>
          <w:color w:val="FF9900"/>
          <w:highlight w:val="yellow"/>
          <w:lang w:val="el-GR"/>
        </w:rPr>
      </w:pPr>
    </w:p>
    <w:p w14:paraId="52E1BE64" w14:textId="77777777" w:rsidR="00CC2B9B" w:rsidRPr="006B5511" w:rsidRDefault="00CC2B9B" w:rsidP="009C412B">
      <w:pPr>
        <w:spacing w:after="0" w:line="240" w:lineRule="auto"/>
        <w:jc w:val="both"/>
        <w:rPr>
          <w:rFonts w:ascii="Arial" w:hAnsi="Arial" w:cs="Arial"/>
          <w:b/>
          <w:bCs/>
          <w:color w:val="FF9900"/>
          <w:highlight w:val="yellow"/>
          <w:lang w:val="el-GR"/>
        </w:rPr>
      </w:pPr>
    </w:p>
    <w:p w14:paraId="41315E7D" w14:textId="77777777" w:rsidR="00CC2B9B" w:rsidRPr="006B5511" w:rsidRDefault="00CC2B9B" w:rsidP="009C412B">
      <w:pPr>
        <w:spacing w:after="0" w:line="240" w:lineRule="auto"/>
        <w:jc w:val="both"/>
        <w:rPr>
          <w:rFonts w:ascii="Arial" w:hAnsi="Arial" w:cs="Arial"/>
          <w:b/>
          <w:bCs/>
          <w:color w:val="FF9900"/>
          <w:highlight w:val="yellow"/>
          <w:lang w:val="el-GR"/>
        </w:rPr>
      </w:pPr>
    </w:p>
    <w:p w14:paraId="58FEB550" w14:textId="77777777" w:rsidR="00CC2B9B" w:rsidRPr="006B5511" w:rsidRDefault="00CC2B9B" w:rsidP="009C412B">
      <w:pPr>
        <w:spacing w:after="0" w:line="240" w:lineRule="auto"/>
        <w:jc w:val="both"/>
        <w:rPr>
          <w:rFonts w:ascii="Arial" w:hAnsi="Arial" w:cs="Arial"/>
          <w:b/>
          <w:bCs/>
          <w:color w:val="FF9900"/>
          <w:highlight w:val="yellow"/>
          <w:lang w:val="el-GR"/>
        </w:rPr>
      </w:pPr>
    </w:p>
    <w:p w14:paraId="49662261" w14:textId="77777777" w:rsidR="00CC2B9B" w:rsidRPr="006B5511" w:rsidRDefault="00CC2B9B" w:rsidP="009C412B">
      <w:pPr>
        <w:spacing w:after="0" w:line="240" w:lineRule="auto"/>
        <w:jc w:val="both"/>
        <w:rPr>
          <w:rFonts w:ascii="Arial" w:hAnsi="Arial" w:cs="Arial"/>
          <w:b/>
          <w:bCs/>
          <w:color w:val="FF9900"/>
          <w:highlight w:val="yellow"/>
          <w:lang w:val="el-GR"/>
        </w:rPr>
      </w:pPr>
    </w:p>
    <w:p w14:paraId="4FEA7AEC" w14:textId="77777777" w:rsidR="00CC2B9B" w:rsidRPr="006B5511" w:rsidRDefault="00CC2B9B" w:rsidP="009C412B">
      <w:pPr>
        <w:spacing w:after="0" w:line="240" w:lineRule="auto"/>
        <w:jc w:val="both"/>
        <w:rPr>
          <w:rFonts w:ascii="Arial" w:hAnsi="Arial" w:cs="Arial"/>
          <w:b/>
          <w:bCs/>
          <w:color w:val="FF9900"/>
          <w:highlight w:val="yellow"/>
          <w:lang w:val="el-GR"/>
        </w:rPr>
      </w:pPr>
    </w:p>
    <w:p w14:paraId="2FDB01F1" w14:textId="77777777" w:rsidR="00CC2B9B" w:rsidRPr="006B5511" w:rsidRDefault="00CC2B9B" w:rsidP="009C412B">
      <w:pPr>
        <w:spacing w:after="0" w:line="240" w:lineRule="auto"/>
        <w:jc w:val="both"/>
        <w:rPr>
          <w:rFonts w:ascii="Arial" w:hAnsi="Arial" w:cs="Arial"/>
          <w:b/>
          <w:bCs/>
          <w:color w:val="FF9900"/>
          <w:highlight w:val="yellow"/>
          <w:lang w:val="el-GR"/>
        </w:rPr>
      </w:pPr>
    </w:p>
    <w:p w14:paraId="020C0A80" w14:textId="77777777" w:rsidR="00CC2B9B" w:rsidRPr="006B5511" w:rsidRDefault="00CC2B9B" w:rsidP="009C412B">
      <w:pPr>
        <w:spacing w:after="0" w:line="240" w:lineRule="auto"/>
        <w:jc w:val="both"/>
        <w:rPr>
          <w:rFonts w:ascii="Arial" w:hAnsi="Arial" w:cs="Arial"/>
          <w:b/>
          <w:bCs/>
          <w:color w:val="FF9900"/>
          <w:highlight w:val="yellow"/>
          <w:lang w:val="el-GR"/>
        </w:rPr>
      </w:pPr>
    </w:p>
    <w:p w14:paraId="71836BA0" w14:textId="77777777" w:rsidR="00CC2B9B" w:rsidRPr="006B5511" w:rsidRDefault="00CC2B9B" w:rsidP="009C412B">
      <w:pPr>
        <w:spacing w:after="0" w:line="240" w:lineRule="auto"/>
        <w:jc w:val="both"/>
        <w:rPr>
          <w:rFonts w:ascii="Arial" w:hAnsi="Arial" w:cs="Arial"/>
          <w:b/>
          <w:bCs/>
          <w:color w:val="FF9900"/>
          <w:highlight w:val="yellow"/>
          <w:lang w:val="el-GR"/>
        </w:rPr>
      </w:pPr>
    </w:p>
    <w:p w14:paraId="1C5638E0" w14:textId="77777777" w:rsidR="00CC2B9B" w:rsidRPr="006B5511" w:rsidRDefault="00CC2B9B" w:rsidP="009C412B">
      <w:pPr>
        <w:spacing w:after="0" w:line="240" w:lineRule="auto"/>
        <w:jc w:val="both"/>
        <w:rPr>
          <w:rFonts w:ascii="Arial" w:hAnsi="Arial" w:cs="Arial"/>
          <w:b/>
          <w:bCs/>
          <w:color w:val="FF9900"/>
          <w:highlight w:val="yellow"/>
          <w:lang w:val="el-GR"/>
        </w:rPr>
      </w:pPr>
    </w:p>
    <w:p w14:paraId="39E6369C" w14:textId="77777777" w:rsidR="00CC2B9B" w:rsidRPr="006B5511" w:rsidRDefault="00CC2B9B" w:rsidP="009C412B">
      <w:pPr>
        <w:spacing w:after="0" w:line="240" w:lineRule="auto"/>
        <w:jc w:val="both"/>
        <w:rPr>
          <w:rFonts w:ascii="Arial" w:hAnsi="Arial" w:cs="Arial"/>
          <w:b/>
          <w:bCs/>
          <w:color w:val="FF9900"/>
          <w:highlight w:val="yellow"/>
          <w:lang w:val="el-GR"/>
        </w:rPr>
      </w:pPr>
    </w:p>
    <w:p w14:paraId="2924CD79" w14:textId="77777777" w:rsidR="00CC2B9B" w:rsidRPr="006B5511" w:rsidRDefault="00CC2B9B" w:rsidP="009C412B">
      <w:pPr>
        <w:spacing w:after="0" w:line="240" w:lineRule="auto"/>
        <w:jc w:val="both"/>
        <w:rPr>
          <w:rFonts w:ascii="Arial" w:hAnsi="Arial" w:cs="Arial"/>
          <w:b/>
          <w:bCs/>
          <w:color w:val="FF9900"/>
          <w:highlight w:val="yellow"/>
          <w:lang w:val="el-GR"/>
        </w:rPr>
      </w:pPr>
    </w:p>
    <w:p w14:paraId="3FEAC330" w14:textId="77777777" w:rsidR="00CC2B9B" w:rsidRPr="006B5511" w:rsidRDefault="00CC2B9B" w:rsidP="009C412B">
      <w:pPr>
        <w:spacing w:after="0" w:line="240" w:lineRule="auto"/>
        <w:jc w:val="both"/>
        <w:rPr>
          <w:rFonts w:ascii="Arial" w:hAnsi="Arial" w:cs="Arial"/>
          <w:b/>
          <w:bCs/>
          <w:color w:val="FF9900"/>
          <w:highlight w:val="yellow"/>
          <w:lang w:val="el-GR"/>
        </w:rPr>
      </w:pPr>
    </w:p>
    <w:p w14:paraId="13F0C99B" w14:textId="77777777" w:rsidR="00CC2B9B" w:rsidRPr="006B5511" w:rsidRDefault="00CC2B9B" w:rsidP="009C412B">
      <w:pPr>
        <w:spacing w:after="0" w:line="240" w:lineRule="auto"/>
        <w:jc w:val="both"/>
        <w:rPr>
          <w:rFonts w:ascii="Arial" w:hAnsi="Arial" w:cs="Arial"/>
          <w:b/>
          <w:bCs/>
          <w:color w:val="FF9900"/>
          <w:highlight w:val="yellow"/>
          <w:lang w:val="el-GR"/>
        </w:rPr>
      </w:pPr>
    </w:p>
    <w:p w14:paraId="7FCD48BB" w14:textId="77777777" w:rsidR="00CC2B9B" w:rsidRPr="006B5511" w:rsidRDefault="00CC2B9B" w:rsidP="009C412B">
      <w:pPr>
        <w:spacing w:after="0" w:line="240" w:lineRule="auto"/>
        <w:jc w:val="both"/>
        <w:rPr>
          <w:rFonts w:ascii="Arial" w:hAnsi="Arial" w:cs="Arial"/>
          <w:b/>
          <w:bCs/>
          <w:color w:val="FF9900"/>
          <w:highlight w:val="yellow"/>
          <w:lang w:val="el-GR"/>
        </w:rPr>
      </w:pPr>
    </w:p>
    <w:p w14:paraId="32A54164" w14:textId="77777777" w:rsidR="00F95BEB" w:rsidRPr="00CB38F0" w:rsidRDefault="00F95BEB" w:rsidP="00D022B5">
      <w:pPr>
        <w:spacing w:after="0" w:line="240" w:lineRule="auto"/>
        <w:jc w:val="both"/>
        <w:rPr>
          <w:rFonts w:ascii="Arial" w:hAnsi="Arial" w:cs="Arial"/>
          <w:b/>
          <w:color w:val="FF9900"/>
          <w:sz w:val="24"/>
          <w:szCs w:val="24"/>
          <w:highlight w:val="yellow"/>
          <w:lang w:val="el-GR"/>
        </w:rPr>
      </w:pPr>
    </w:p>
    <w:p w14:paraId="5DC3C3ED" w14:textId="5933C347" w:rsidR="009C412B" w:rsidRPr="006B5511" w:rsidRDefault="009C4C04" w:rsidP="00CB38F0">
      <w:pPr>
        <w:ind w:left="-426"/>
        <w:rPr>
          <w:szCs w:val="16"/>
          <w:highlight w:val="yellow"/>
          <w:lang w:val="el-GR"/>
        </w:rPr>
      </w:pPr>
      <w:r w:rsidRPr="00CB38F0">
        <w:rPr>
          <w:rFonts w:ascii="Arial" w:hAnsi="Arial" w:cs="Arial"/>
          <w:b/>
          <w:color w:val="FF9900"/>
          <w:sz w:val="24"/>
          <w:szCs w:val="24"/>
          <w:lang w:val="el-GR"/>
        </w:rPr>
        <w:lastRenderedPageBreak/>
        <w:t xml:space="preserve">Β. Οικονομικά Αποτελέσματα Συγκροτήματος –Υποκείμενη Βάση </w:t>
      </w:r>
      <w:r w:rsidRPr="00CB38F0">
        <w:rPr>
          <w:rFonts w:ascii="Arial" w:hAnsi="Arial" w:cs="Arial"/>
          <w:bCs/>
          <w:color w:val="FF9900"/>
          <w:sz w:val="24"/>
          <w:szCs w:val="24"/>
          <w:lang w:val="el-GR"/>
        </w:rPr>
        <w:t>(</w:t>
      </w:r>
      <w:r w:rsidRPr="00B6499F">
        <w:rPr>
          <w:rFonts w:ascii="Arial" w:hAnsi="Arial" w:cs="Arial"/>
          <w:bCs/>
          <w:color w:val="FF9900"/>
          <w:sz w:val="24"/>
          <w:szCs w:val="24"/>
          <w:lang w:val="el-GR"/>
        </w:rPr>
        <w:t>συνέχεια</w:t>
      </w:r>
      <w:r w:rsidRPr="00CB38F0">
        <w:rPr>
          <w:rFonts w:ascii="Arial" w:hAnsi="Arial" w:cs="Arial"/>
          <w:bCs/>
          <w:color w:val="FF9900"/>
          <w:sz w:val="24"/>
          <w:szCs w:val="24"/>
          <w:lang w:val="el-GR"/>
        </w:rPr>
        <w:t>)</w:t>
      </w:r>
    </w:p>
    <w:p w14:paraId="58D4899E" w14:textId="5EC0AB79" w:rsidR="00765113" w:rsidRPr="006B5511" w:rsidRDefault="00765113" w:rsidP="00CB38F0">
      <w:pPr>
        <w:pStyle w:val="ListParagraph"/>
        <w:ind w:left="-426"/>
        <w:rPr>
          <w:rFonts w:ascii="Arial" w:hAnsi="Arial" w:cs="Arial"/>
          <w:b/>
          <w:color w:val="FF9900"/>
          <w:sz w:val="22"/>
          <w:szCs w:val="22"/>
          <w:highlight w:val="yellow"/>
          <w:lang w:val="el-GR"/>
        </w:rPr>
      </w:pPr>
      <w:r w:rsidRPr="00765113">
        <w:rPr>
          <w:rFonts w:ascii="Arial" w:hAnsi="Arial" w:cs="Arial"/>
          <w:b/>
          <w:color w:val="FF9900"/>
          <w:sz w:val="22"/>
          <w:szCs w:val="22"/>
          <w:lang w:val="el-GR"/>
        </w:rPr>
        <w:t>Ενδιάμεση Ενοποιημένη Κατάσταση Λογαριασμού Αποτελεσμάτων - Κύριοι Δείκτες Απόδοσης</w:t>
      </w:r>
      <w:r w:rsidRPr="00765113" w:rsidDel="00765113">
        <w:rPr>
          <w:rFonts w:ascii="Arial" w:hAnsi="Arial" w:cs="Arial"/>
          <w:b/>
          <w:color w:val="FF9900"/>
          <w:sz w:val="22"/>
          <w:szCs w:val="22"/>
          <w:highlight w:val="yellow"/>
          <w:lang w:val="el-GR"/>
        </w:rPr>
        <w:t xml:space="preserve"> </w:t>
      </w:r>
    </w:p>
    <w:p w14:paraId="4D863DFD" w14:textId="77777777" w:rsidR="009C412B" w:rsidRPr="006B5511" w:rsidRDefault="009C412B" w:rsidP="009C412B">
      <w:pPr>
        <w:pStyle w:val="ListParagraph"/>
        <w:ind w:left="0"/>
        <w:jc w:val="both"/>
        <w:rPr>
          <w:rFonts w:ascii="Arial" w:hAnsi="Arial" w:cs="Arial"/>
          <w:b/>
          <w:color w:val="FF9900"/>
          <w:highlight w:val="yellow"/>
          <w:lang w:val="el-GR"/>
        </w:rPr>
      </w:pPr>
    </w:p>
    <w:tbl>
      <w:tblPr>
        <w:tblW w:w="10777" w:type="dxa"/>
        <w:tblInd w:w="-401" w:type="dxa"/>
        <w:tblLayout w:type="fixed"/>
        <w:tblCellMar>
          <w:left w:w="40" w:type="dxa"/>
          <w:right w:w="40" w:type="dxa"/>
        </w:tblCellMar>
        <w:tblLook w:val="0000" w:firstRow="0" w:lastRow="0" w:firstColumn="0" w:lastColumn="0" w:noHBand="0" w:noVBand="0"/>
      </w:tblPr>
      <w:tblGrid>
        <w:gridCol w:w="3888"/>
        <w:gridCol w:w="1146"/>
        <w:gridCol w:w="1146"/>
        <w:gridCol w:w="1147"/>
        <w:gridCol w:w="1147"/>
        <w:gridCol w:w="1147"/>
        <w:gridCol w:w="1156"/>
      </w:tblGrid>
      <w:tr w:rsidR="00765113" w:rsidRPr="006B5511" w14:paraId="65AD1F9C" w14:textId="77777777" w:rsidTr="00D022B5">
        <w:trPr>
          <w:trHeight w:val="352"/>
        </w:trPr>
        <w:tc>
          <w:tcPr>
            <w:tcW w:w="3888"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3204DEBD" w14:textId="77777777" w:rsidR="00765113" w:rsidRPr="00CB38F0" w:rsidRDefault="00765113" w:rsidP="00765113">
            <w:pPr>
              <w:pStyle w:val="BodyText3"/>
              <w:tabs>
                <w:tab w:val="clear" w:pos="0"/>
                <w:tab w:val="clear" w:pos="1416"/>
                <w:tab w:val="left" w:pos="1184"/>
              </w:tabs>
              <w:spacing w:afterLines="20" w:after="48"/>
              <w:jc w:val="left"/>
              <w:rPr>
                <w:rFonts w:ascii="Arial" w:hAnsi="Arial" w:cs="Arial"/>
                <w:b/>
                <w:bCs/>
                <w:sz w:val="18"/>
                <w:szCs w:val="18"/>
              </w:rPr>
            </w:pPr>
            <w:r w:rsidRPr="00CB38F0">
              <w:rPr>
                <w:rFonts w:ascii="Arial" w:hAnsi="Arial" w:cs="Arial"/>
                <w:b/>
                <w:color w:val="000000"/>
                <w:sz w:val="18"/>
                <w:szCs w:val="18"/>
              </w:rPr>
              <w:t xml:space="preserve">Κύριοι Δείκτες </w:t>
            </w:r>
            <w:r w:rsidRPr="00CB38F0">
              <w:rPr>
                <w:rFonts w:ascii="Arial" w:hAnsi="Arial" w:cs="Arial"/>
                <w:b/>
                <w:sz w:val="18"/>
                <w:szCs w:val="18"/>
              </w:rPr>
              <w:t>Απόδοσης</w:t>
            </w:r>
          </w:p>
        </w:tc>
        <w:tc>
          <w:tcPr>
            <w:tcW w:w="1146" w:type="dxa"/>
            <w:tcBorders>
              <w:top w:val="single" w:sz="4" w:space="0" w:color="808080" w:themeColor="background1" w:themeShade="80"/>
              <w:bottom w:val="single" w:sz="4" w:space="0" w:color="808080" w:themeColor="background1" w:themeShade="80"/>
            </w:tcBorders>
          </w:tcPr>
          <w:p w14:paraId="5529024F" w14:textId="33D1835D" w:rsidR="00765113" w:rsidRPr="00CB38F0" w:rsidRDefault="00765113" w:rsidP="00765113">
            <w:pPr>
              <w:pStyle w:val="BodyText3"/>
              <w:spacing w:afterLines="20" w:after="48" w:line="276" w:lineRule="auto"/>
              <w:ind w:right="23"/>
              <w:jc w:val="center"/>
              <w:rPr>
                <w:rFonts w:ascii="Arial" w:hAnsi="Arial" w:cs="Arial"/>
                <w:b/>
                <w:bCs/>
                <w:sz w:val="18"/>
                <w:szCs w:val="18"/>
                <w:lang w:val="el-GR"/>
              </w:rPr>
            </w:pPr>
            <w:r w:rsidRPr="0090012F">
              <w:rPr>
                <w:rFonts w:ascii="Arial" w:hAnsi="Arial" w:cs="Arial"/>
                <w:b/>
                <w:bCs/>
                <w:sz w:val="18"/>
                <w:szCs w:val="18"/>
                <w:lang w:val="el-GR"/>
              </w:rPr>
              <w:t>Α’ εξάμηνο 2024</w:t>
            </w:r>
          </w:p>
        </w:tc>
        <w:tc>
          <w:tcPr>
            <w:tcW w:w="1146" w:type="dxa"/>
            <w:tcBorders>
              <w:top w:val="single" w:sz="4" w:space="0" w:color="808080" w:themeColor="background1" w:themeShade="80"/>
              <w:bottom w:val="single" w:sz="4" w:space="0" w:color="808080" w:themeColor="background1" w:themeShade="80"/>
            </w:tcBorders>
          </w:tcPr>
          <w:p w14:paraId="7FE1CB9A" w14:textId="30E41EF0" w:rsidR="00765113" w:rsidRPr="00CB38F0" w:rsidRDefault="00765113" w:rsidP="00765113">
            <w:pPr>
              <w:pStyle w:val="BodyText3"/>
              <w:spacing w:afterLines="20" w:after="48" w:line="276" w:lineRule="auto"/>
              <w:ind w:right="23"/>
              <w:jc w:val="center"/>
              <w:rPr>
                <w:rFonts w:ascii="Arial" w:hAnsi="Arial" w:cs="Arial"/>
                <w:b/>
                <w:bCs/>
                <w:sz w:val="18"/>
                <w:szCs w:val="18"/>
              </w:rPr>
            </w:pPr>
            <w:r w:rsidRPr="0090012F">
              <w:rPr>
                <w:rFonts w:ascii="Arial" w:hAnsi="Arial" w:cs="Arial"/>
                <w:b/>
                <w:bCs/>
                <w:sz w:val="18"/>
                <w:szCs w:val="18"/>
                <w:lang w:val="el-GR"/>
              </w:rPr>
              <w:t>Α’ εξάμηνο 2023</w:t>
            </w:r>
          </w:p>
        </w:tc>
        <w:tc>
          <w:tcPr>
            <w:tcW w:w="1147" w:type="dxa"/>
            <w:tcBorders>
              <w:top w:val="single" w:sz="4" w:space="0" w:color="808080" w:themeColor="background1" w:themeShade="80"/>
              <w:bottom w:val="single" w:sz="4" w:space="0" w:color="808080" w:themeColor="background1" w:themeShade="80"/>
            </w:tcBorders>
          </w:tcPr>
          <w:p w14:paraId="12234531" w14:textId="3A83B23B" w:rsidR="00765113" w:rsidRPr="00CB38F0" w:rsidRDefault="00765113" w:rsidP="00765113">
            <w:pPr>
              <w:pStyle w:val="BodyText3"/>
              <w:spacing w:afterLines="20" w:after="48" w:line="276" w:lineRule="auto"/>
              <w:ind w:right="23"/>
              <w:jc w:val="center"/>
              <w:rPr>
                <w:rFonts w:ascii="Arial" w:hAnsi="Arial" w:cs="Arial"/>
                <w:b/>
                <w:bCs/>
                <w:sz w:val="18"/>
                <w:szCs w:val="18"/>
                <w:lang w:val="el-GR"/>
              </w:rPr>
            </w:pPr>
            <w:r w:rsidRPr="0090012F">
              <w:rPr>
                <w:rFonts w:ascii="Arial" w:hAnsi="Arial" w:cs="Arial"/>
                <w:b/>
                <w:bCs/>
                <w:sz w:val="18"/>
                <w:szCs w:val="18"/>
                <w:lang w:val="el-GR"/>
              </w:rPr>
              <w:t>Β’ τρίμηνο 2024</w:t>
            </w:r>
          </w:p>
        </w:tc>
        <w:tc>
          <w:tcPr>
            <w:tcW w:w="1147" w:type="dxa"/>
            <w:tcBorders>
              <w:top w:val="single" w:sz="4" w:space="0" w:color="808080" w:themeColor="background1" w:themeShade="80"/>
              <w:bottom w:val="single" w:sz="4" w:space="0" w:color="808080" w:themeColor="background1" w:themeShade="80"/>
            </w:tcBorders>
          </w:tcPr>
          <w:p w14:paraId="52353746" w14:textId="6959617D" w:rsidR="00765113" w:rsidRPr="00CB38F0" w:rsidRDefault="00765113" w:rsidP="00765113">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8"/>
                <w:szCs w:val="18"/>
                <w:lang w:val="el-GR" w:eastAsia="el-GR"/>
              </w:rPr>
            </w:pPr>
            <w:r w:rsidRPr="0090012F">
              <w:rPr>
                <w:rFonts w:ascii="Arial" w:eastAsia="Times New Roman" w:hAnsi="Arial" w:cs="Arial"/>
                <w:b/>
                <w:bCs/>
                <w:sz w:val="18"/>
                <w:szCs w:val="18"/>
                <w:lang w:val="el-GR" w:eastAsia="el-GR"/>
              </w:rPr>
              <w:t>Α’ τρίμηνο 2024</w:t>
            </w:r>
          </w:p>
        </w:tc>
        <w:tc>
          <w:tcPr>
            <w:tcW w:w="1147" w:type="dxa"/>
            <w:tcBorders>
              <w:top w:val="single" w:sz="4" w:space="0" w:color="808080" w:themeColor="background1" w:themeShade="80"/>
              <w:bottom w:val="single" w:sz="4" w:space="0" w:color="808080" w:themeColor="background1" w:themeShade="80"/>
            </w:tcBorders>
          </w:tcPr>
          <w:p w14:paraId="246BE9A2" w14:textId="77777777" w:rsidR="00765113" w:rsidRPr="0090012F" w:rsidRDefault="00765113" w:rsidP="00765113">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8"/>
                <w:szCs w:val="18"/>
                <w:lang w:val="el-GR" w:eastAsia="el-GR"/>
              </w:rPr>
            </w:pPr>
            <w:r w:rsidRPr="0090012F">
              <w:rPr>
                <w:rFonts w:ascii="Arial" w:eastAsia="Times New Roman" w:hAnsi="Arial" w:cs="Arial"/>
                <w:bCs/>
                <w:sz w:val="18"/>
                <w:szCs w:val="18"/>
                <w:lang w:val="el-GR" w:eastAsia="el-GR"/>
              </w:rPr>
              <w:t>Τριμηνιαία μεταβολή</w:t>
            </w:r>
          </w:p>
          <w:p w14:paraId="47F311D5" w14:textId="57E6D079" w:rsidR="00765113" w:rsidRPr="00CB38F0" w:rsidRDefault="00765113" w:rsidP="00765113">
            <w:pPr>
              <w:tabs>
                <w:tab w:val="left" w:pos="0"/>
                <w:tab w:val="left" w:pos="1416"/>
                <w:tab w:val="decimal" w:pos="4962"/>
                <w:tab w:val="decimal" w:pos="6521"/>
                <w:tab w:val="right" w:pos="7560"/>
                <w:tab w:val="decimal" w:pos="8220"/>
                <w:tab w:val="left" w:pos="8640"/>
                <w:tab w:val="right" w:pos="9000"/>
              </w:tabs>
              <w:suppressAutoHyphens/>
              <w:spacing w:afterLines="20" w:after="48"/>
              <w:ind w:right="23"/>
              <w:jc w:val="center"/>
              <w:rPr>
                <w:rFonts w:ascii="Arial" w:hAnsi="Arial" w:cs="Arial"/>
                <w:bCs/>
                <w:sz w:val="18"/>
                <w:szCs w:val="18"/>
                <w:lang w:val="el-GR"/>
              </w:rPr>
            </w:pPr>
            <w:r w:rsidRPr="0090012F">
              <w:rPr>
                <w:rFonts w:ascii="Arial" w:eastAsia="Times New Roman" w:hAnsi="Arial" w:cs="Arial"/>
                <w:bCs/>
                <w:sz w:val="18"/>
                <w:szCs w:val="18"/>
                <w:u w:val="single"/>
                <w:lang w:val="el-GR" w:eastAsia="el-GR"/>
              </w:rPr>
              <w:t>+</w:t>
            </w:r>
            <w:r w:rsidRPr="0090012F">
              <w:rPr>
                <w:rFonts w:ascii="Arial" w:eastAsia="Times New Roman" w:hAnsi="Arial" w:cs="Arial"/>
                <w:bCs/>
                <w:sz w:val="18"/>
                <w:szCs w:val="18"/>
                <w:lang w:val="el-GR" w:eastAsia="el-GR"/>
              </w:rPr>
              <w:t>%</w:t>
            </w:r>
          </w:p>
        </w:tc>
        <w:tc>
          <w:tcPr>
            <w:tcW w:w="115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67D7F8A" w14:textId="77777777" w:rsidR="00765113" w:rsidRPr="0090012F" w:rsidRDefault="00765113" w:rsidP="00765113">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8"/>
                <w:szCs w:val="18"/>
                <w:lang w:val="el-GR" w:eastAsia="el-GR"/>
              </w:rPr>
            </w:pPr>
            <w:r w:rsidRPr="0090012F">
              <w:rPr>
                <w:rFonts w:ascii="Arial" w:eastAsia="Times New Roman" w:hAnsi="Arial" w:cs="Arial"/>
                <w:bCs/>
                <w:sz w:val="18"/>
                <w:szCs w:val="18"/>
                <w:lang w:val="el-GR" w:eastAsia="el-GR"/>
              </w:rPr>
              <w:t>Ετήσια μεταβολή</w:t>
            </w:r>
          </w:p>
          <w:p w14:paraId="4157F05E" w14:textId="2FB4BCAB" w:rsidR="00765113" w:rsidRPr="00CB38F0" w:rsidRDefault="00765113" w:rsidP="00765113">
            <w:pPr>
              <w:pStyle w:val="BodyText3"/>
              <w:spacing w:afterLines="20" w:after="48" w:line="276" w:lineRule="auto"/>
              <w:ind w:right="23"/>
              <w:jc w:val="center"/>
              <w:rPr>
                <w:rFonts w:ascii="Arial" w:hAnsi="Arial" w:cs="Arial"/>
                <w:bCs/>
                <w:sz w:val="18"/>
                <w:szCs w:val="18"/>
              </w:rPr>
            </w:pPr>
            <w:r w:rsidRPr="0090012F">
              <w:rPr>
                <w:rFonts w:ascii="Arial" w:hAnsi="Arial" w:cs="Arial"/>
                <w:bCs/>
                <w:sz w:val="18"/>
                <w:szCs w:val="18"/>
                <w:u w:val="single"/>
              </w:rPr>
              <w:t>+</w:t>
            </w:r>
            <w:r w:rsidRPr="0090012F">
              <w:rPr>
                <w:rFonts w:ascii="Arial" w:hAnsi="Arial" w:cs="Arial"/>
                <w:bCs/>
                <w:sz w:val="18"/>
                <w:szCs w:val="18"/>
              </w:rPr>
              <w:t>%</w:t>
            </w:r>
          </w:p>
        </w:tc>
      </w:tr>
      <w:tr w:rsidR="008E7D1C" w:rsidRPr="006B5511" w14:paraId="7B39D392" w14:textId="77777777" w:rsidTr="00D022B5">
        <w:trPr>
          <w:trHeight w:val="352"/>
        </w:trPr>
        <w:tc>
          <w:tcPr>
            <w:tcW w:w="3888"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3DA29F3B" w14:textId="77777777" w:rsidR="008E7D1C" w:rsidRPr="00CB38F0" w:rsidRDefault="008E7D1C" w:rsidP="008E7D1C">
            <w:pPr>
              <w:pStyle w:val="BodyText3"/>
              <w:tabs>
                <w:tab w:val="clear" w:pos="0"/>
                <w:tab w:val="clear" w:pos="1416"/>
                <w:tab w:val="left" w:pos="1184"/>
              </w:tabs>
              <w:spacing w:after="20"/>
              <w:jc w:val="left"/>
              <w:rPr>
                <w:rFonts w:ascii="Arial" w:hAnsi="Arial" w:cs="Arial"/>
                <w:b/>
                <w:bCs/>
                <w:sz w:val="18"/>
                <w:szCs w:val="18"/>
                <w:lang w:val="el-GR"/>
              </w:rPr>
            </w:pPr>
            <w:r w:rsidRPr="00CB38F0">
              <w:rPr>
                <w:rFonts w:ascii="Arial" w:hAnsi="Arial" w:cs="Arial"/>
                <w:color w:val="000000"/>
                <w:sz w:val="18"/>
                <w:szCs w:val="18"/>
                <w:lang w:val="el-GR"/>
              </w:rPr>
              <w:t>Καθαρό επιτοκιακό περιθώριο (ετησιοποιημένη βάση)</w:t>
            </w:r>
          </w:p>
        </w:tc>
        <w:tc>
          <w:tcPr>
            <w:tcW w:w="1146" w:type="dxa"/>
            <w:tcBorders>
              <w:top w:val="single" w:sz="4" w:space="0" w:color="808080" w:themeColor="background1" w:themeShade="80"/>
              <w:bottom w:val="single" w:sz="4" w:space="0" w:color="808080" w:themeColor="background1" w:themeShade="80"/>
            </w:tcBorders>
            <w:vAlign w:val="center"/>
          </w:tcPr>
          <w:p w14:paraId="3F41FDAB" w14:textId="207F2BBB" w:rsidR="008E7D1C" w:rsidRPr="00CB38F0" w:rsidRDefault="008E7D1C" w:rsidP="008E7D1C">
            <w:pPr>
              <w:pStyle w:val="BodyText3"/>
              <w:spacing w:after="20"/>
              <w:jc w:val="center"/>
              <w:rPr>
                <w:rFonts w:ascii="Arial" w:hAnsi="Arial" w:cs="Arial"/>
                <w:sz w:val="18"/>
                <w:szCs w:val="18"/>
                <w:highlight w:val="yellow"/>
                <w:lang w:val="el-GR"/>
              </w:rPr>
            </w:pPr>
            <w:r w:rsidRPr="0062059C">
              <w:rPr>
                <w:rFonts w:ascii="Arial" w:hAnsi="Arial" w:cs="Arial"/>
                <w:sz w:val="18"/>
                <w:szCs w:val="18"/>
              </w:rPr>
              <w:t>3.66%</w:t>
            </w:r>
          </w:p>
        </w:tc>
        <w:tc>
          <w:tcPr>
            <w:tcW w:w="1146" w:type="dxa"/>
            <w:tcBorders>
              <w:top w:val="single" w:sz="4" w:space="0" w:color="808080" w:themeColor="background1" w:themeShade="80"/>
              <w:bottom w:val="single" w:sz="4" w:space="0" w:color="808080" w:themeColor="background1" w:themeShade="80"/>
            </w:tcBorders>
            <w:vAlign w:val="center"/>
          </w:tcPr>
          <w:p w14:paraId="22C36211" w14:textId="04C6AE57" w:rsidR="008E7D1C" w:rsidRPr="00CB38F0" w:rsidRDefault="008E7D1C" w:rsidP="008E7D1C">
            <w:pPr>
              <w:pStyle w:val="BodyText3"/>
              <w:spacing w:after="20"/>
              <w:jc w:val="center"/>
              <w:rPr>
                <w:rFonts w:ascii="Arial" w:hAnsi="Arial" w:cs="Arial"/>
                <w:b/>
                <w:bCs/>
                <w:sz w:val="18"/>
                <w:szCs w:val="18"/>
                <w:lang w:val="el-GR"/>
              </w:rPr>
            </w:pPr>
            <w:r w:rsidRPr="0062059C">
              <w:rPr>
                <w:rFonts w:ascii="Arial" w:hAnsi="Arial" w:cs="Arial"/>
                <w:sz w:val="18"/>
                <w:szCs w:val="18"/>
              </w:rPr>
              <w:t>3.17%</w:t>
            </w:r>
          </w:p>
        </w:tc>
        <w:tc>
          <w:tcPr>
            <w:tcW w:w="1147" w:type="dxa"/>
            <w:tcBorders>
              <w:top w:val="single" w:sz="4" w:space="0" w:color="808080" w:themeColor="background1" w:themeShade="80"/>
              <w:bottom w:val="single" w:sz="4" w:space="0" w:color="808080" w:themeColor="background1" w:themeShade="80"/>
            </w:tcBorders>
            <w:vAlign w:val="center"/>
          </w:tcPr>
          <w:p w14:paraId="5F860267" w14:textId="42500913" w:rsidR="008E7D1C" w:rsidRPr="006B5511" w:rsidRDefault="008E7D1C" w:rsidP="008E7D1C">
            <w:pPr>
              <w:pStyle w:val="BodyText3"/>
              <w:spacing w:after="20"/>
              <w:jc w:val="center"/>
              <w:rPr>
                <w:rFonts w:ascii="Arial" w:hAnsi="Arial" w:cs="Arial"/>
                <w:sz w:val="18"/>
                <w:szCs w:val="18"/>
                <w:highlight w:val="yellow"/>
              </w:rPr>
            </w:pPr>
            <w:r w:rsidRPr="0062059C">
              <w:rPr>
                <w:rFonts w:ascii="Arial" w:hAnsi="Arial" w:cs="Arial"/>
                <w:sz w:val="18"/>
                <w:szCs w:val="18"/>
              </w:rPr>
              <w:t>3.6</w:t>
            </w:r>
            <w:r>
              <w:rPr>
                <w:rFonts w:ascii="Arial" w:hAnsi="Arial" w:cs="Arial"/>
                <w:sz w:val="18"/>
                <w:szCs w:val="18"/>
              </w:rPr>
              <w:t>8</w:t>
            </w:r>
            <w:r w:rsidRPr="0062059C">
              <w:rPr>
                <w:rFonts w:ascii="Arial" w:hAnsi="Arial" w:cs="Arial"/>
                <w:sz w:val="18"/>
                <w:szCs w:val="18"/>
              </w:rPr>
              <w:t>%</w:t>
            </w:r>
          </w:p>
        </w:tc>
        <w:tc>
          <w:tcPr>
            <w:tcW w:w="1147" w:type="dxa"/>
            <w:tcBorders>
              <w:top w:val="single" w:sz="4" w:space="0" w:color="808080" w:themeColor="background1" w:themeShade="80"/>
              <w:bottom w:val="single" w:sz="4" w:space="0" w:color="808080" w:themeColor="background1" w:themeShade="80"/>
            </w:tcBorders>
            <w:vAlign w:val="center"/>
          </w:tcPr>
          <w:p w14:paraId="2A347F8C" w14:textId="23859D08" w:rsidR="008E7D1C" w:rsidRPr="00CB38F0" w:rsidRDefault="008E7D1C" w:rsidP="008E7D1C">
            <w:pPr>
              <w:pStyle w:val="BodyText3"/>
              <w:spacing w:after="20"/>
              <w:jc w:val="center"/>
              <w:rPr>
                <w:rFonts w:ascii="Arial" w:hAnsi="Arial" w:cs="Arial"/>
                <w:sz w:val="18"/>
                <w:szCs w:val="18"/>
              </w:rPr>
            </w:pPr>
            <w:r w:rsidRPr="0062059C">
              <w:rPr>
                <w:rFonts w:ascii="Arial" w:hAnsi="Arial" w:cs="Arial"/>
                <w:sz w:val="18"/>
                <w:szCs w:val="18"/>
              </w:rPr>
              <w:t>3.70%</w:t>
            </w:r>
          </w:p>
        </w:tc>
        <w:tc>
          <w:tcPr>
            <w:tcW w:w="1147" w:type="dxa"/>
            <w:tcBorders>
              <w:top w:val="single" w:sz="4" w:space="0" w:color="808080" w:themeColor="background1" w:themeShade="80"/>
              <w:bottom w:val="single" w:sz="4" w:space="0" w:color="808080" w:themeColor="background1" w:themeShade="80"/>
            </w:tcBorders>
            <w:vAlign w:val="center"/>
          </w:tcPr>
          <w:p w14:paraId="3B0DDD8D" w14:textId="396A63D7" w:rsidR="008E7D1C" w:rsidRPr="006B5511" w:rsidRDefault="008E7D1C" w:rsidP="008E7D1C">
            <w:pPr>
              <w:pStyle w:val="BodyText3"/>
              <w:spacing w:after="20"/>
              <w:jc w:val="center"/>
              <w:rPr>
                <w:rFonts w:ascii="Arial" w:hAnsi="Arial" w:cs="Arial"/>
                <w:sz w:val="18"/>
                <w:szCs w:val="18"/>
                <w:highlight w:val="yellow"/>
                <w:lang w:val="el-GR"/>
              </w:rPr>
            </w:pPr>
            <w:r w:rsidRPr="0062059C">
              <w:rPr>
                <w:rFonts w:ascii="Arial" w:hAnsi="Arial" w:cs="Arial"/>
                <w:sz w:val="18"/>
                <w:szCs w:val="18"/>
              </w:rPr>
              <w:t>-</w:t>
            </w:r>
            <w:r>
              <w:rPr>
                <w:rFonts w:ascii="Arial" w:hAnsi="Arial" w:cs="Arial"/>
                <w:sz w:val="18"/>
                <w:szCs w:val="18"/>
              </w:rPr>
              <w:t>2</w:t>
            </w:r>
            <w:r w:rsidRPr="0062059C">
              <w:rPr>
                <w:rFonts w:ascii="Arial" w:hAnsi="Arial" w:cs="Arial"/>
                <w:sz w:val="18"/>
                <w:szCs w:val="18"/>
              </w:rPr>
              <w:t xml:space="preserve"> </w:t>
            </w:r>
            <w:r>
              <w:rPr>
                <w:rFonts w:ascii="Arial" w:hAnsi="Arial" w:cs="Arial"/>
                <w:sz w:val="18"/>
                <w:szCs w:val="18"/>
                <w:lang w:val="el-GR"/>
              </w:rPr>
              <w:t>μ.β.</w:t>
            </w:r>
          </w:p>
        </w:tc>
        <w:tc>
          <w:tcPr>
            <w:tcW w:w="115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DF92CD6" w14:textId="60984F84" w:rsidR="008E7D1C" w:rsidRPr="006B5511" w:rsidRDefault="008E7D1C" w:rsidP="008E7D1C">
            <w:pPr>
              <w:pStyle w:val="BodyText3"/>
              <w:spacing w:after="20"/>
              <w:jc w:val="center"/>
              <w:rPr>
                <w:rFonts w:ascii="Arial" w:hAnsi="Arial" w:cs="Arial"/>
                <w:bCs/>
                <w:sz w:val="18"/>
                <w:szCs w:val="18"/>
                <w:highlight w:val="yellow"/>
              </w:rPr>
            </w:pPr>
            <w:r w:rsidRPr="0062059C">
              <w:rPr>
                <w:rFonts w:ascii="Arial" w:hAnsi="Arial" w:cs="Arial"/>
                <w:bCs/>
                <w:sz w:val="18"/>
                <w:szCs w:val="18"/>
              </w:rPr>
              <w:t xml:space="preserve">49 </w:t>
            </w:r>
            <w:r>
              <w:rPr>
                <w:rFonts w:ascii="Arial" w:hAnsi="Arial" w:cs="Arial"/>
                <w:sz w:val="18"/>
                <w:szCs w:val="18"/>
                <w:lang w:val="el-GR"/>
              </w:rPr>
              <w:t>μ.β.</w:t>
            </w:r>
          </w:p>
        </w:tc>
      </w:tr>
      <w:tr w:rsidR="008E7D1C" w:rsidRPr="006B5511" w14:paraId="508ED586" w14:textId="77777777" w:rsidTr="00D022B5">
        <w:trPr>
          <w:trHeight w:val="352"/>
        </w:trPr>
        <w:tc>
          <w:tcPr>
            <w:tcW w:w="3888"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vAlign w:val="center"/>
          </w:tcPr>
          <w:p w14:paraId="069DC884" w14:textId="5FDF155E" w:rsidR="008E7D1C" w:rsidRPr="00CB38F0" w:rsidRDefault="008E7D1C" w:rsidP="008E7D1C">
            <w:pPr>
              <w:pStyle w:val="BodyText3"/>
              <w:tabs>
                <w:tab w:val="clear" w:pos="0"/>
                <w:tab w:val="clear" w:pos="1416"/>
                <w:tab w:val="left" w:pos="1184"/>
              </w:tabs>
              <w:spacing w:after="20"/>
              <w:jc w:val="left"/>
              <w:rPr>
                <w:rFonts w:ascii="Arial" w:hAnsi="Arial" w:cs="Arial"/>
                <w:color w:val="000000"/>
                <w:sz w:val="18"/>
                <w:szCs w:val="18"/>
                <w:lang w:val="el-GR"/>
              </w:rPr>
            </w:pPr>
            <w:r w:rsidRPr="00CB38F0">
              <w:rPr>
                <w:rFonts w:ascii="Arial" w:hAnsi="Arial" w:cs="Arial"/>
                <w:color w:val="000000"/>
                <w:sz w:val="18"/>
                <w:szCs w:val="18"/>
                <w:lang w:val="el-GR"/>
              </w:rPr>
              <w:t>Καθαρό επιτοκιακό περιθώριο (ετησιοποιημένη βάση)</w:t>
            </w:r>
            <w:r w:rsidRPr="00CB38F0">
              <w:rPr>
                <w:rFonts w:ascii="Arial" w:hAnsi="Arial" w:cs="Arial"/>
                <w:color w:val="000000" w:themeColor="text1"/>
                <w:sz w:val="18"/>
                <w:szCs w:val="18"/>
                <w:lang w:val="el-GR"/>
              </w:rPr>
              <w:t xml:space="preserve"> </w:t>
            </w:r>
            <w:r w:rsidRPr="00CB38F0">
              <w:rPr>
                <w:rFonts w:ascii="Arial" w:hAnsi="Arial" w:cs="Arial"/>
                <w:sz w:val="18"/>
                <w:szCs w:val="18"/>
                <w:lang w:val="el-GR"/>
              </w:rPr>
              <w:t>εξαιρώντας το ΣΠΠΜΑ ΙΙΙ</w:t>
            </w:r>
          </w:p>
        </w:tc>
        <w:tc>
          <w:tcPr>
            <w:tcW w:w="1146" w:type="dxa"/>
            <w:tcBorders>
              <w:top w:val="single" w:sz="4" w:space="0" w:color="808080" w:themeColor="background1" w:themeShade="80"/>
              <w:bottom w:val="single" w:sz="4" w:space="0" w:color="808080" w:themeColor="background1" w:themeShade="80"/>
            </w:tcBorders>
            <w:vAlign w:val="center"/>
          </w:tcPr>
          <w:p w14:paraId="512526C9" w14:textId="4E2F7828" w:rsidR="008E7D1C" w:rsidRPr="00CB38F0" w:rsidRDefault="008E7D1C" w:rsidP="008E7D1C">
            <w:pPr>
              <w:pStyle w:val="BodyText3"/>
              <w:spacing w:after="20"/>
              <w:jc w:val="center"/>
              <w:rPr>
                <w:rFonts w:ascii="Arial" w:hAnsi="Arial" w:cs="Arial"/>
                <w:sz w:val="18"/>
                <w:szCs w:val="18"/>
                <w:highlight w:val="yellow"/>
                <w:lang w:val="el-GR"/>
              </w:rPr>
            </w:pPr>
            <w:r w:rsidRPr="0062059C">
              <w:rPr>
                <w:rFonts w:ascii="Arial" w:hAnsi="Arial" w:cs="Arial"/>
                <w:sz w:val="18"/>
                <w:szCs w:val="18"/>
              </w:rPr>
              <w:t>3.79%</w:t>
            </w:r>
          </w:p>
        </w:tc>
        <w:tc>
          <w:tcPr>
            <w:tcW w:w="1146" w:type="dxa"/>
            <w:tcBorders>
              <w:top w:val="single" w:sz="4" w:space="0" w:color="808080" w:themeColor="background1" w:themeShade="80"/>
              <w:bottom w:val="single" w:sz="4" w:space="0" w:color="808080" w:themeColor="background1" w:themeShade="80"/>
            </w:tcBorders>
            <w:vAlign w:val="center"/>
          </w:tcPr>
          <w:p w14:paraId="6E222214" w14:textId="36E03BA8" w:rsidR="008E7D1C" w:rsidRPr="00CB38F0" w:rsidRDefault="008E7D1C" w:rsidP="008E7D1C">
            <w:pPr>
              <w:pStyle w:val="BodyText3"/>
              <w:spacing w:after="20"/>
              <w:jc w:val="center"/>
              <w:rPr>
                <w:rFonts w:ascii="Arial" w:hAnsi="Arial" w:cs="Arial"/>
                <w:sz w:val="18"/>
                <w:szCs w:val="18"/>
                <w:lang w:val="el-GR"/>
              </w:rPr>
            </w:pPr>
            <w:r w:rsidRPr="0062059C">
              <w:rPr>
                <w:rFonts w:ascii="Arial" w:hAnsi="Arial" w:cs="Arial"/>
                <w:sz w:val="18"/>
                <w:szCs w:val="18"/>
              </w:rPr>
              <w:t>3.48%</w:t>
            </w:r>
          </w:p>
        </w:tc>
        <w:tc>
          <w:tcPr>
            <w:tcW w:w="1147" w:type="dxa"/>
            <w:tcBorders>
              <w:top w:val="single" w:sz="4" w:space="0" w:color="808080" w:themeColor="background1" w:themeShade="80"/>
              <w:bottom w:val="single" w:sz="4" w:space="0" w:color="808080" w:themeColor="background1" w:themeShade="80"/>
            </w:tcBorders>
            <w:vAlign w:val="center"/>
          </w:tcPr>
          <w:p w14:paraId="2E8246F6" w14:textId="3F834B98" w:rsidR="008E7D1C" w:rsidRPr="006B5511" w:rsidRDefault="008E7D1C" w:rsidP="008E7D1C">
            <w:pPr>
              <w:pStyle w:val="BodyText3"/>
              <w:spacing w:after="20"/>
              <w:jc w:val="center"/>
              <w:rPr>
                <w:rFonts w:ascii="Arial" w:hAnsi="Arial" w:cs="Arial"/>
                <w:sz w:val="18"/>
                <w:szCs w:val="18"/>
                <w:highlight w:val="yellow"/>
                <w:lang w:val="el-GR"/>
              </w:rPr>
            </w:pPr>
            <w:r w:rsidRPr="0062059C">
              <w:rPr>
                <w:rFonts w:ascii="Arial" w:hAnsi="Arial" w:cs="Arial"/>
                <w:sz w:val="18"/>
                <w:szCs w:val="18"/>
              </w:rPr>
              <w:t>3.7</w:t>
            </w:r>
            <w:r w:rsidR="00D313B7">
              <w:rPr>
                <w:rFonts w:ascii="Arial" w:hAnsi="Arial" w:cs="Arial"/>
                <w:sz w:val="18"/>
                <w:szCs w:val="18"/>
                <w:lang w:val="el-GR"/>
              </w:rPr>
              <w:t>0</w:t>
            </w:r>
            <w:r w:rsidRPr="0062059C">
              <w:rPr>
                <w:rFonts w:ascii="Arial" w:hAnsi="Arial" w:cs="Arial"/>
                <w:sz w:val="18"/>
                <w:szCs w:val="18"/>
              </w:rPr>
              <w:t>%</w:t>
            </w:r>
          </w:p>
        </w:tc>
        <w:tc>
          <w:tcPr>
            <w:tcW w:w="1147" w:type="dxa"/>
            <w:tcBorders>
              <w:top w:val="single" w:sz="4" w:space="0" w:color="808080" w:themeColor="background1" w:themeShade="80"/>
              <w:bottom w:val="single" w:sz="4" w:space="0" w:color="808080" w:themeColor="background1" w:themeShade="80"/>
            </w:tcBorders>
            <w:vAlign w:val="center"/>
          </w:tcPr>
          <w:p w14:paraId="56E92235" w14:textId="031088FA" w:rsidR="008E7D1C" w:rsidRPr="00CB38F0" w:rsidRDefault="008E7D1C" w:rsidP="008E7D1C">
            <w:pPr>
              <w:pStyle w:val="BodyText3"/>
              <w:spacing w:after="20"/>
              <w:jc w:val="center"/>
              <w:rPr>
                <w:rFonts w:ascii="Arial" w:hAnsi="Arial" w:cs="Arial"/>
                <w:sz w:val="18"/>
                <w:szCs w:val="18"/>
                <w:lang w:val="el-GR"/>
              </w:rPr>
            </w:pPr>
            <w:r w:rsidRPr="0062059C">
              <w:rPr>
                <w:rFonts w:ascii="Arial" w:hAnsi="Arial" w:cs="Arial"/>
                <w:sz w:val="18"/>
                <w:szCs w:val="18"/>
              </w:rPr>
              <w:t>3.90%</w:t>
            </w:r>
          </w:p>
        </w:tc>
        <w:tc>
          <w:tcPr>
            <w:tcW w:w="1147" w:type="dxa"/>
            <w:tcBorders>
              <w:top w:val="single" w:sz="4" w:space="0" w:color="808080" w:themeColor="background1" w:themeShade="80"/>
              <w:bottom w:val="single" w:sz="4" w:space="0" w:color="808080" w:themeColor="background1" w:themeShade="80"/>
            </w:tcBorders>
            <w:vAlign w:val="center"/>
          </w:tcPr>
          <w:p w14:paraId="48D23919" w14:textId="3A4A030B" w:rsidR="008E7D1C" w:rsidRPr="006B5511" w:rsidRDefault="008E7D1C" w:rsidP="008E7D1C">
            <w:pPr>
              <w:pStyle w:val="BodyText3"/>
              <w:spacing w:after="20"/>
              <w:jc w:val="center"/>
              <w:rPr>
                <w:rFonts w:ascii="Arial" w:hAnsi="Arial" w:cs="Arial"/>
                <w:sz w:val="18"/>
                <w:szCs w:val="18"/>
                <w:highlight w:val="yellow"/>
                <w:lang w:val="el-GR"/>
              </w:rPr>
            </w:pPr>
            <w:r w:rsidRPr="0062059C">
              <w:rPr>
                <w:rFonts w:ascii="Arial" w:hAnsi="Arial" w:cs="Arial"/>
                <w:sz w:val="18"/>
                <w:szCs w:val="18"/>
              </w:rPr>
              <w:t>-</w:t>
            </w:r>
            <w:r w:rsidR="00D313B7">
              <w:rPr>
                <w:rFonts w:ascii="Arial" w:hAnsi="Arial" w:cs="Arial"/>
                <w:sz w:val="18"/>
                <w:szCs w:val="18"/>
                <w:lang w:val="el-GR"/>
              </w:rPr>
              <w:t>20</w:t>
            </w:r>
            <w:r w:rsidRPr="0062059C">
              <w:rPr>
                <w:rFonts w:ascii="Arial" w:hAnsi="Arial" w:cs="Arial"/>
                <w:sz w:val="18"/>
                <w:szCs w:val="18"/>
              </w:rPr>
              <w:t xml:space="preserve"> </w:t>
            </w:r>
            <w:r>
              <w:rPr>
                <w:rFonts w:ascii="Arial" w:hAnsi="Arial" w:cs="Arial"/>
                <w:sz w:val="18"/>
                <w:szCs w:val="18"/>
                <w:lang w:val="el-GR"/>
              </w:rPr>
              <w:t>μ.β.</w:t>
            </w:r>
          </w:p>
        </w:tc>
        <w:tc>
          <w:tcPr>
            <w:tcW w:w="115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3E558DC" w14:textId="2DB3A68F" w:rsidR="008E7D1C" w:rsidRPr="006B5511" w:rsidRDefault="008E7D1C" w:rsidP="008E7D1C">
            <w:pPr>
              <w:pStyle w:val="BodyText3"/>
              <w:spacing w:after="20"/>
              <w:jc w:val="center"/>
              <w:rPr>
                <w:rFonts w:ascii="Arial" w:hAnsi="Arial" w:cs="Arial"/>
                <w:bCs/>
                <w:sz w:val="18"/>
                <w:szCs w:val="18"/>
                <w:highlight w:val="yellow"/>
                <w:lang w:val="el-GR"/>
              </w:rPr>
            </w:pPr>
            <w:r w:rsidRPr="0062059C">
              <w:rPr>
                <w:rFonts w:ascii="Arial" w:hAnsi="Arial" w:cs="Arial"/>
                <w:bCs/>
                <w:sz w:val="18"/>
                <w:szCs w:val="18"/>
              </w:rPr>
              <w:t xml:space="preserve">31 </w:t>
            </w:r>
            <w:r>
              <w:rPr>
                <w:rFonts w:ascii="Arial" w:hAnsi="Arial" w:cs="Arial"/>
                <w:sz w:val="18"/>
                <w:szCs w:val="18"/>
                <w:lang w:val="el-GR"/>
              </w:rPr>
              <w:t>μ.β.</w:t>
            </w:r>
          </w:p>
        </w:tc>
      </w:tr>
      <w:tr w:rsidR="008E7D1C" w:rsidRPr="006B5511" w14:paraId="50D2E96C" w14:textId="77777777" w:rsidTr="00D022B5">
        <w:trPr>
          <w:trHeight w:val="352"/>
        </w:trPr>
        <w:tc>
          <w:tcPr>
            <w:tcW w:w="3888"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74769354" w14:textId="77777777" w:rsidR="008E7D1C" w:rsidRPr="00CB38F0" w:rsidRDefault="008E7D1C" w:rsidP="008E7D1C">
            <w:pPr>
              <w:pStyle w:val="BodyText3"/>
              <w:tabs>
                <w:tab w:val="clear" w:pos="0"/>
                <w:tab w:val="clear" w:pos="1416"/>
                <w:tab w:val="left" w:pos="1184"/>
              </w:tabs>
              <w:spacing w:after="20"/>
              <w:jc w:val="left"/>
              <w:rPr>
                <w:rFonts w:ascii="Arial" w:hAnsi="Arial" w:cs="Arial"/>
                <w:b/>
                <w:bCs/>
                <w:sz w:val="18"/>
                <w:szCs w:val="18"/>
              </w:rPr>
            </w:pPr>
            <w:r w:rsidRPr="00CB38F0">
              <w:rPr>
                <w:rFonts w:ascii="Arial" w:hAnsi="Arial" w:cs="Arial"/>
                <w:color w:val="000000"/>
                <w:sz w:val="18"/>
                <w:szCs w:val="18"/>
                <w:lang w:val="el-GR"/>
              </w:rPr>
              <w:t>Δείκτης κόστος προς έσοδα</w:t>
            </w:r>
          </w:p>
        </w:tc>
        <w:tc>
          <w:tcPr>
            <w:tcW w:w="1146" w:type="dxa"/>
            <w:tcBorders>
              <w:top w:val="single" w:sz="4" w:space="0" w:color="808080" w:themeColor="background1" w:themeShade="80"/>
              <w:bottom w:val="single" w:sz="4" w:space="0" w:color="808080" w:themeColor="background1" w:themeShade="80"/>
            </w:tcBorders>
            <w:vAlign w:val="center"/>
          </w:tcPr>
          <w:p w14:paraId="56124BC4" w14:textId="6009798A" w:rsidR="008E7D1C" w:rsidRPr="006B5511" w:rsidRDefault="008E7D1C" w:rsidP="008E7D1C">
            <w:pPr>
              <w:pStyle w:val="BodyText3"/>
              <w:spacing w:after="20"/>
              <w:jc w:val="center"/>
              <w:rPr>
                <w:rFonts w:ascii="Arial" w:hAnsi="Arial" w:cs="Arial"/>
                <w:sz w:val="18"/>
                <w:szCs w:val="18"/>
                <w:highlight w:val="yellow"/>
              </w:rPr>
            </w:pPr>
            <w:r w:rsidRPr="00E2423A">
              <w:rPr>
                <w:rFonts w:ascii="Arial" w:hAnsi="Arial" w:cs="Arial"/>
                <w:sz w:val="18"/>
                <w:szCs w:val="18"/>
              </w:rPr>
              <w:t>34%</w:t>
            </w:r>
          </w:p>
        </w:tc>
        <w:tc>
          <w:tcPr>
            <w:tcW w:w="1146" w:type="dxa"/>
            <w:tcBorders>
              <w:top w:val="single" w:sz="4" w:space="0" w:color="808080" w:themeColor="background1" w:themeShade="80"/>
              <w:bottom w:val="single" w:sz="4" w:space="0" w:color="808080" w:themeColor="background1" w:themeShade="80"/>
            </w:tcBorders>
            <w:vAlign w:val="center"/>
          </w:tcPr>
          <w:p w14:paraId="03FEF122" w14:textId="1EF559B3" w:rsidR="008E7D1C" w:rsidRPr="00CB38F0" w:rsidRDefault="008E7D1C" w:rsidP="008E7D1C">
            <w:pPr>
              <w:pStyle w:val="BodyText3"/>
              <w:spacing w:after="20"/>
              <w:jc w:val="center"/>
              <w:rPr>
                <w:rFonts w:ascii="Arial" w:hAnsi="Arial" w:cs="Arial"/>
                <w:sz w:val="18"/>
                <w:szCs w:val="18"/>
              </w:rPr>
            </w:pPr>
            <w:r w:rsidRPr="004D3E2D">
              <w:rPr>
                <w:rFonts w:ascii="Arial" w:hAnsi="Arial" w:cs="Arial"/>
                <w:sz w:val="18"/>
                <w:szCs w:val="18"/>
              </w:rPr>
              <w:t>35%</w:t>
            </w:r>
          </w:p>
        </w:tc>
        <w:tc>
          <w:tcPr>
            <w:tcW w:w="1147" w:type="dxa"/>
            <w:tcBorders>
              <w:top w:val="single" w:sz="4" w:space="0" w:color="808080" w:themeColor="background1" w:themeShade="80"/>
              <w:bottom w:val="single" w:sz="4" w:space="0" w:color="808080" w:themeColor="background1" w:themeShade="80"/>
            </w:tcBorders>
            <w:vAlign w:val="center"/>
          </w:tcPr>
          <w:p w14:paraId="406FFC95" w14:textId="2ECEB480" w:rsidR="008E7D1C" w:rsidRPr="006B5511" w:rsidRDefault="008E7D1C" w:rsidP="008E7D1C">
            <w:pPr>
              <w:pStyle w:val="BodyText3"/>
              <w:spacing w:after="20"/>
              <w:jc w:val="center"/>
              <w:rPr>
                <w:rFonts w:ascii="Arial" w:hAnsi="Arial" w:cs="Arial"/>
                <w:sz w:val="18"/>
                <w:szCs w:val="18"/>
                <w:highlight w:val="yellow"/>
              </w:rPr>
            </w:pPr>
            <w:r>
              <w:rPr>
                <w:rFonts w:ascii="Arial" w:hAnsi="Arial" w:cs="Arial"/>
                <w:sz w:val="18"/>
                <w:szCs w:val="18"/>
              </w:rPr>
              <w:t>34%</w:t>
            </w:r>
          </w:p>
        </w:tc>
        <w:tc>
          <w:tcPr>
            <w:tcW w:w="1147" w:type="dxa"/>
            <w:tcBorders>
              <w:top w:val="single" w:sz="4" w:space="0" w:color="808080" w:themeColor="background1" w:themeShade="80"/>
              <w:bottom w:val="single" w:sz="4" w:space="0" w:color="808080" w:themeColor="background1" w:themeShade="80"/>
            </w:tcBorders>
            <w:vAlign w:val="center"/>
          </w:tcPr>
          <w:p w14:paraId="0154E771" w14:textId="64DD24F7" w:rsidR="008E7D1C" w:rsidRPr="00CB38F0" w:rsidRDefault="008E7D1C" w:rsidP="008E7D1C">
            <w:pPr>
              <w:pStyle w:val="BodyText3"/>
              <w:spacing w:after="20"/>
              <w:jc w:val="center"/>
              <w:rPr>
                <w:rFonts w:ascii="Arial" w:hAnsi="Arial" w:cs="Arial"/>
                <w:sz w:val="18"/>
                <w:szCs w:val="18"/>
              </w:rPr>
            </w:pPr>
            <w:r>
              <w:rPr>
                <w:rFonts w:ascii="Arial" w:hAnsi="Arial" w:cs="Arial"/>
                <w:sz w:val="18"/>
                <w:szCs w:val="18"/>
              </w:rPr>
              <w:t>33</w:t>
            </w:r>
            <w:r w:rsidRPr="00A80F70">
              <w:rPr>
                <w:rFonts w:ascii="Arial" w:hAnsi="Arial" w:cs="Arial"/>
                <w:sz w:val="18"/>
                <w:szCs w:val="18"/>
              </w:rPr>
              <w:t>%</w:t>
            </w:r>
          </w:p>
        </w:tc>
        <w:tc>
          <w:tcPr>
            <w:tcW w:w="1147" w:type="dxa"/>
            <w:tcBorders>
              <w:top w:val="single" w:sz="4" w:space="0" w:color="808080" w:themeColor="background1" w:themeShade="80"/>
              <w:bottom w:val="single" w:sz="4" w:space="0" w:color="808080" w:themeColor="background1" w:themeShade="80"/>
            </w:tcBorders>
            <w:vAlign w:val="center"/>
          </w:tcPr>
          <w:p w14:paraId="313F7840" w14:textId="39530325" w:rsidR="008E7D1C" w:rsidRPr="006B5511" w:rsidRDefault="008E7D1C" w:rsidP="008E7D1C">
            <w:pPr>
              <w:pStyle w:val="BodyText3"/>
              <w:spacing w:after="20"/>
              <w:jc w:val="center"/>
              <w:rPr>
                <w:rFonts w:ascii="Arial" w:hAnsi="Arial" w:cs="Arial"/>
                <w:color w:val="FF0000"/>
                <w:sz w:val="18"/>
                <w:szCs w:val="18"/>
                <w:highlight w:val="yellow"/>
                <w:lang w:val="el-GR"/>
              </w:rPr>
            </w:pPr>
            <w:r w:rsidRPr="004B1785">
              <w:rPr>
                <w:rFonts w:ascii="Arial" w:hAnsi="Arial" w:cs="Arial"/>
                <w:sz w:val="18"/>
                <w:szCs w:val="18"/>
              </w:rPr>
              <w:t xml:space="preserve">1 </w:t>
            </w:r>
            <w:r>
              <w:rPr>
                <w:rFonts w:ascii="Arial" w:hAnsi="Arial" w:cs="Arial"/>
                <w:sz w:val="18"/>
                <w:szCs w:val="18"/>
                <w:lang w:val="el-GR"/>
              </w:rPr>
              <w:t>ε.μ.</w:t>
            </w:r>
          </w:p>
        </w:tc>
        <w:tc>
          <w:tcPr>
            <w:tcW w:w="115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AF4EA71" w14:textId="00EADF10" w:rsidR="008E7D1C" w:rsidRPr="006B5511" w:rsidRDefault="008E7D1C" w:rsidP="008E7D1C">
            <w:pPr>
              <w:pStyle w:val="BodyText3"/>
              <w:spacing w:after="20"/>
              <w:jc w:val="center"/>
              <w:rPr>
                <w:rFonts w:ascii="Arial" w:hAnsi="Arial" w:cs="Arial"/>
                <w:bCs/>
                <w:color w:val="FF0000"/>
                <w:sz w:val="18"/>
                <w:szCs w:val="18"/>
                <w:highlight w:val="yellow"/>
              </w:rPr>
            </w:pPr>
            <w:r w:rsidRPr="004B1785">
              <w:rPr>
                <w:rFonts w:ascii="Arial" w:hAnsi="Arial" w:cs="Arial"/>
                <w:bCs/>
                <w:sz w:val="18"/>
                <w:szCs w:val="18"/>
              </w:rPr>
              <w:t xml:space="preserve">-1 </w:t>
            </w:r>
            <w:r>
              <w:rPr>
                <w:rFonts w:ascii="Arial" w:hAnsi="Arial" w:cs="Arial"/>
                <w:sz w:val="18"/>
                <w:szCs w:val="18"/>
                <w:lang w:val="el-GR"/>
              </w:rPr>
              <w:t>ε.μ.</w:t>
            </w:r>
          </w:p>
        </w:tc>
      </w:tr>
      <w:tr w:rsidR="008E7D1C" w:rsidRPr="006B5511" w14:paraId="6FB8864E" w14:textId="77777777" w:rsidTr="00D022B5">
        <w:trPr>
          <w:trHeight w:val="569"/>
        </w:trPr>
        <w:tc>
          <w:tcPr>
            <w:tcW w:w="3888"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4651B9E9" w14:textId="77777777" w:rsidR="008E7D1C" w:rsidRPr="00CB38F0" w:rsidRDefault="008E7D1C" w:rsidP="008E7D1C">
            <w:pPr>
              <w:pStyle w:val="BodyText3"/>
              <w:tabs>
                <w:tab w:val="clear" w:pos="0"/>
                <w:tab w:val="clear" w:pos="1416"/>
                <w:tab w:val="left" w:pos="1184"/>
              </w:tabs>
              <w:spacing w:after="20"/>
              <w:jc w:val="left"/>
              <w:rPr>
                <w:rFonts w:ascii="Arial" w:hAnsi="Arial" w:cs="Arial"/>
                <w:b/>
                <w:bCs/>
                <w:sz w:val="18"/>
                <w:szCs w:val="18"/>
                <w:lang w:val="el-GR"/>
              </w:rPr>
            </w:pPr>
            <w:r w:rsidRPr="00CB38F0">
              <w:rPr>
                <w:rFonts w:ascii="Arial" w:hAnsi="Arial" w:cs="Arial"/>
                <w:color w:val="000000" w:themeColor="text1"/>
                <w:sz w:val="18"/>
                <w:szCs w:val="18"/>
                <w:lang w:val="el-GR"/>
              </w:rPr>
              <w:t>Δείκτης κόστος προς έσοδα αναπροσαρμοσμένος για τον ειδικό φόρο επί των καταθέσεων και άλλα τέλη/εισφορές</w:t>
            </w:r>
          </w:p>
        </w:tc>
        <w:tc>
          <w:tcPr>
            <w:tcW w:w="1146" w:type="dxa"/>
            <w:tcBorders>
              <w:top w:val="single" w:sz="4" w:space="0" w:color="808080" w:themeColor="background1" w:themeShade="80"/>
              <w:bottom w:val="single" w:sz="4" w:space="0" w:color="808080" w:themeColor="background1" w:themeShade="80"/>
            </w:tcBorders>
            <w:vAlign w:val="center"/>
          </w:tcPr>
          <w:p w14:paraId="4CE11E44" w14:textId="4D7C2235" w:rsidR="008E7D1C" w:rsidRPr="00CB38F0" w:rsidRDefault="008E7D1C" w:rsidP="008E7D1C">
            <w:pPr>
              <w:pStyle w:val="BodyText3"/>
              <w:spacing w:after="20"/>
              <w:jc w:val="center"/>
              <w:rPr>
                <w:rFonts w:ascii="Arial" w:hAnsi="Arial" w:cs="Arial"/>
                <w:sz w:val="18"/>
                <w:szCs w:val="18"/>
                <w:highlight w:val="yellow"/>
                <w:lang w:val="el-GR"/>
              </w:rPr>
            </w:pPr>
            <w:r w:rsidRPr="00E2423A">
              <w:rPr>
                <w:rFonts w:ascii="Arial" w:hAnsi="Arial" w:cs="Arial"/>
                <w:sz w:val="18"/>
                <w:szCs w:val="18"/>
              </w:rPr>
              <w:t>30%</w:t>
            </w:r>
          </w:p>
        </w:tc>
        <w:tc>
          <w:tcPr>
            <w:tcW w:w="1146" w:type="dxa"/>
            <w:tcBorders>
              <w:top w:val="single" w:sz="4" w:space="0" w:color="808080" w:themeColor="background1" w:themeShade="80"/>
              <w:bottom w:val="single" w:sz="4" w:space="0" w:color="808080" w:themeColor="background1" w:themeShade="80"/>
            </w:tcBorders>
            <w:vAlign w:val="center"/>
          </w:tcPr>
          <w:p w14:paraId="48560C24" w14:textId="1EF62548" w:rsidR="008E7D1C" w:rsidRPr="00CB38F0" w:rsidRDefault="008E7D1C" w:rsidP="008E7D1C">
            <w:pPr>
              <w:pStyle w:val="BodyText3"/>
              <w:spacing w:after="20"/>
              <w:jc w:val="center"/>
              <w:rPr>
                <w:rFonts w:ascii="Arial" w:hAnsi="Arial" w:cs="Arial"/>
                <w:b/>
                <w:bCs/>
                <w:sz w:val="18"/>
                <w:szCs w:val="18"/>
                <w:lang w:val="el-GR"/>
              </w:rPr>
            </w:pPr>
            <w:r>
              <w:rPr>
                <w:rFonts w:ascii="Arial" w:hAnsi="Arial" w:cs="Arial"/>
                <w:sz w:val="18"/>
                <w:szCs w:val="18"/>
              </w:rPr>
              <w:t>32</w:t>
            </w:r>
            <w:r w:rsidRPr="004D3E2D">
              <w:rPr>
                <w:rFonts w:ascii="Arial" w:hAnsi="Arial" w:cs="Arial"/>
                <w:sz w:val="18"/>
                <w:szCs w:val="18"/>
              </w:rPr>
              <w:t>%</w:t>
            </w:r>
          </w:p>
        </w:tc>
        <w:tc>
          <w:tcPr>
            <w:tcW w:w="1147" w:type="dxa"/>
            <w:tcBorders>
              <w:top w:val="single" w:sz="4" w:space="0" w:color="808080" w:themeColor="background1" w:themeShade="80"/>
              <w:bottom w:val="single" w:sz="4" w:space="0" w:color="808080" w:themeColor="background1" w:themeShade="80"/>
            </w:tcBorders>
            <w:vAlign w:val="center"/>
          </w:tcPr>
          <w:p w14:paraId="6C86FA02" w14:textId="6FCDAF16" w:rsidR="008E7D1C" w:rsidRPr="006B5511" w:rsidRDefault="008E7D1C" w:rsidP="008E7D1C">
            <w:pPr>
              <w:pStyle w:val="BodyText3"/>
              <w:spacing w:after="20"/>
              <w:jc w:val="center"/>
              <w:rPr>
                <w:rFonts w:ascii="Arial" w:hAnsi="Arial" w:cs="Arial"/>
                <w:sz w:val="18"/>
                <w:szCs w:val="18"/>
                <w:highlight w:val="yellow"/>
              </w:rPr>
            </w:pPr>
            <w:r w:rsidRPr="00E2423A">
              <w:rPr>
                <w:rFonts w:ascii="Arial" w:hAnsi="Arial" w:cs="Arial"/>
                <w:sz w:val="18"/>
                <w:szCs w:val="18"/>
              </w:rPr>
              <w:t>3</w:t>
            </w:r>
            <w:r>
              <w:rPr>
                <w:rFonts w:ascii="Arial" w:hAnsi="Arial" w:cs="Arial"/>
                <w:sz w:val="18"/>
                <w:szCs w:val="18"/>
              </w:rPr>
              <w:t>2</w:t>
            </w:r>
            <w:r w:rsidRPr="00E2423A">
              <w:rPr>
                <w:rFonts w:ascii="Arial" w:hAnsi="Arial" w:cs="Arial"/>
                <w:sz w:val="18"/>
                <w:szCs w:val="18"/>
              </w:rPr>
              <w:t>%</w:t>
            </w:r>
          </w:p>
        </w:tc>
        <w:tc>
          <w:tcPr>
            <w:tcW w:w="1147" w:type="dxa"/>
            <w:tcBorders>
              <w:top w:val="single" w:sz="4" w:space="0" w:color="808080" w:themeColor="background1" w:themeShade="80"/>
              <w:bottom w:val="single" w:sz="4" w:space="0" w:color="808080" w:themeColor="background1" w:themeShade="80"/>
            </w:tcBorders>
            <w:vAlign w:val="center"/>
          </w:tcPr>
          <w:p w14:paraId="71ECF060" w14:textId="0A6487AE" w:rsidR="008E7D1C" w:rsidRPr="00CB38F0" w:rsidRDefault="008E7D1C" w:rsidP="008E7D1C">
            <w:pPr>
              <w:pStyle w:val="BodyText3"/>
              <w:spacing w:after="20"/>
              <w:jc w:val="center"/>
              <w:rPr>
                <w:rFonts w:ascii="Arial" w:hAnsi="Arial" w:cs="Arial"/>
                <w:sz w:val="18"/>
                <w:szCs w:val="18"/>
              </w:rPr>
            </w:pPr>
            <w:r w:rsidRPr="00E2423A">
              <w:rPr>
                <w:rFonts w:ascii="Arial" w:hAnsi="Arial" w:cs="Arial"/>
                <w:sz w:val="18"/>
                <w:szCs w:val="18"/>
              </w:rPr>
              <w:t>29%</w:t>
            </w:r>
          </w:p>
        </w:tc>
        <w:tc>
          <w:tcPr>
            <w:tcW w:w="1147" w:type="dxa"/>
            <w:tcBorders>
              <w:top w:val="single" w:sz="4" w:space="0" w:color="808080" w:themeColor="background1" w:themeShade="80"/>
              <w:bottom w:val="single" w:sz="4" w:space="0" w:color="808080" w:themeColor="background1" w:themeShade="80"/>
            </w:tcBorders>
            <w:vAlign w:val="center"/>
          </w:tcPr>
          <w:p w14:paraId="29CE75B5" w14:textId="0C5988D6" w:rsidR="008E7D1C" w:rsidRPr="006B5511" w:rsidRDefault="008E7D1C" w:rsidP="008E7D1C">
            <w:pPr>
              <w:pStyle w:val="BodyText3"/>
              <w:spacing w:after="20"/>
              <w:jc w:val="center"/>
              <w:rPr>
                <w:rFonts w:ascii="Arial" w:hAnsi="Arial" w:cs="Arial"/>
                <w:sz w:val="18"/>
                <w:szCs w:val="18"/>
                <w:highlight w:val="yellow"/>
                <w:lang w:val="el-GR"/>
              </w:rPr>
            </w:pPr>
            <w:r>
              <w:rPr>
                <w:rFonts w:ascii="Arial" w:hAnsi="Arial" w:cs="Arial"/>
                <w:sz w:val="18"/>
                <w:szCs w:val="18"/>
              </w:rPr>
              <w:t>3</w:t>
            </w:r>
            <w:r w:rsidRPr="004B1785">
              <w:rPr>
                <w:rFonts w:ascii="Arial" w:hAnsi="Arial" w:cs="Arial"/>
                <w:sz w:val="18"/>
                <w:szCs w:val="18"/>
              </w:rPr>
              <w:t xml:space="preserve"> </w:t>
            </w:r>
            <w:r>
              <w:rPr>
                <w:rFonts w:ascii="Arial" w:hAnsi="Arial" w:cs="Arial"/>
                <w:sz w:val="18"/>
                <w:szCs w:val="18"/>
                <w:lang w:val="el-GR"/>
              </w:rPr>
              <w:t>ε.μ.</w:t>
            </w:r>
          </w:p>
        </w:tc>
        <w:tc>
          <w:tcPr>
            <w:tcW w:w="115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0866AB5" w14:textId="2C01D974" w:rsidR="008E7D1C" w:rsidRPr="006B5511" w:rsidRDefault="008E7D1C" w:rsidP="008E7D1C">
            <w:pPr>
              <w:pStyle w:val="BodyText3"/>
              <w:spacing w:after="20"/>
              <w:jc w:val="center"/>
              <w:rPr>
                <w:rFonts w:ascii="Arial" w:hAnsi="Arial" w:cs="Arial"/>
                <w:bCs/>
                <w:sz w:val="18"/>
                <w:szCs w:val="18"/>
                <w:highlight w:val="yellow"/>
              </w:rPr>
            </w:pPr>
            <w:r w:rsidRPr="004B1785">
              <w:rPr>
                <w:rFonts w:ascii="Arial" w:hAnsi="Arial" w:cs="Arial"/>
                <w:bCs/>
                <w:sz w:val="18"/>
                <w:szCs w:val="18"/>
              </w:rPr>
              <w:t xml:space="preserve">-2 </w:t>
            </w:r>
            <w:r>
              <w:rPr>
                <w:rFonts w:ascii="Arial" w:hAnsi="Arial" w:cs="Arial"/>
                <w:sz w:val="18"/>
                <w:szCs w:val="18"/>
                <w:lang w:val="el-GR"/>
              </w:rPr>
              <w:t>ε.μ.</w:t>
            </w:r>
          </w:p>
        </w:tc>
      </w:tr>
      <w:tr w:rsidR="008E7D1C" w:rsidRPr="006B5511" w14:paraId="1CA27ACF" w14:textId="77777777" w:rsidTr="00D022B5">
        <w:trPr>
          <w:trHeight w:val="352"/>
        </w:trPr>
        <w:tc>
          <w:tcPr>
            <w:tcW w:w="3888"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1505558D" w14:textId="77777777" w:rsidR="008E7D1C" w:rsidRPr="00CB38F0" w:rsidRDefault="008E7D1C" w:rsidP="008E7D1C">
            <w:pPr>
              <w:pStyle w:val="BodyText3"/>
              <w:tabs>
                <w:tab w:val="clear" w:pos="0"/>
                <w:tab w:val="clear" w:pos="1416"/>
                <w:tab w:val="left" w:pos="1184"/>
              </w:tabs>
              <w:spacing w:after="20"/>
              <w:jc w:val="left"/>
              <w:rPr>
                <w:rFonts w:ascii="Arial" w:hAnsi="Arial" w:cs="Arial"/>
                <w:b/>
                <w:bCs/>
                <w:sz w:val="18"/>
                <w:szCs w:val="18"/>
                <w:lang w:val="el-GR"/>
              </w:rPr>
            </w:pPr>
            <w:r w:rsidRPr="00CB38F0">
              <w:rPr>
                <w:rFonts w:ascii="Arial" w:hAnsi="Arial" w:cs="Arial"/>
                <w:sz w:val="18"/>
                <w:szCs w:val="18"/>
                <w:lang w:val="el-GR"/>
              </w:rPr>
              <w:t>Λειτουργικά κέρδη επί του μέσου όρου των περιουσιακών στοιχείων (ετησιοποιημένη βάση)</w:t>
            </w:r>
          </w:p>
        </w:tc>
        <w:tc>
          <w:tcPr>
            <w:tcW w:w="1146" w:type="dxa"/>
            <w:tcBorders>
              <w:top w:val="single" w:sz="4" w:space="0" w:color="808080" w:themeColor="background1" w:themeShade="80"/>
              <w:bottom w:val="single" w:sz="4" w:space="0" w:color="808080" w:themeColor="background1" w:themeShade="80"/>
            </w:tcBorders>
            <w:vAlign w:val="center"/>
          </w:tcPr>
          <w:p w14:paraId="4F9DD945" w14:textId="5DFFFFD2" w:rsidR="008E7D1C" w:rsidRPr="006A1797" w:rsidRDefault="008E7D1C" w:rsidP="008E7D1C">
            <w:pPr>
              <w:pStyle w:val="BodyText3"/>
              <w:spacing w:after="20"/>
              <w:jc w:val="center"/>
              <w:rPr>
                <w:rFonts w:ascii="Arial" w:hAnsi="Arial" w:cs="Arial"/>
                <w:color w:val="000000" w:themeColor="text1"/>
                <w:sz w:val="18"/>
                <w:szCs w:val="18"/>
                <w:highlight w:val="yellow"/>
                <w:lang w:val="el-GR"/>
              </w:rPr>
            </w:pPr>
            <w:r w:rsidRPr="006A1797">
              <w:rPr>
                <w:rFonts w:ascii="Arial" w:hAnsi="Arial" w:cs="Arial"/>
                <w:color w:val="000000" w:themeColor="text1"/>
                <w:sz w:val="18"/>
                <w:szCs w:val="18"/>
              </w:rPr>
              <w:t>2.8%</w:t>
            </w:r>
          </w:p>
        </w:tc>
        <w:tc>
          <w:tcPr>
            <w:tcW w:w="1146" w:type="dxa"/>
            <w:tcBorders>
              <w:top w:val="single" w:sz="4" w:space="0" w:color="808080" w:themeColor="background1" w:themeShade="80"/>
              <w:bottom w:val="single" w:sz="4" w:space="0" w:color="808080" w:themeColor="background1" w:themeShade="80"/>
            </w:tcBorders>
            <w:vAlign w:val="center"/>
          </w:tcPr>
          <w:p w14:paraId="08AFB567" w14:textId="1DB377FD" w:rsidR="008E7D1C" w:rsidRPr="006A1797" w:rsidRDefault="008E7D1C" w:rsidP="008E7D1C">
            <w:pPr>
              <w:pStyle w:val="BodyText3"/>
              <w:spacing w:after="20"/>
              <w:jc w:val="center"/>
              <w:rPr>
                <w:rFonts w:ascii="Arial" w:hAnsi="Arial" w:cs="Arial"/>
                <w:b/>
                <w:bCs/>
                <w:color w:val="000000" w:themeColor="text1"/>
                <w:sz w:val="18"/>
                <w:szCs w:val="18"/>
                <w:lang w:val="el-GR"/>
              </w:rPr>
            </w:pPr>
            <w:r w:rsidRPr="006A1797">
              <w:rPr>
                <w:rFonts w:ascii="Arial" w:hAnsi="Arial" w:cs="Arial"/>
                <w:color w:val="000000" w:themeColor="text1"/>
                <w:sz w:val="18"/>
                <w:szCs w:val="18"/>
              </w:rPr>
              <w:t>2.6%</w:t>
            </w:r>
          </w:p>
        </w:tc>
        <w:tc>
          <w:tcPr>
            <w:tcW w:w="1147" w:type="dxa"/>
            <w:tcBorders>
              <w:top w:val="single" w:sz="4" w:space="0" w:color="808080" w:themeColor="background1" w:themeShade="80"/>
              <w:bottom w:val="single" w:sz="4" w:space="0" w:color="808080" w:themeColor="background1" w:themeShade="80"/>
            </w:tcBorders>
            <w:vAlign w:val="center"/>
          </w:tcPr>
          <w:p w14:paraId="3762B5DB" w14:textId="1C36811E" w:rsidR="008E7D1C" w:rsidRPr="006A1797" w:rsidRDefault="008E7D1C" w:rsidP="008E7D1C">
            <w:pPr>
              <w:pStyle w:val="BodyText3"/>
              <w:spacing w:after="20"/>
              <w:jc w:val="center"/>
              <w:rPr>
                <w:rFonts w:ascii="Arial" w:hAnsi="Arial" w:cs="Arial"/>
                <w:color w:val="000000" w:themeColor="text1"/>
                <w:sz w:val="18"/>
                <w:szCs w:val="18"/>
                <w:highlight w:val="yellow"/>
              </w:rPr>
            </w:pPr>
            <w:r w:rsidRPr="006A1797">
              <w:rPr>
                <w:rFonts w:ascii="Arial" w:hAnsi="Arial" w:cs="Arial"/>
                <w:color w:val="000000" w:themeColor="text1"/>
                <w:sz w:val="18"/>
                <w:szCs w:val="18"/>
              </w:rPr>
              <w:t>2.9%</w:t>
            </w:r>
          </w:p>
        </w:tc>
        <w:tc>
          <w:tcPr>
            <w:tcW w:w="1147" w:type="dxa"/>
            <w:tcBorders>
              <w:top w:val="single" w:sz="4" w:space="0" w:color="808080" w:themeColor="background1" w:themeShade="80"/>
              <w:bottom w:val="single" w:sz="4" w:space="0" w:color="808080" w:themeColor="background1" w:themeShade="80"/>
            </w:tcBorders>
            <w:vAlign w:val="center"/>
          </w:tcPr>
          <w:p w14:paraId="42879418" w14:textId="2477BD63" w:rsidR="008E7D1C" w:rsidRPr="006A1797" w:rsidRDefault="008E7D1C" w:rsidP="008E7D1C">
            <w:pPr>
              <w:pStyle w:val="BodyText3"/>
              <w:spacing w:after="20"/>
              <w:jc w:val="center"/>
              <w:rPr>
                <w:rFonts w:ascii="Arial" w:hAnsi="Arial" w:cs="Arial"/>
                <w:color w:val="000000" w:themeColor="text1"/>
                <w:sz w:val="18"/>
                <w:szCs w:val="18"/>
              </w:rPr>
            </w:pPr>
            <w:r w:rsidRPr="006A1797">
              <w:rPr>
                <w:rFonts w:ascii="Arial" w:hAnsi="Arial" w:cs="Arial"/>
                <w:color w:val="000000" w:themeColor="text1"/>
                <w:sz w:val="18"/>
                <w:szCs w:val="18"/>
              </w:rPr>
              <w:t>2.9%</w:t>
            </w:r>
          </w:p>
        </w:tc>
        <w:tc>
          <w:tcPr>
            <w:tcW w:w="1147" w:type="dxa"/>
            <w:tcBorders>
              <w:top w:val="single" w:sz="4" w:space="0" w:color="808080" w:themeColor="background1" w:themeShade="80"/>
              <w:bottom w:val="single" w:sz="4" w:space="0" w:color="808080" w:themeColor="background1" w:themeShade="80"/>
            </w:tcBorders>
            <w:vAlign w:val="center"/>
          </w:tcPr>
          <w:p w14:paraId="6649361B" w14:textId="1AFA454A" w:rsidR="008E7D1C" w:rsidRPr="006A1797" w:rsidRDefault="008E7D1C" w:rsidP="008E7D1C">
            <w:pPr>
              <w:pStyle w:val="BodyText3"/>
              <w:spacing w:after="20"/>
              <w:jc w:val="center"/>
              <w:rPr>
                <w:rFonts w:ascii="Arial" w:hAnsi="Arial" w:cs="Arial"/>
                <w:color w:val="000000" w:themeColor="text1"/>
                <w:sz w:val="18"/>
                <w:szCs w:val="18"/>
                <w:highlight w:val="yellow"/>
                <w:lang w:val="el-GR"/>
              </w:rPr>
            </w:pPr>
            <w:r w:rsidRPr="006A1797">
              <w:rPr>
                <w:rFonts w:ascii="Arial" w:hAnsi="Arial" w:cs="Arial"/>
                <w:color w:val="000000" w:themeColor="text1"/>
                <w:sz w:val="18"/>
                <w:szCs w:val="18"/>
              </w:rPr>
              <w:t>-</w:t>
            </w:r>
          </w:p>
        </w:tc>
        <w:tc>
          <w:tcPr>
            <w:tcW w:w="115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1AD9E66" w14:textId="75B3E2BE" w:rsidR="008E7D1C" w:rsidRPr="006A1797" w:rsidRDefault="008E7D1C" w:rsidP="008E7D1C">
            <w:pPr>
              <w:pStyle w:val="BodyText3"/>
              <w:spacing w:after="20"/>
              <w:jc w:val="center"/>
              <w:rPr>
                <w:rFonts w:ascii="Arial" w:hAnsi="Arial" w:cs="Arial"/>
                <w:bCs/>
                <w:color w:val="000000" w:themeColor="text1"/>
                <w:sz w:val="18"/>
                <w:szCs w:val="18"/>
                <w:highlight w:val="yellow"/>
              </w:rPr>
            </w:pPr>
            <w:r w:rsidRPr="006A1797">
              <w:rPr>
                <w:rFonts w:ascii="Arial" w:hAnsi="Arial" w:cs="Arial"/>
                <w:color w:val="000000" w:themeColor="text1"/>
                <w:sz w:val="18"/>
                <w:szCs w:val="18"/>
              </w:rPr>
              <w:t xml:space="preserve">0.2 </w:t>
            </w:r>
            <w:r w:rsidRPr="006A1797">
              <w:rPr>
                <w:rFonts w:ascii="Arial" w:hAnsi="Arial" w:cs="Arial"/>
                <w:color w:val="000000" w:themeColor="text1"/>
                <w:sz w:val="18"/>
                <w:szCs w:val="18"/>
                <w:lang w:val="el-GR"/>
              </w:rPr>
              <w:t>ε.μ.</w:t>
            </w:r>
          </w:p>
        </w:tc>
      </w:tr>
      <w:tr w:rsidR="008E7D1C" w:rsidRPr="006B5511" w14:paraId="1481729D" w14:textId="77777777" w:rsidTr="00D022B5">
        <w:trPr>
          <w:trHeight w:val="352"/>
        </w:trPr>
        <w:tc>
          <w:tcPr>
            <w:tcW w:w="3888"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204E232E" w14:textId="36603F48" w:rsidR="008E7D1C" w:rsidRPr="00CB38F0" w:rsidRDefault="008E7D1C" w:rsidP="008E7D1C">
            <w:pPr>
              <w:pStyle w:val="BodyText3"/>
              <w:tabs>
                <w:tab w:val="clear" w:pos="0"/>
                <w:tab w:val="clear" w:pos="1416"/>
                <w:tab w:val="left" w:pos="1184"/>
              </w:tabs>
              <w:spacing w:after="20"/>
              <w:jc w:val="left"/>
              <w:rPr>
                <w:rFonts w:ascii="Arial" w:hAnsi="Arial" w:cs="Arial"/>
                <w:b/>
                <w:bCs/>
                <w:sz w:val="18"/>
                <w:szCs w:val="18"/>
                <w:lang w:val="el-GR"/>
              </w:rPr>
            </w:pPr>
            <w:r w:rsidRPr="00CB38F0">
              <w:rPr>
                <w:rFonts w:ascii="Arial" w:hAnsi="Arial" w:cs="Arial"/>
                <w:sz w:val="18"/>
                <w:szCs w:val="18"/>
                <w:lang w:val="el-GR"/>
              </w:rPr>
              <w:t>Βασικά κέρδη ανά μετοχή που αναλογούν στους ιδιοκτήτες της Εταιρίας (€)</w:t>
            </w:r>
            <w:r w:rsidRPr="00CB38F0">
              <w:rPr>
                <w:rFonts w:ascii="Arial" w:hAnsi="Arial" w:cs="Arial"/>
                <w:sz w:val="18"/>
                <w:szCs w:val="18"/>
                <w:vertAlign w:val="superscript"/>
                <w:lang w:val="el-GR"/>
              </w:rPr>
              <w:t>1</w:t>
            </w:r>
          </w:p>
        </w:tc>
        <w:tc>
          <w:tcPr>
            <w:tcW w:w="1146" w:type="dxa"/>
            <w:tcBorders>
              <w:top w:val="single" w:sz="4" w:space="0" w:color="808080" w:themeColor="background1" w:themeShade="80"/>
              <w:bottom w:val="single" w:sz="4" w:space="0" w:color="808080" w:themeColor="background1" w:themeShade="80"/>
            </w:tcBorders>
            <w:vAlign w:val="center"/>
          </w:tcPr>
          <w:p w14:paraId="5A27C130" w14:textId="110E8C7C" w:rsidR="008E7D1C" w:rsidRPr="00CB38F0" w:rsidRDefault="008E7D1C" w:rsidP="008E7D1C">
            <w:pPr>
              <w:pStyle w:val="BodyText3"/>
              <w:spacing w:after="20"/>
              <w:jc w:val="center"/>
              <w:rPr>
                <w:rFonts w:ascii="Arial" w:hAnsi="Arial" w:cs="Arial"/>
                <w:sz w:val="18"/>
                <w:szCs w:val="18"/>
                <w:highlight w:val="yellow"/>
                <w:lang w:val="el-GR"/>
              </w:rPr>
            </w:pPr>
            <w:r>
              <w:rPr>
                <w:rFonts w:ascii="Arial" w:hAnsi="Arial" w:cs="Arial"/>
                <w:sz w:val="18"/>
                <w:szCs w:val="18"/>
              </w:rPr>
              <w:t>0.61</w:t>
            </w:r>
          </w:p>
        </w:tc>
        <w:tc>
          <w:tcPr>
            <w:tcW w:w="1146" w:type="dxa"/>
            <w:tcBorders>
              <w:top w:val="single" w:sz="4" w:space="0" w:color="808080" w:themeColor="background1" w:themeShade="80"/>
              <w:bottom w:val="single" w:sz="4" w:space="0" w:color="808080" w:themeColor="background1" w:themeShade="80"/>
            </w:tcBorders>
            <w:vAlign w:val="center"/>
          </w:tcPr>
          <w:p w14:paraId="70A8563A" w14:textId="327F9D20" w:rsidR="008E7D1C" w:rsidRPr="00CB38F0" w:rsidRDefault="008E7D1C" w:rsidP="008E7D1C">
            <w:pPr>
              <w:pStyle w:val="BodyText3"/>
              <w:spacing w:after="20"/>
              <w:jc w:val="center"/>
              <w:rPr>
                <w:rFonts w:ascii="Arial" w:hAnsi="Arial" w:cs="Arial"/>
                <w:b/>
                <w:bCs/>
                <w:sz w:val="18"/>
                <w:szCs w:val="18"/>
                <w:lang w:val="el-GR"/>
              </w:rPr>
            </w:pPr>
            <w:r>
              <w:rPr>
                <w:rFonts w:ascii="Arial" w:hAnsi="Arial" w:cs="Arial"/>
                <w:sz w:val="18"/>
                <w:szCs w:val="18"/>
              </w:rPr>
              <w:t>0.49</w:t>
            </w:r>
          </w:p>
        </w:tc>
        <w:tc>
          <w:tcPr>
            <w:tcW w:w="1147" w:type="dxa"/>
            <w:tcBorders>
              <w:top w:val="single" w:sz="4" w:space="0" w:color="808080" w:themeColor="background1" w:themeShade="80"/>
              <w:bottom w:val="single" w:sz="4" w:space="0" w:color="808080" w:themeColor="background1" w:themeShade="80"/>
            </w:tcBorders>
            <w:vAlign w:val="center"/>
          </w:tcPr>
          <w:p w14:paraId="0F1C0B49" w14:textId="0D77700C" w:rsidR="008E7D1C" w:rsidRPr="006B5511" w:rsidRDefault="008E7D1C" w:rsidP="008E7D1C">
            <w:pPr>
              <w:pStyle w:val="BodyText3"/>
              <w:spacing w:after="20"/>
              <w:jc w:val="center"/>
              <w:rPr>
                <w:rFonts w:ascii="Arial" w:hAnsi="Arial" w:cs="Arial"/>
                <w:sz w:val="18"/>
                <w:szCs w:val="18"/>
                <w:highlight w:val="yellow"/>
              </w:rPr>
            </w:pPr>
            <w:r>
              <w:rPr>
                <w:rFonts w:ascii="Arial" w:hAnsi="Arial" w:cs="Arial"/>
                <w:sz w:val="18"/>
                <w:szCs w:val="18"/>
              </w:rPr>
              <w:t>0.31</w:t>
            </w:r>
          </w:p>
        </w:tc>
        <w:tc>
          <w:tcPr>
            <w:tcW w:w="1147" w:type="dxa"/>
            <w:tcBorders>
              <w:top w:val="single" w:sz="4" w:space="0" w:color="808080" w:themeColor="background1" w:themeShade="80"/>
              <w:bottom w:val="single" w:sz="4" w:space="0" w:color="808080" w:themeColor="background1" w:themeShade="80"/>
            </w:tcBorders>
            <w:vAlign w:val="center"/>
          </w:tcPr>
          <w:p w14:paraId="5B8115A5" w14:textId="661B3DEA" w:rsidR="008E7D1C" w:rsidRPr="00CB38F0" w:rsidRDefault="008E7D1C" w:rsidP="008E7D1C">
            <w:pPr>
              <w:pStyle w:val="BodyText3"/>
              <w:spacing w:after="20"/>
              <w:jc w:val="center"/>
              <w:rPr>
                <w:rFonts w:ascii="Arial" w:hAnsi="Arial" w:cs="Arial"/>
                <w:sz w:val="18"/>
                <w:szCs w:val="18"/>
              </w:rPr>
            </w:pPr>
            <w:r>
              <w:rPr>
                <w:rFonts w:ascii="Arial" w:hAnsi="Arial" w:cs="Arial"/>
                <w:sz w:val="18"/>
                <w:szCs w:val="18"/>
              </w:rPr>
              <w:t>0.30</w:t>
            </w:r>
          </w:p>
        </w:tc>
        <w:tc>
          <w:tcPr>
            <w:tcW w:w="1147" w:type="dxa"/>
            <w:tcBorders>
              <w:top w:val="single" w:sz="4" w:space="0" w:color="808080" w:themeColor="background1" w:themeShade="80"/>
              <w:bottom w:val="single" w:sz="4" w:space="0" w:color="808080" w:themeColor="background1" w:themeShade="80"/>
            </w:tcBorders>
            <w:vAlign w:val="center"/>
          </w:tcPr>
          <w:p w14:paraId="02285275" w14:textId="63FF2F04" w:rsidR="008E7D1C" w:rsidRPr="006B5511" w:rsidRDefault="008E7D1C" w:rsidP="008E7D1C">
            <w:pPr>
              <w:pStyle w:val="BodyText3"/>
              <w:spacing w:after="20"/>
              <w:jc w:val="center"/>
              <w:rPr>
                <w:rFonts w:ascii="Arial" w:hAnsi="Arial" w:cs="Arial"/>
                <w:sz w:val="18"/>
                <w:szCs w:val="18"/>
                <w:highlight w:val="yellow"/>
              </w:rPr>
            </w:pPr>
            <w:r>
              <w:rPr>
                <w:rFonts w:ascii="Arial" w:hAnsi="Arial" w:cs="Arial"/>
                <w:sz w:val="18"/>
                <w:szCs w:val="18"/>
              </w:rPr>
              <w:t>0.01</w:t>
            </w:r>
          </w:p>
        </w:tc>
        <w:tc>
          <w:tcPr>
            <w:tcW w:w="115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FEFFB1D" w14:textId="6D9C3D8C" w:rsidR="008E7D1C" w:rsidRPr="006B5511" w:rsidRDefault="008E7D1C" w:rsidP="008E7D1C">
            <w:pPr>
              <w:pStyle w:val="BodyText3"/>
              <w:spacing w:after="20"/>
              <w:jc w:val="center"/>
              <w:rPr>
                <w:rFonts w:ascii="Arial" w:hAnsi="Arial" w:cs="Arial"/>
                <w:bCs/>
                <w:sz w:val="18"/>
                <w:szCs w:val="18"/>
                <w:highlight w:val="yellow"/>
              </w:rPr>
            </w:pPr>
            <w:r w:rsidRPr="004B1785">
              <w:rPr>
                <w:rFonts w:ascii="Arial" w:hAnsi="Arial" w:cs="Arial"/>
                <w:sz w:val="18"/>
                <w:szCs w:val="18"/>
              </w:rPr>
              <w:t>0.</w:t>
            </w:r>
            <w:r>
              <w:rPr>
                <w:rFonts w:ascii="Arial" w:hAnsi="Arial" w:cs="Arial"/>
                <w:sz w:val="18"/>
                <w:szCs w:val="18"/>
              </w:rPr>
              <w:t>12</w:t>
            </w:r>
          </w:p>
        </w:tc>
      </w:tr>
      <w:tr w:rsidR="008E7D1C" w:rsidRPr="006B5511" w14:paraId="3EDA8893" w14:textId="77777777" w:rsidTr="00D022B5">
        <w:trPr>
          <w:trHeight w:val="352"/>
        </w:trPr>
        <w:tc>
          <w:tcPr>
            <w:tcW w:w="3888"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4516AACE" w14:textId="1DF20B30" w:rsidR="008E7D1C" w:rsidRPr="00CB38F0" w:rsidRDefault="008E7D1C" w:rsidP="008E7D1C">
            <w:pPr>
              <w:pStyle w:val="BodyText3"/>
              <w:tabs>
                <w:tab w:val="clear" w:pos="0"/>
                <w:tab w:val="clear" w:pos="1416"/>
                <w:tab w:val="left" w:pos="1184"/>
              </w:tabs>
              <w:spacing w:after="20"/>
              <w:jc w:val="left"/>
              <w:rPr>
                <w:rFonts w:ascii="Arial" w:hAnsi="Arial" w:cs="Arial"/>
                <w:color w:val="000000" w:themeColor="text1"/>
                <w:sz w:val="18"/>
                <w:szCs w:val="18"/>
                <w:lang w:val="el-GR"/>
              </w:rPr>
            </w:pPr>
            <w:r w:rsidRPr="00CB38F0">
              <w:rPr>
                <w:rFonts w:ascii="Arial" w:hAnsi="Arial" w:cs="Arial"/>
                <w:color w:val="000000" w:themeColor="text1"/>
                <w:sz w:val="18"/>
                <w:szCs w:val="18"/>
                <w:lang w:val="el-GR"/>
              </w:rPr>
              <w:t>Απόδοση</w:t>
            </w:r>
            <w:r w:rsidR="00212BA8" w:rsidRPr="006A1797">
              <w:rPr>
                <w:rFonts w:ascii="Arial" w:hAnsi="Arial" w:cs="Arial"/>
                <w:color w:val="000000" w:themeColor="text1"/>
                <w:sz w:val="18"/>
                <w:szCs w:val="18"/>
                <w:lang w:val="el-GR"/>
              </w:rPr>
              <w:t xml:space="preserve"> </w:t>
            </w:r>
            <w:r w:rsidR="00212BA8" w:rsidRPr="00CB38F0">
              <w:rPr>
                <w:rFonts w:ascii="Arial" w:hAnsi="Arial" w:cs="Arial"/>
                <w:sz w:val="18"/>
                <w:szCs w:val="18"/>
                <w:lang w:val="el-GR"/>
              </w:rPr>
              <w:t>(ετησιοποιημένη βάση)</w:t>
            </w:r>
            <w:r w:rsidR="00212BA8">
              <w:rPr>
                <w:rFonts w:ascii="Arial" w:hAnsi="Arial" w:cs="Arial"/>
                <w:color w:val="000000" w:themeColor="text1"/>
                <w:sz w:val="18"/>
                <w:szCs w:val="18"/>
                <w:lang w:val="el-GR"/>
              </w:rPr>
              <w:t xml:space="preserve"> </w:t>
            </w:r>
            <w:r w:rsidRPr="00CB38F0">
              <w:rPr>
                <w:rFonts w:ascii="Arial" w:hAnsi="Arial" w:cs="Arial"/>
                <w:color w:val="000000" w:themeColor="text1"/>
                <w:sz w:val="18"/>
                <w:szCs w:val="18"/>
                <w:lang w:val="el-GR"/>
              </w:rPr>
              <w:t>Ενσώματων Ιδίων Κεφαλαίων (</w:t>
            </w:r>
            <w:r w:rsidRPr="00CB38F0">
              <w:rPr>
                <w:rFonts w:ascii="Arial" w:hAnsi="Arial" w:cs="Arial"/>
                <w:color w:val="000000" w:themeColor="text1"/>
                <w:sz w:val="18"/>
                <w:szCs w:val="18"/>
              </w:rPr>
              <w:t>ROTE</w:t>
            </w:r>
            <w:r w:rsidRPr="00CB38F0">
              <w:rPr>
                <w:rFonts w:ascii="Arial" w:hAnsi="Arial" w:cs="Arial"/>
                <w:color w:val="000000" w:themeColor="text1"/>
                <w:sz w:val="18"/>
                <w:szCs w:val="18"/>
                <w:lang w:val="el-GR"/>
              </w:rPr>
              <w:t xml:space="preserve">) </w:t>
            </w:r>
          </w:p>
        </w:tc>
        <w:tc>
          <w:tcPr>
            <w:tcW w:w="1146" w:type="dxa"/>
            <w:tcBorders>
              <w:top w:val="single" w:sz="4" w:space="0" w:color="808080" w:themeColor="background1" w:themeShade="80"/>
              <w:bottom w:val="single" w:sz="4" w:space="0" w:color="808080" w:themeColor="background1" w:themeShade="80"/>
            </w:tcBorders>
            <w:vAlign w:val="center"/>
          </w:tcPr>
          <w:p w14:paraId="104CD415" w14:textId="69A3F67E" w:rsidR="008E7D1C" w:rsidRPr="00CB38F0" w:rsidRDefault="008E7D1C" w:rsidP="008E7D1C">
            <w:pPr>
              <w:pStyle w:val="BodyText3"/>
              <w:spacing w:after="20"/>
              <w:jc w:val="center"/>
              <w:rPr>
                <w:rFonts w:ascii="Arial" w:hAnsi="Arial" w:cs="Arial"/>
                <w:sz w:val="18"/>
                <w:szCs w:val="18"/>
                <w:highlight w:val="yellow"/>
                <w:lang w:val="el-GR"/>
              </w:rPr>
            </w:pPr>
            <w:r w:rsidRPr="008B24F1">
              <w:rPr>
                <w:rFonts w:ascii="Arial" w:hAnsi="Arial" w:cs="Arial"/>
                <w:sz w:val="18"/>
                <w:szCs w:val="18"/>
              </w:rPr>
              <w:t>23.</w:t>
            </w:r>
            <w:r>
              <w:rPr>
                <w:rFonts w:ascii="Arial" w:hAnsi="Arial" w:cs="Arial"/>
                <w:sz w:val="18"/>
                <w:szCs w:val="18"/>
              </w:rPr>
              <w:t>7</w:t>
            </w:r>
            <w:r w:rsidRPr="008B24F1">
              <w:rPr>
                <w:rFonts w:ascii="Arial" w:hAnsi="Arial" w:cs="Arial"/>
                <w:sz w:val="18"/>
                <w:szCs w:val="18"/>
              </w:rPr>
              <w:t>%</w:t>
            </w:r>
          </w:p>
        </w:tc>
        <w:tc>
          <w:tcPr>
            <w:tcW w:w="1146" w:type="dxa"/>
            <w:tcBorders>
              <w:top w:val="single" w:sz="4" w:space="0" w:color="808080" w:themeColor="background1" w:themeShade="80"/>
              <w:bottom w:val="single" w:sz="4" w:space="0" w:color="808080" w:themeColor="background1" w:themeShade="80"/>
            </w:tcBorders>
            <w:vAlign w:val="center"/>
          </w:tcPr>
          <w:p w14:paraId="11A37C67" w14:textId="3892D67C" w:rsidR="008E7D1C" w:rsidRPr="00CB38F0" w:rsidRDefault="008E7D1C" w:rsidP="008E7D1C">
            <w:pPr>
              <w:pStyle w:val="BodyText3"/>
              <w:spacing w:after="20"/>
              <w:jc w:val="center"/>
              <w:rPr>
                <w:rFonts w:ascii="Arial" w:hAnsi="Arial" w:cs="Arial"/>
                <w:sz w:val="18"/>
                <w:szCs w:val="18"/>
                <w:lang w:val="el-GR"/>
              </w:rPr>
            </w:pPr>
            <w:r w:rsidRPr="008B24F1">
              <w:rPr>
                <w:rFonts w:ascii="Arial" w:hAnsi="Arial" w:cs="Arial"/>
                <w:sz w:val="18"/>
                <w:szCs w:val="18"/>
              </w:rPr>
              <w:t>24.0%</w:t>
            </w:r>
          </w:p>
        </w:tc>
        <w:tc>
          <w:tcPr>
            <w:tcW w:w="1147" w:type="dxa"/>
            <w:tcBorders>
              <w:top w:val="single" w:sz="4" w:space="0" w:color="808080" w:themeColor="background1" w:themeShade="80"/>
              <w:bottom w:val="single" w:sz="4" w:space="0" w:color="808080" w:themeColor="background1" w:themeShade="80"/>
            </w:tcBorders>
            <w:vAlign w:val="center"/>
          </w:tcPr>
          <w:p w14:paraId="31281B31" w14:textId="42B17046" w:rsidR="008E7D1C" w:rsidRPr="006B5511" w:rsidRDefault="008E7D1C" w:rsidP="008E7D1C">
            <w:pPr>
              <w:pStyle w:val="BodyText3"/>
              <w:spacing w:after="20"/>
              <w:jc w:val="center"/>
              <w:rPr>
                <w:rFonts w:ascii="Arial" w:hAnsi="Arial" w:cs="Arial"/>
                <w:sz w:val="18"/>
                <w:szCs w:val="18"/>
                <w:highlight w:val="yellow"/>
              </w:rPr>
            </w:pPr>
            <w:r w:rsidRPr="008B24F1">
              <w:rPr>
                <w:rFonts w:ascii="Arial" w:hAnsi="Arial" w:cs="Arial"/>
                <w:sz w:val="18"/>
                <w:szCs w:val="18"/>
              </w:rPr>
              <w:t>2</w:t>
            </w:r>
            <w:r>
              <w:rPr>
                <w:rFonts w:ascii="Arial" w:hAnsi="Arial" w:cs="Arial"/>
                <w:sz w:val="18"/>
                <w:szCs w:val="18"/>
              </w:rPr>
              <w:t>3</w:t>
            </w:r>
            <w:r w:rsidRPr="008B24F1">
              <w:rPr>
                <w:rFonts w:ascii="Arial" w:hAnsi="Arial" w:cs="Arial"/>
                <w:sz w:val="18"/>
                <w:szCs w:val="18"/>
              </w:rPr>
              <w:t>.</w:t>
            </w:r>
            <w:r>
              <w:rPr>
                <w:rFonts w:ascii="Arial" w:hAnsi="Arial" w:cs="Arial"/>
                <w:sz w:val="18"/>
                <w:szCs w:val="18"/>
              </w:rPr>
              <w:t>7</w:t>
            </w:r>
            <w:r w:rsidRPr="008B24F1">
              <w:rPr>
                <w:rFonts w:ascii="Arial" w:hAnsi="Arial" w:cs="Arial"/>
                <w:sz w:val="18"/>
                <w:szCs w:val="18"/>
              </w:rPr>
              <w:t>%</w:t>
            </w:r>
          </w:p>
        </w:tc>
        <w:tc>
          <w:tcPr>
            <w:tcW w:w="1147" w:type="dxa"/>
            <w:tcBorders>
              <w:top w:val="single" w:sz="4" w:space="0" w:color="808080" w:themeColor="background1" w:themeShade="80"/>
              <w:bottom w:val="single" w:sz="4" w:space="0" w:color="808080" w:themeColor="background1" w:themeShade="80"/>
            </w:tcBorders>
            <w:vAlign w:val="center"/>
          </w:tcPr>
          <w:p w14:paraId="0F919604" w14:textId="56153865" w:rsidR="008E7D1C" w:rsidRPr="00CB38F0" w:rsidRDefault="008E7D1C" w:rsidP="008E7D1C">
            <w:pPr>
              <w:pStyle w:val="BodyText3"/>
              <w:spacing w:after="20"/>
              <w:jc w:val="center"/>
              <w:rPr>
                <w:rFonts w:ascii="Arial" w:hAnsi="Arial" w:cs="Arial"/>
                <w:sz w:val="18"/>
                <w:szCs w:val="18"/>
              </w:rPr>
            </w:pPr>
            <w:r w:rsidRPr="008B24F1">
              <w:rPr>
                <w:rFonts w:ascii="Arial" w:hAnsi="Arial" w:cs="Arial"/>
                <w:sz w:val="18"/>
                <w:szCs w:val="18"/>
              </w:rPr>
              <w:t>23.6%</w:t>
            </w:r>
          </w:p>
        </w:tc>
        <w:tc>
          <w:tcPr>
            <w:tcW w:w="1147" w:type="dxa"/>
            <w:tcBorders>
              <w:top w:val="single" w:sz="4" w:space="0" w:color="808080" w:themeColor="background1" w:themeShade="80"/>
              <w:bottom w:val="single" w:sz="4" w:space="0" w:color="808080" w:themeColor="background1" w:themeShade="80"/>
            </w:tcBorders>
            <w:vAlign w:val="center"/>
          </w:tcPr>
          <w:p w14:paraId="5F34D6B1" w14:textId="123A1842" w:rsidR="008E7D1C" w:rsidRPr="006B5511" w:rsidRDefault="008E7D1C" w:rsidP="008E7D1C">
            <w:pPr>
              <w:pStyle w:val="BodyText3"/>
              <w:spacing w:after="20"/>
              <w:jc w:val="center"/>
              <w:rPr>
                <w:rFonts w:ascii="Arial" w:hAnsi="Arial" w:cs="Arial"/>
                <w:bCs/>
                <w:sz w:val="18"/>
                <w:szCs w:val="18"/>
                <w:highlight w:val="yellow"/>
              </w:rPr>
            </w:pPr>
            <w:r>
              <w:rPr>
                <w:rFonts w:ascii="Arial" w:hAnsi="Arial" w:cs="Arial"/>
                <w:sz w:val="18"/>
                <w:szCs w:val="18"/>
              </w:rPr>
              <w:t>0.1</w:t>
            </w:r>
            <w:r w:rsidRPr="008B24F1">
              <w:rPr>
                <w:rFonts w:ascii="Arial" w:hAnsi="Arial" w:cs="Arial"/>
                <w:sz w:val="18"/>
                <w:szCs w:val="18"/>
              </w:rPr>
              <w:t xml:space="preserve"> </w:t>
            </w:r>
            <w:r>
              <w:rPr>
                <w:rFonts w:ascii="Arial" w:hAnsi="Arial" w:cs="Arial"/>
                <w:sz w:val="18"/>
                <w:szCs w:val="18"/>
                <w:lang w:val="el-GR"/>
              </w:rPr>
              <w:t>ε.μ.</w:t>
            </w:r>
          </w:p>
        </w:tc>
        <w:tc>
          <w:tcPr>
            <w:tcW w:w="115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91D29D5" w14:textId="4A77959D" w:rsidR="008E7D1C" w:rsidRPr="006B5511" w:rsidRDefault="008E7D1C" w:rsidP="008E7D1C">
            <w:pPr>
              <w:pStyle w:val="BodyText3"/>
              <w:spacing w:after="20"/>
              <w:jc w:val="center"/>
              <w:rPr>
                <w:rFonts w:ascii="Arial" w:hAnsi="Arial" w:cs="Arial"/>
                <w:color w:val="FF0000"/>
                <w:sz w:val="18"/>
                <w:szCs w:val="18"/>
                <w:highlight w:val="yellow"/>
                <w:lang w:val="el-GR"/>
              </w:rPr>
            </w:pPr>
            <w:r w:rsidRPr="008B24F1">
              <w:rPr>
                <w:rFonts w:ascii="Arial" w:hAnsi="Arial" w:cs="Arial"/>
                <w:bCs/>
                <w:sz w:val="18"/>
                <w:szCs w:val="18"/>
              </w:rPr>
              <w:t>-0.</w:t>
            </w:r>
            <w:r>
              <w:rPr>
                <w:rFonts w:ascii="Arial" w:hAnsi="Arial" w:cs="Arial"/>
                <w:bCs/>
                <w:sz w:val="18"/>
                <w:szCs w:val="18"/>
              </w:rPr>
              <w:t>3</w:t>
            </w:r>
            <w:r w:rsidRPr="008B24F1">
              <w:rPr>
                <w:rFonts w:ascii="Arial" w:hAnsi="Arial" w:cs="Arial"/>
                <w:bCs/>
                <w:sz w:val="18"/>
                <w:szCs w:val="18"/>
              </w:rPr>
              <w:t xml:space="preserve"> </w:t>
            </w:r>
            <w:r>
              <w:rPr>
                <w:rFonts w:ascii="Arial" w:hAnsi="Arial" w:cs="Arial"/>
                <w:sz w:val="18"/>
                <w:szCs w:val="18"/>
                <w:lang w:val="el-GR"/>
              </w:rPr>
              <w:t>ε.μ.</w:t>
            </w:r>
          </w:p>
        </w:tc>
      </w:tr>
      <w:tr w:rsidR="008E7D1C" w:rsidRPr="006B5511" w14:paraId="12B7FF6B" w14:textId="77777777" w:rsidTr="00D022B5">
        <w:trPr>
          <w:trHeight w:val="352"/>
        </w:trPr>
        <w:tc>
          <w:tcPr>
            <w:tcW w:w="3888"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60B65215" w14:textId="7E1940D9" w:rsidR="008E7D1C" w:rsidRPr="00CB38F0" w:rsidRDefault="008E7D1C" w:rsidP="008E7D1C">
            <w:pPr>
              <w:pStyle w:val="BodyText3"/>
              <w:tabs>
                <w:tab w:val="clear" w:pos="0"/>
                <w:tab w:val="clear" w:pos="1416"/>
                <w:tab w:val="left" w:pos="1184"/>
              </w:tabs>
              <w:spacing w:after="20"/>
              <w:jc w:val="left"/>
              <w:rPr>
                <w:rFonts w:ascii="Arial" w:hAnsi="Arial" w:cs="Arial"/>
                <w:color w:val="000000" w:themeColor="text1"/>
                <w:sz w:val="18"/>
                <w:szCs w:val="18"/>
                <w:lang w:val="el-GR"/>
              </w:rPr>
            </w:pPr>
            <w:r w:rsidRPr="00CB38F0">
              <w:rPr>
                <w:rFonts w:ascii="Arial" w:hAnsi="Arial" w:cs="Arial"/>
                <w:color w:val="000000" w:themeColor="text1"/>
                <w:sz w:val="18"/>
                <w:szCs w:val="18"/>
                <w:lang w:val="el-GR"/>
              </w:rPr>
              <w:t>Απόδοση</w:t>
            </w:r>
            <w:r w:rsidR="00212BA8">
              <w:rPr>
                <w:rFonts w:ascii="Arial" w:hAnsi="Arial" w:cs="Arial"/>
                <w:color w:val="000000" w:themeColor="text1"/>
                <w:sz w:val="18"/>
                <w:szCs w:val="18"/>
                <w:lang w:val="el-GR"/>
              </w:rPr>
              <w:t xml:space="preserve"> </w:t>
            </w:r>
            <w:r w:rsidR="00212BA8" w:rsidRPr="00CB38F0">
              <w:rPr>
                <w:rFonts w:ascii="Arial" w:hAnsi="Arial" w:cs="Arial"/>
                <w:sz w:val="18"/>
                <w:szCs w:val="18"/>
                <w:lang w:val="el-GR"/>
              </w:rPr>
              <w:t>(ετησιοποιημένη βάση)</w:t>
            </w:r>
            <w:r w:rsidRPr="00CB38F0">
              <w:rPr>
                <w:rFonts w:ascii="Arial" w:hAnsi="Arial" w:cs="Arial"/>
                <w:color w:val="000000" w:themeColor="text1"/>
                <w:sz w:val="18"/>
                <w:szCs w:val="18"/>
                <w:lang w:val="el-GR"/>
              </w:rPr>
              <w:t xml:space="preserve"> Ενσώματων Ιδίων Κεφαλαίων (</w:t>
            </w:r>
            <w:r w:rsidRPr="00CB38F0">
              <w:rPr>
                <w:rFonts w:ascii="Arial" w:hAnsi="Arial" w:cs="Arial"/>
                <w:color w:val="000000" w:themeColor="text1"/>
                <w:sz w:val="18"/>
                <w:szCs w:val="18"/>
              </w:rPr>
              <w:t>ROTE</w:t>
            </w:r>
            <w:r w:rsidRPr="00CB38F0">
              <w:rPr>
                <w:rFonts w:ascii="Arial" w:hAnsi="Arial" w:cs="Arial"/>
                <w:color w:val="000000" w:themeColor="text1"/>
                <w:sz w:val="18"/>
                <w:szCs w:val="18"/>
                <w:lang w:val="el-GR"/>
              </w:rPr>
              <w:t>), υπολογισμένη σε Δείκτη Κεφαλαίου Κοινών Μετόχων Κατηγορίας 1 (</w:t>
            </w:r>
            <w:r w:rsidRPr="00CB38F0">
              <w:rPr>
                <w:rFonts w:ascii="Arial" w:hAnsi="Arial" w:cs="Arial"/>
                <w:color w:val="000000" w:themeColor="text1"/>
                <w:sz w:val="18"/>
                <w:szCs w:val="18"/>
                <w:lang w:val="en-US"/>
              </w:rPr>
              <w:t>CET</w:t>
            </w:r>
            <w:r w:rsidRPr="00CB38F0">
              <w:rPr>
                <w:rFonts w:ascii="Arial" w:hAnsi="Arial" w:cs="Arial"/>
                <w:color w:val="000000" w:themeColor="text1"/>
                <w:sz w:val="18"/>
                <w:szCs w:val="18"/>
                <w:lang w:val="el-GR"/>
              </w:rPr>
              <w:t>1) ύψους 15%</w:t>
            </w:r>
            <w:r w:rsidRPr="00CB38F0">
              <w:rPr>
                <w:rFonts w:ascii="Arial" w:hAnsi="Arial" w:cs="Arial"/>
                <w:color w:val="000000" w:themeColor="text1"/>
                <w:sz w:val="18"/>
                <w:szCs w:val="18"/>
                <w:vertAlign w:val="superscript"/>
                <w:lang w:val="el-GR"/>
              </w:rPr>
              <w:t>2</w:t>
            </w:r>
          </w:p>
        </w:tc>
        <w:tc>
          <w:tcPr>
            <w:tcW w:w="1146" w:type="dxa"/>
            <w:tcBorders>
              <w:top w:val="single" w:sz="4" w:space="0" w:color="808080" w:themeColor="background1" w:themeShade="80"/>
              <w:bottom w:val="single" w:sz="4" w:space="0" w:color="808080" w:themeColor="background1" w:themeShade="80"/>
            </w:tcBorders>
            <w:vAlign w:val="center"/>
          </w:tcPr>
          <w:p w14:paraId="7E65BDDE" w14:textId="4BE8C4C2" w:rsidR="008E7D1C" w:rsidRPr="00CB38F0" w:rsidRDefault="008E7D1C" w:rsidP="008E7D1C">
            <w:pPr>
              <w:pStyle w:val="BodyText3"/>
              <w:spacing w:after="20"/>
              <w:jc w:val="center"/>
              <w:rPr>
                <w:rFonts w:ascii="Arial" w:hAnsi="Arial" w:cs="Arial"/>
                <w:sz w:val="18"/>
                <w:szCs w:val="18"/>
                <w:highlight w:val="yellow"/>
                <w:lang w:val="el-GR"/>
              </w:rPr>
            </w:pPr>
            <w:r>
              <w:rPr>
                <w:rFonts w:ascii="Arial" w:hAnsi="Arial" w:cs="Arial"/>
                <w:sz w:val="18"/>
                <w:szCs w:val="18"/>
              </w:rPr>
              <w:t>29.6</w:t>
            </w:r>
            <w:r w:rsidRPr="00200F5F">
              <w:rPr>
                <w:rFonts w:ascii="Arial" w:hAnsi="Arial" w:cs="Arial"/>
                <w:sz w:val="18"/>
                <w:szCs w:val="18"/>
              </w:rPr>
              <w:t>%</w:t>
            </w:r>
          </w:p>
        </w:tc>
        <w:tc>
          <w:tcPr>
            <w:tcW w:w="1146" w:type="dxa"/>
            <w:tcBorders>
              <w:top w:val="single" w:sz="4" w:space="0" w:color="808080" w:themeColor="background1" w:themeShade="80"/>
              <w:bottom w:val="single" w:sz="4" w:space="0" w:color="808080" w:themeColor="background1" w:themeShade="80"/>
            </w:tcBorders>
            <w:vAlign w:val="center"/>
          </w:tcPr>
          <w:p w14:paraId="4D77D1EF" w14:textId="7174D6A3" w:rsidR="008E7D1C" w:rsidRPr="00CB38F0" w:rsidRDefault="008E7D1C" w:rsidP="008E7D1C">
            <w:pPr>
              <w:pStyle w:val="BodyText3"/>
              <w:spacing w:after="20"/>
              <w:jc w:val="center"/>
              <w:rPr>
                <w:rFonts w:ascii="Arial" w:hAnsi="Arial" w:cs="Arial"/>
                <w:sz w:val="18"/>
                <w:szCs w:val="18"/>
                <w:lang w:val="el-GR"/>
              </w:rPr>
            </w:pPr>
            <w:r w:rsidRPr="00200F5F">
              <w:rPr>
                <w:rFonts w:ascii="Arial" w:hAnsi="Arial" w:cs="Arial"/>
                <w:sz w:val="18"/>
                <w:szCs w:val="18"/>
              </w:rPr>
              <w:t>2</w:t>
            </w:r>
            <w:r>
              <w:rPr>
                <w:rFonts w:ascii="Arial" w:hAnsi="Arial" w:cs="Arial"/>
                <w:sz w:val="18"/>
                <w:szCs w:val="18"/>
              </w:rPr>
              <w:t>5.3</w:t>
            </w:r>
            <w:r w:rsidRPr="00200F5F">
              <w:rPr>
                <w:rFonts w:ascii="Arial" w:hAnsi="Arial" w:cs="Arial"/>
                <w:sz w:val="18"/>
                <w:szCs w:val="18"/>
              </w:rPr>
              <w:t>%</w:t>
            </w:r>
          </w:p>
        </w:tc>
        <w:tc>
          <w:tcPr>
            <w:tcW w:w="1147" w:type="dxa"/>
            <w:tcBorders>
              <w:top w:val="single" w:sz="4" w:space="0" w:color="808080" w:themeColor="background1" w:themeShade="80"/>
              <w:bottom w:val="single" w:sz="4" w:space="0" w:color="808080" w:themeColor="background1" w:themeShade="80"/>
            </w:tcBorders>
            <w:vAlign w:val="center"/>
          </w:tcPr>
          <w:p w14:paraId="6E3C11BC" w14:textId="063F2368" w:rsidR="008E7D1C" w:rsidRPr="006B5511" w:rsidRDefault="008E7D1C" w:rsidP="008E7D1C">
            <w:pPr>
              <w:pStyle w:val="BodyText3"/>
              <w:spacing w:after="20"/>
              <w:jc w:val="center"/>
              <w:rPr>
                <w:rFonts w:ascii="Arial" w:hAnsi="Arial" w:cs="Arial"/>
                <w:sz w:val="18"/>
                <w:szCs w:val="18"/>
                <w:highlight w:val="yellow"/>
              </w:rPr>
            </w:pPr>
            <w:r>
              <w:rPr>
                <w:rFonts w:ascii="Arial" w:hAnsi="Arial" w:cs="Arial"/>
                <w:sz w:val="18"/>
                <w:szCs w:val="18"/>
              </w:rPr>
              <w:t>29.9</w:t>
            </w:r>
            <w:r w:rsidRPr="00200F5F">
              <w:rPr>
                <w:rFonts w:ascii="Arial" w:hAnsi="Arial" w:cs="Arial"/>
                <w:sz w:val="18"/>
                <w:szCs w:val="18"/>
              </w:rPr>
              <w:t>%</w:t>
            </w:r>
          </w:p>
        </w:tc>
        <w:tc>
          <w:tcPr>
            <w:tcW w:w="1147" w:type="dxa"/>
            <w:tcBorders>
              <w:top w:val="single" w:sz="4" w:space="0" w:color="808080" w:themeColor="background1" w:themeShade="80"/>
              <w:bottom w:val="single" w:sz="4" w:space="0" w:color="808080" w:themeColor="background1" w:themeShade="80"/>
            </w:tcBorders>
            <w:vAlign w:val="center"/>
          </w:tcPr>
          <w:p w14:paraId="69EC0165" w14:textId="48CAB394" w:rsidR="008E7D1C" w:rsidRPr="00CB38F0" w:rsidRDefault="008E7D1C" w:rsidP="008E7D1C">
            <w:pPr>
              <w:pStyle w:val="BodyText3"/>
              <w:spacing w:after="20"/>
              <w:jc w:val="center"/>
              <w:rPr>
                <w:rFonts w:ascii="Arial" w:hAnsi="Arial" w:cs="Arial"/>
                <w:sz w:val="18"/>
                <w:szCs w:val="18"/>
              </w:rPr>
            </w:pPr>
            <w:r w:rsidRPr="00200F5F">
              <w:rPr>
                <w:rFonts w:ascii="Arial" w:hAnsi="Arial" w:cs="Arial"/>
                <w:sz w:val="18"/>
                <w:szCs w:val="18"/>
              </w:rPr>
              <w:t>29.1%</w:t>
            </w:r>
          </w:p>
        </w:tc>
        <w:tc>
          <w:tcPr>
            <w:tcW w:w="1147" w:type="dxa"/>
            <w:tcBorders>
              <w:top w:val="single" w:sz="4" w:space="0" w:color="808080" w:themeColor="background1" w:themeShade="80"/>
              <w:bottom w:val="single" w:sz="4" w:space="0" w:color="808080" w:themeColor="background1" w:themeShade="80"/>
            </w:tcBorders>
            <w:vAlign w:val="center"/>
          </w:tcPr>
          <w:p w14:paraId="1DFE7050" w14:textId="101B1F56" w:rsidR="008E7D1C" w:rsidRPr="006B5511" w:rsidRDefault="008E7D1C" w:rsidP="008E7D1C">
            <w:pPr>
              <w:pStyle w:val="BodyText3"/>
              <w:spacing w:after="20"/>
              <w:jc w:val="center"/>
              <w:rPr>
                <w:rFonts w:ascii="Arial" w:hAnsi="Arial" w:cs="Arial"/>
                <w:sz w:val="18"/>
                <w:szCs w:val="18"/>
                <w:highlight w:val="yellow"/>
              </w:rPr>
            </w:pPr>
            <w:r>
              <w:rPr>
                <w:rFonts w:ascii="Arial" w:hAnsi="Arial" w:cs="Arial"/>
                <w:sz w:val="18"/>
                <w:szCs w:val="18"/>
              </w:rPr>
              <w:t xml:space="preserve">0.8 </w:t>
            </w:r>
            <w:r>
              <w:rPr>
                <w:rFonts w:ascii="Arial" w:hAnsi="Arial" w:cs="Arial"/>
                <w:sz w:val="18"/>
                <w:szCs w:val="18"/>
                <w:lang w:val="el-GR"/>
              </w:rPr>
              <w:t>ε.μ.</w:t>
            </w:r>
          </w:p>
        </w:tc>
        <w:tc>
          <w:tcPr>
            <w:tcW w:w="115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52760C3" w14:textId="32BC3020" w:rsidR="008E7D1C" w:rsidRPr="006B5511" w:rsidRDefault="008E7D1C" w:rsidP="008E7D1C">
            <w:pPr>
              <w:pStyle w:val="BodyText3"/>
              <w:spacing w:after="20"/>
              <w:jc w:val="center"/>
              <w:rPr>
                <w:rFonts w:ascii="Arial" w:hAnsi="Arial" w:cs="Arial"/>
                <w:bCs/>
                <w:sz w:val="18"/>
                <w:szCs w:val="18"/>
                <w:highlight w:val="yellow"/>
              </w:rPr>
            </w:pPr>
            <w:r>
              <w:rPr>
                <w:rFonts w:ascii="Arial" w:hAnsi="Arial" w:cs="Arial"/>
                <w:bCs/>
                <w:sz w:val="18"/>
                <w:szCs w:val="18"/>
              </w:rPr>
              <w:t>4.</w:t>
            </w:r>
            <w:r w:rsidRPr="008619B3">
              <w:rPr>
                <w:rFonts w:ascii="Arial" w:hAnsi="Arial" w:cs="Arial"/>
                <w:bCs/>
                <w:sz w:val="18"/>
                <w:szCs w:val="18"/>
              </w:rPr>
              <w:t xml:space="preserve">3 </w:t>
            </w:r>
            <w:r>
              <w:rPr>
                <w:rFonts w:ascii="Arial" w:hAnsi="Arial" w:cs="Arial"/>
                <w:sz w:val="18"/>
                <w:szCs w:val="18"/>
                <w:lang w:val="el-GR"/>
              </w:rPr>
              <w:t>ε.μ.</w:t>
            </w:r>
          </w:p>
        </w:tc>
      </w:tr>
      <w:tr w:rsidR="008E7D1C" w:rsidRPr="006B5511" w14:paraId="186CD358" w14:textId="77777777" w:rsidTr="00D022B5">
        <w:trPr>
          <w:trHeight w:val="352"/>
        </w:trPr>
        <w:tc>
          <w:tcPr>
            <w:tcW w:w="3888"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37CE78E6" w14:textId="24DD57D1" w:rsidR="008E7D1C" w:rsidRPr="00CB38F0" w:rsidRDefault="008E7D1C" w:rsidP="008E7D1C">
            <w:pPr>
              <w:pStyle w:val="BodyText3"/>
              <w:tabs>
                <w:tab w:val="clear" w:pos="0"/>
                <w:tab w:val="clear" w:pos="1416"/>
                <w:tab w:val="left" w:pos="1184"/>
              </w:tabs>
              <w:spacing w:after="20"/>
              <w:jc w:val="left"/>
              <w:rPr>
                <w:rFonts w:ascii="Arial" w:hAnsi="Arial" w:cs="Arial"/>
                <w:color w:val="000000" w:themeColor="text1"/>
                <w:sz w:val="18"/>
                <w:szCs w:val="18"/>
                <w:lang w:val="el-GR"/>
              </w:rPr>
            </w:pPr>
            <w:r w:rsidRPr="00CB38F0">
              <w:rPr>
                <w:rFonts w:ascii="Arial" w:hAnsi="Arial" w:cs="Arial"/>
                <w:color w:val="000000" w:themeColor="text1"/>
                <w:sz w:val="18"/>
                <w:szCs w:val="18"/>
                <w:lang w:val="el-GR"/>
              </w:rPr>
              <w:t xml:space="preserve">Ενσώματη λογιστική αξία </w:t>
            </w:r>
            <w:r w:rsidRPr="00CB38F0">
              <w:rPr>
                <w:rFonts w:ascii="Arial" w:hAnsi="Arial" w:cs="Arial"/>
                <w:sz w:val="18"/>
                <w:szCs w:val="18"/>
                <w:lang w:val="el-GR"/>
              </w:rPr>
              <w:t>ανά μετοχή</w:t>
            </w:r>
            <w:r w:rsidR="00212BA8" w:rsidRPr="006A1797">
              <w:rPr>
                <w:rFonts w:ascii="Arial" w:hAnsi="Arial" w:cs="Arial"/>
                <w:sz w:val="18"/>
                <w:szCs w:val="18"/>
                <w:vertAlign w:val="superscript"/>
                <w:lang w:val="el-GR"/>
              </w:rPr>
              <w:t>3</w:t>
            </w:r>
            <w:r w:rsidRPr="00CB38F0">
              <w:rPr>
                <w:rFonts w:ascii="Arial" w:hAnsi="Arial" w:cs="Arial"/>
                <w:sz w:val="18"/>
                <w:szCs w:val="18"/>
                <w:lang w:val="el-GR"/>
              </w:rPr>
              <w:t xml:space="preserve"> (€)</w:t>
            </w:r>
          </w:p>
        </w:tc>
        <w:tc>
          <w:tcPr>
            <w:tcW w:w="1146" w:type="dxa"/>
            <w:tcBorders>
              <w:top w:val="single" w:sz="4" w:space="0" w:color="808080" w:themeColor="background1" w:themeShade="80"/>
              <w:bottom w:val="single" w:sz="4" w:space="0" w:color="808080" w:themeColor="background1" w:themeShade="80"/>
            </w:tcBorders>
            <w:vAlign w:val="center"/>
          </w:tcPr>
          <w:p w14:paraId="37FA04DF" w14:textId="788F07D4" w:rsidR="008E7D1C" w:rsidRPr="00CB38F0" w:rsidRDefault="008E7D1C" w:rsidP="008E7D1C">
            <w:pPr>
              <w:pStyle w:val="BodyText3"/>
              <w:spacing w:after="20"/>
              <w:jc w:val="center"/>
              <w:rPr>
                <w:rFonts w:ascii="Arial" w:hAnsi="Arial" w:cs="Arial"/>
                <w:sz w:val="18"/>
                <w:szCs w:val="18"/>
                <w:highlight w:val="yellow"/>
                <w:lang w:val="el-GR"/>
              </w:rPr>
            </w:pPr>
            <w:r w:rsidRPr="008B24F1">
              <w:rPr>
                <w:rFonts w:ascii="Arial" w:hAnsi="Arial" w:cs="Arial"/>
                <w:sz w:val="18"/>
                <w:szCs w:val="18"/>
              </w:rPr>
              <w:t>5.2</w:t>
            </w:r>
            <w:r w:rsidR="00526A45">
              <w:rPr>
                <w:rFonts w:ascii="Arial" w:hAnsi="Arial" w:cs="Arial"/>
                <w:sz w:val="18"/>
                <w:szCs w:val="18"/>
              </w:rPr>
              <w:t>7</w:t>
            </w:r>
          </w:p>
        </w:tc>
        <w:tc>
          <w:tcPr>
            <w:tcW w:w="1146" w:type="dxa"/>
            <w:tcBorders>
              <w:top w:val="single" w:sz="4" w:space="0" w:color="808080" w:themeColor="background1" w:themeShade="80"/>
              <w:bottom w:val="single" w:sz="4" w:space="0" w:color="808080" w:themeColor="background1" w:themeShade="80"/>
            </w:tcBorders>
            <w:vAlign w:val="center"/>
          </w:tcPr>
          <w:p w14:paraId="0700DEE8" w14:textId="15317295" w:rsidR="008E7D1C" w:rsidRPr="00CB38F0" w:rsidRDefault="008E7D1C" w:rsidP="008E7D1C">
            <w:pPr>
              <w:pStyle w:val="BodyText3"/>
              <w:spacing w:after="20"/>
              <w:jc w:val="center"/>
              <w:rPr>
                <w:rFonts w:ascii="Arial" w:hAnsi="Arial" w:cs="Arial"/>
                <w:sz w:val="18"/>
                <w:szCs w:val="18"/>
                <w:lang w:val="el-GR"/>
              </w:rPr>
            </w:pPr>
            <w:r w:rsidRPr="008B24F1">
              <w:rPr>
                <w:rFonts w:ascii="Arial" w:hAnsi="Arial" w:cs="Arial"/>
                <w:sz w:val="18"/>
                <w:szCs w:val="18"/>
              </w:rPr>
              <w:t>4.34</w:t>
            </w:r>
          </w:p>
        </w:tc>
        <w:tc>
          <w:tcPr>
            <w:tcW w:w="1147" w:type="dxa"/>
            <w:tcBorders>
              <w:top w:val="single" w:sz="4" w:space="0" w:color="808080" w:themeColor="background1" w:themeShade="80"/>
              <w:bottom w:val="single" w:sz="4" w:space="0" w:color="808080" w:themeColor="background1" w:themeShade="80"/>
            </w:tcBorders>
            <w:vAlign w:val="center"/>
          </w:tcPr>
          <w:p w14:paraId="4EB4757B" w14:textId="5D9930D5" w:rsidR="008E7D1C" w:rsidRPr="006B5511" w:rsidRDefault="008E7D1C" w:rsidP="008E7D1C">
            <w:pPr>
              <w:pStyle w:val="BodyText3"/>
              <w:spacing w:after="20"/>
              <w:jc w:val="center"/>
              <w:rPr>
                <w:rFonts w:ascii="Arial" w:hAnsi="Arial" w:cs="Arial"/>
                <w:sz w:val="18"/>
                <w:szCs w:val="18"/>
                <w:highlight w:val="yellow"/>
              </w:rPr>
            </w:pPr>
            <w:r w:rsidRPr="008B24F1">
              <w:rPr>
                <w:rFonts w:ascii="Arial" w:hAnsi="Arial" w:cs="Arial"/>
                <w:sz w:val="18"/>
                <w:szCs w:val="18"/>
              </w:rPr>
              <w:t>5.2</w:t>
            </w:r>
            <w:r w:rsidR="00526A45">
              <w:rPr>
                <w:rFonts w:ascii="Arial" w:hAnsi="Arial" w:cs="Arial"/>
                <w:sz w:val="18"/>
                <w:szCs w:val="18"/>
              </w:rPr>
              <w:t>7</w:t>
            </w:r>
          </w:p>
        </w:tc>
        <w:tc>
          <w:tcPr>
            <w:tcW w:w="1147" w:type="dxa"/>
            <w:tcBorders>
              <w:top w:val="single" w:sz="4" w:space="0" w:color="808080" w:themeColor="background1" w:themeShade="80"/>
              <w:bottom w:val="single" w:sz="4" w:space="0" w:color="808080" w:themeColor="background1" w:themeShade="80"/>
            </w:tcBorders>
            <w:vAlign w:val="center"/>
          </w:tcPr>
          <w:p w14:paraId="34539CAF" w14:textId="06924868" w:rsidR="008E7D1C" w:rsidRPr="00CB38F0" w:rsidRDefault="008E7D1C" w:rsidP="008E7D1C">
            <w:pPr>
              <w:pStyle w:val="BodyText3"/>
              <w:spacing w:after="20"/>
              <w:jc w:val="center"/>
              <w:rPr>
                <w:rFonts w:ascii="Arial" w:hAnsi="Arial" w:cs="Arial"/>
                <w:sz w:val="18"/>
                <w:szCs w:val="18"/>
              </w:rPr>
            </w:pPr>
            <w:r w:rsidRPr="008B24F1">
              <w:rPr>
                <w:rFonts w:ascii="Arial" w:hAnsi="Arial" w:cs="Arial"/>
                <w:sz w:val="18"/>
                <w:szCs w:val="18"/>
              </w:rPr>
              <w:t>5.23</w:t>
            </w:r>
          </w:p>
        </w:tc>
        <w:tc>
          <w:tcPr>
            <w:tcW w:w="1147" w:type="dxa"/>
            <w:tcBorders>
              <w:top w:val="single" w:sz="4" w:space="0" w:color="808080" w:themeColor="background1" w:themeShade="80"/>
              <w:bottom w:val="single" w:sz="4" w:space="0" w:color="808080" w:themeColor="background1" w:themeShade="80"/>
            </w:tcBorders>
            <w:vAlign w:val="center"/>
          </w:tcPr>
          <w:p w14:paraId="06AEAD6F" w14:textId="06586C9C" w:rsidR="008E7D1C" w:rsidRPr="006B5511" w:rsidRDefault="008E7D1C" w:rsidP="008E7D1C">
            <w:pPr>
              <w:pStyle w:val="BodyText3"/>
              <w:spacing w:after="20"/>
              <w:jc w:val="center"/>
              <w:rPr>
                <w:rFonts w:ascii="Arial" w:hAnsi="Arial" w:cs="Arial"/>
                <w:sz w:val="18"/>
                <w:szCs w:val="18"/>
                <w:highlight w:val="yellow"/>
                <w:lang w:val="el-GR"/>
              </w:rPr>
            </w:pPr>
            <w:r w:rsidRPr="008B24F1">
              <w:rPr>
                <w:rFonts w:ascii="Arial" w:hAnsi="Arial" w:cs="Arial"/>
                <w:sz w:val="18"/>
                <w:szCs w:val="18"/>
              </w:rPr>
              <w:t>0.0</w:t>
            </w:r>
            <w:r w:rsidR="00526A45">
              <w:rPr>
                <w:rFonts w:ascii="Arial" w:hAnsi="Arial" w:cs="Arial"/>
                <w:sz w:val="18"/>
                <w:szCs w:val="18"/>
              </w:rPr>
              <w:t>4</w:t>
            </w:r>
          </w:p>
        </w:tc>
        <w:tc>
          <w:tcPr>
            <w:tcW w:w="115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6403637" w14:textId="2ACCE247" w:rsidR="008E7D1C" w:rsidRPr="006B5511" w:rsidRDefault="008E7D1C" w:rsidP="008E7D1C">
            <w:pPr>
              <w:pStyle w:val="BodyText3"/>
              <w:spacing w:after="20"/>
              <w:jc w:val="center"/>
              <w:rPr>
                <w:rFonts w:ascii="Arial" w:hAnsi="Arial" w:cs="Arial"/>
                <w:bCs/>
                <w:sz w:val="18"/>
                <w:szCs w:val="18"/>
                <w:highlight w:val="yellow"/>
                <w:lang w:val="el-GR"/>
              </w:rPr>
            </w:pPr>
            <w:r w:rsidRPr="008B24F1">
              <w:rPr>
                <w:rFonts w:ascii="Arial" w:hAnsi="Arial" w:cs="Arial"/>
                <w:bCs/>
                <w:sz w:val="18"/>
                <w:szCs w:val="18"/>
              </w:rPr>
              <w:t>0.9</w:t>
            </w:r>
            <w:r w:rsidR="00526A45">
              <w:rPr>
                <w:rFonts w:ascii="Arial" w:hAnsi="Arial" w:cs="Arial"/>
                <w:bCs/>
                <w:sz w:val="18"/>
                <w:szCs w:val="18"/>
              </w:rPr>
              <w:t>3</w:t>
            </w:r>
          </w:p>
        </w:tc>
      </w:tr>
      <w:tr w:rsidR="008E7D1C" w:rsidRPr="006B5511" w14:paraId="2E2F82C1" w14:textId="77777777" w:rsidTr="00D022B5">
        <w:trPr>
          <w:trHeight w:val="352"/>
        </w:trPr>
        <w:tc>
          <w:tcPr>
            <w:tcW w:w="3888"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21F49815" w14:textId="77777777" w:rsidR="008E7D1C" w:rsidRPr="00CB38F0" w:rsidRDefault="008E7D1C" w:rsidP="008E7D1C">
            <w:pPr>
              <w:pStyle w:val="BodyText3"/>
              <w:tabs>
                <w:tab w:val="clear" w:pos="0"/>
                <w:tab w:val="clear" w:pos="1416"/>
                <w:tab w:val="left" w:pos="1184"/>
              </w:tabs>
              <w:spacing w:after="20"/>
              <w:jc w:val="left"/>
              <w:rPr>
                <w:rFonts w:ascii="Arial" w:hAnsi="Arial" w:cs="Arial"/>
                <w:color w:val="000000" w:themeColor="text1"/>
                <w:sz w:val="18"/>
                <w:szCs w:val="18"/>
                <w:lang w:val="el-GR"/>
              </w:rPr>
            </w:pPr>
            <w:r w:rsidRPr="00CB38F0">
              <w:rPr>
                <w:rFonts w:ascii="Arial" w:hAnsi="Arial" w:cs="Arial"/>
                <w:color w:val="000000" w:themeColor="text1"/>
                <w:sz w:val="18"/>
                <w:szCs w:val="18"/>
                <w:lang w:val="el-GR"/>
              </w:rPr>
              <w:t xml:space="preserve">Ενσώματη λογιστική αξία </w:t>
            </w:r>
            <w:r w:rsidRPr="00CB38F0">
              <w:rPr>
                <w:rFonts w:ascii="Arial" w:hAnsi="Arial" w:cs="Arial"/>
                <w:sz w:val="18"/>
                <w:szCs w:val="18"/>
                <w:lang w:val="el-GR"/>
              </w:rPr>
              <w:t xml:space="preserve">ανά μετοχή (€) </w:t>
            </w:r>
            <w:r w:rsidRPr="00CB38F0">
              <w:rPr>
                <w:rFonts w:ascii="Arial" w:hAnsi="Arial" w:cs="Arial"/>
                <w:color w:val="000000" w:themeColor="text1"/>
                <w:sz w:val="18"/>
                <w:szCs w:val="18"/>
                <w:lang w:val="el-GR"/>
              </w:rPr>
              <w:t>εξαιρουμένης του μερίσματος σε μετρητά</w:t>
            </w:r>
          </w:p>
        </w:tc>
        <w:tc>
          <w:tcPr>
            <w:tcW w:w="1146" w:type="dxa"/>
            <w:tcBorders>
              <w:top w:val="single" w:sz="4" w:space="0" w:color="808080" w:themeColor="background1" w:themeShade="80"/>
              <w:bottom w:val="single" w:sz="4" w:space="0" w:color="808080" w:themeColor="background1" w:themeShade="80"/>
            </w:tcBorders>
            <w:vAlign w:val="center"/>
          </w:tcPr>
          <w:p w14:paraId="5D46F583" w14:textId="11118C2C" w:rsidR="008E7D1C" w:rsidRPr="00CB38F0" w:rsidRDefault="008E7D1C" w:rsidP="008E7D1C">
            <w:pPr>
              <w:pStyle w:val="BodyText3"/>
              <w:spacing w:after="20"/>
              <w:jc w:val="center"/>
              <w:rPr>
                <w:rFonts w:ascii="Arial" w:hAnsi="Arial" w:cs="Arial"/>
                <w:sz w:val="18"/>
                <w:szCs w:val="18"/>
                <w:highlight w:val="yellow"/>
                <w:lang w:val="el-GR"/>
              </w:rPr>
            </w:pPr>
            <w:r w:rsidRPr="008B24F1">
              <w:rPr>
                <w:rFonts w:ascii="Arial" w:hAnsi="Arial" w:cs="Arial"/>
                <w:sz w:val="18"/>
                <w:szCs w:val="18"/>
              </w:rPr>
              <w:t>5.2</w:t>
            </w:r>
            <w:r w:rsidR="00526A45">
              <w:rPr>
                <w:rFonts w:ascii="Arial" w:hAnsi="Arial" w:cs="Arial"/>
                <w:sz w:val="18"/>
                <w:szCs w:val="18"/>
              </w:rPr>
              <w:t>7</w:t>
            </w:r>
          </w:p>
        </w:tc>
        <w:tc>
          <w:tcPr>
            <w:tcW w:w="1146" w:type="dxa"/>
            <w:tcBorders>
              <w:top w:val="single" w:sz="4" w:space="0" w:color="808080" w:themeColor="background1" w:themeShade="80"/>
              <w:bottom w:val="single" w:sz="4" w:space="0" w:color="808080" w:themeColor="background1" w:themeShade="80"/>
            </w:tcBorders>
            <w:vAlign w:val="center"/>
          </w:tcPr>
          <w:p w14:paraId="3F7B318D" w14:textId="1D5FEBCD" w:rsidR="008E7D1C" w:rsidRPr="00CB38F0" w:rsidRDefault="008E7D1C" w:rsidP="008E7D1C">
            <w:pPr>
              <w:pStyle w:val="BodyText3"/>
              <w:spacing w:after="20"/>
              <w:jc w:val="center"/>
              <w:rPr>
                <w:rFonts w:ascii="Arial" w:hAnsi="Arial" w:cs="Arial"/>
                <w:sz w:val="18"/>
                <w:szCs w:val="18"/>
              </w:rPr>
            </w:pPr>
            <w:r w:rsidRPr="008B24F1">
              <w:rPr>
                <w:rFonts w:ascii="Arial" w:hAnsi="Arial" w:cs="Arial"/>
                <w:sz w:val="18"/>
                <w:szCs w:val="18"/>
              </w:rPr>
              <w:t>4.34</w:t>
            </w:r>
          </w:p>
        </w:tc>
        <w:tc>
          <w:tcPr>
            <w:tcW w:w="1147" w:type="dxa"/>
            <w:tcBorders>
              <w:top w:val="single" w:sz="4" w:space="0" w:color="808080" w:themeColor="background1" w:themeShade="80"/>
              <w:bottom w:val="single" w:sz="4" w:space="0" w:color="808080" w:themeColor="background1" w:themeShade="80"/>
            </w:tcBorders>
            <w:vAlign w:val="center"/>
          </w:tcPr>
          <w:p w14:paraId="585404BB" w14:textId="22D29080" w:rsidR="008E7D1C" w:rsidRPr="006B5511" w:rsidRDefault="008E7D1C" w:rsidP="008E7D1C">
            <w:pPr>
              <w:pStyle w:val="BodyText3"/>
              <w:spacing w:after="20"/>
              <w:jc w:val="center"/>
              <w:rPr>
                <w:rFonts w:ascii="Arial" w:hAnsi="Arial" w:cs="Arial"/>
                <w:sz w:val="18"/>
                <w:szCs w:val="18"/>
                <w:highlight w:val="yellow"/>
              </w:rPr>
            </w:pPr>
            <w:r w:rsidRPr="008B24F1">
              <w:rPr>
                <w:rFonts w:ascii="Arial" w:hAnsi="Arial" w:cs="Arial"/>
                <w:sz w:val="18"/>
                <w:szCs w:val="18"/>
              </w:rPr>
              <w:t>5.2</w:t>
            </w:r>
            <w:r w:rsidR="00526A45">
              <w:rPr>
                <w:rFonts w:ascii="Arial" w:hAnsi="Arial" w:cs="Arial"/>
                <w:sz w:val="18"/>
                <w:szCs w:val="18"/>
              </w:rPr>
              <w:t>7</w:t>
            </w:r>
          </w:p>
        </w:tc>
        <w:tc>
          <w:tcPr>
            <w:tcW w:w="1147" w:type="dxa"/>
            <w:tcBorders>
              <w:top w:val="single" w:sz="4" w:space="0" w:color="808080" w:themeColor="background1" w:themeShade="80"/>
              <w:bottom w:val="single" w:sz="4" w:space="0" w:color="808080" w:themeColor="background1" w:themeShade="80"/>
            </w:tcBorders>
            <w:vAlign w:val="center"/>
          </w:tcPr>
          <w:p w14:paraId="4FB89D45" w14:textId="71819F6E" w:rsidR="008E7D1C" w:rsidRPr="00CB38F0" w:rsidRDefault="008E7D1C" w:rsidP="008E7D1C">
            <w:pPr>
              <w:pStyle w:val="BodyText3"/>
              <w:spacing w:after="20"/>
              <w:jc w:val="center"/>
              <w:rPr>
                <w:rFonts w:ascii="Arial" w:hAnsi="Arial" w:cs="Arial"/>
                <w:sz w:val="18"/>
                <w:szCs w:val="18"/>
              </w:rPr>
            </w:pPr>
            <w:r w:rsidRPr="008B24F1">
              <w:rPr>
                <w:rFonts w:ascii="Arial" w:hAnsi="Arial" w:cs="Arial"/>
                <w:sz w:val="18"/>
                <w:szCs w:val="18"/>
              </w:rPr>
              <w:t>4.98</w:t>
            </w:r>
          </w:p>
        </w:tc>
        <w:tc>
          <w:tcPr>
            <w:tcW w:w="1147" w:type="dxa"/>
            <w:tcBorders>
              <w:top w:val="single" w:sz="4" w:space="0" w:color="808080" w:themeColor="background1" w:themeShade="80"/>
              <w:bottom w:val="single" w:sz="4" w:space="0" w:color="808080" w:themeColor="background1" w:themeShade="80"/>
            </w:tcBorders>
            <w:vAlign w:val="center"/>
          </w:tcPr>
          <w:p w14:paraId="7876472A" w14:textId="47D8913E" w:rsidR="008E7D1C" w:rsidRPr="006B5511" w:rsidRDefault="008E7D1C" w:rsidP="008E7D1C">
            <w:pPr>
              <w:pStyle w:val="BodyText3"/>
              <w:spacing w:after="20"/>
              <w:jc w:val="center"/>
              <w:rPr>
                <w:rFonts w:ascii="Arial" w:hAnsi="Arial" w:cs="Arial"/>
                <w:sz w:val="18"/>
                <w:szCs w:val="18"/>
                <w:highlight w:val="yellow"/>
              </w:rPr>
            </w:pPr>
            <w:r w:rsidRPr="008B24F1">
              <w:rPr>
                <w:rFonts w:ascii="Arial" w:hAnsi="Arial" w:cs="Arial"/>
                <w:sz w:val="18"/>
                <w:szCs w:val="18"/>
              </w:rPr>
              <w:t>0.2</w:t>
            </w:r>
            <w:r w:rsidR="00526A45">
              <w:rPr>
                <w:rFonts w:ascii="Arial" w:hAnsi="Arial" w:cs="Arial"/>
                <w:sz w:val="18"/>
                <w:szCs w:val="18"/>
              </w:rPr>
              <w:t>9</w:t>
            </w:r>
          </w:p>
        </w:tc>
        <w:tc>
          <w:tcPr>
            <w:tcW w:w="115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C95140F" w14:textId="36BA0CC7" w:rsidR="008E7D1C" w:rsidRPr="006B5511" w:rsidRDefault="008E7D1C" w:rsidP="008E7D1C">
            <w:pPr>
              <w:pStyle w:val="BodyText3"/>
              <w:spacing w:after="20"/>
              <w:ind w:left="360"/>
              <w:jc w:val="left"/>
              <w:rPr>
                <w:rFonts w:ascii="Arial" w:hAnsi="Arial" w:cs="Arial"/>
                <w:bCs/>
                <w:sz w:val="18"/>
                <w:szCs w:val="18"/>
                <w:highlight w:val="yellow"/>
              </w:rPr>
            </w:pPr>
            <w:r w:rsidRPr="008B24F1">
              <w:rPr>
                <w:rFonts w:ascii="Arial" w:hAnsi="Arial" w:cs="Arial"/>
                <w:bCs/>
                <w:sz w:val="18"/>
                <w:szCs w:val="18"/>
              </w:rPr>
              <w:t>0.9</w:t>
            </w:r>
            <w:r w:rsidR="00526A45">
              <w:rPr>
                <w:rFonts w:ascii="Arial" w:hAnsi="Arial" w:cs="Arial"/>
                <w:bCs/>
                <w:sz w:val="18"/>
                <w:szCs w:val="18"/>
              </w:rPr>
              <w:t>3</w:t>
            </w:r>
          </w:p>
        </w:tc>
      </w:tr>
      <w:tr w:rsidR="00765113" w:rsidRPr="00F931DF" w14:paraId="55395BE5" w14:textId="77777777" w:rsidTr="00D022B5">
        <w:trPr>
          <w:trHeight w:val="352"/>
        </w:trPr>
        <w:tc>
          <w:tcPr>
            <w:tcW w:w="1077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9B9588" w14:textId="0A4E966D" w:rsidR="00765113" w:rsidRPr="00CB38F0" w:rsidRDefault="00765113" w:rsidP="008D10DD">
            <w:pPr>
              <w:pStyle w:val="BodyText3"/>
              <w:numPr>
                <w:ilvl w:val="0"/>
                <w:numId w:val="20"/>
              </w:numPr>
              <w:tabs>
                <w:tab w:val="clear" w:pos="1416"/>
                <w:tab w:val="clear" w:pos="6521"/>
              </w:tabs>
              <w:ind w:left="357"/>
              <w:jc w:val="left"/>
              <w:rPr>
                <w:rFonts w:ascii="Arial" w:hAnsi="Arial" w:cs="Arial"/>
                <w:sz w:val="14"/>
                <w:szCs w:val="14"/>
                <w:lang w:val="el-GR"/>
              </w:rPr>
            </w:pPr>
            <w:r w:rsidRPr="00CB38F0">
              <w:rPr>
                <w:rFonts w:ascii="Arial" w:hAnsi="Arial" w:cs="Arial"/>
                <w:sz w:val="14"/>
                <w:szCs w:val="14"/>
                <w:lang w:val="el-GR"/>
              </w:rPr>
              <w:t xml:space="preserve">Τα προσαρμοσμένα κέρδη ανά μετοχή που αναλογούν στους ιδιοκτήτες της Εταιρίας για το β’ τρίμηνο 2024 </w:t>
            </w:r>
            <w:r w:rsidR="004F1991">
              <w:rPr>
                <w:rFonts w:ascii="Arial" w:hAnsi="Arial" w:cs="Arial"/>
                <w:sz w:val="14"/>
                <w:szCs w:val="14"/>
                <w:lang w:val="el-GR"/>
              </w:rPr>
              <w:t xml:space="preserve">και το α’ </w:t>
            </w:r>
            <w:r w:rsidR="007D7488">
              <w:rPr>
                <w:rFonts w:ascii="Arial" w:hAnsi="Arial" w:cs="Arial"/>
                <w:sz w:val="14"/>
                <w:szCs w:val="14"/>
                <w:lang w:val="el-GR"/>
              </w:rPr>
              <w:t xml:space="preserve">εξάμηνο </w:t>
            </w:r>
            <w:r w:rsidR="004F1991">
              <w:rPr>
                <w:rFonts w:ascii="Arial" w:hAnsi="Arial" w:cs="Arial"/>
                <w:sz w:val="14"/>
                <w:szCs w:val="14"/>
                <w:lang w:val="el-GR"/>
              </w:rPr>
              <w:t xml:space="preserve">2024 </w:t>
            </w:r>
            <w:r w:rsidRPr="00CB38F0">
              <w:rPr>
                <w:rFonts w:ascii="Arial" w:hAnsi="Arial" w:cs="Arial"/>
                <w:sz w:val="14"/>
                <w:szCs w:val="14"/>
                <w:lang w:val="el-GR"/>
              </w:rPr>
              <w:t xml:space="preserve">ανήλθαν </w:t>
            </w:r>
            <w:r w:rsidRPr="008E7D1C">
              <w:rPr>
                <w:rFonts w:ascii="Arial" w:hAnsi="Arial" w:cs="Arial"/>
                <w:sz w:val="14"/>
                <w:szCs w:val="14"/>
                <w:lang w:val="el-GR"/>
              </w:rPr>
              <w:t>σε €</w:t>
            </w:r>
            <w:r w:rsidR="008E7D1C" w:rsidRPr="006A1797">
              <w:rPr>
                <w:rFonts w:ascii="Arial" w:hAnsi="Arial" w:cs="Arial"/>
                <w:sz w:val="14"/>
                <w:szCs w:val="14"/>
                <w:lang w:val="el-GR"/>
              </w:rPr>
              <w:t>0.31</w:t>
            </w:r>
            <w:r w:rsidR="004F1991" w:rsidRPr="008E7D1C">
              <w:rPr>
                <w:rFonts w:ascii="Arial" w:hAnsi="Arial" w:cs="Arial"/>
                <w:sz w:val="14"/>
                <w:szCs w:val="14"/>
                <w:lang w:val="el-GR"/>
              </w:rPr>
              <w:t xml:space="preserve"> και €</w:t>
            </w:r>
            <w:r w:rsidR="008E7D1C" w:rsidRPr="006A1797">
              <w:rPr>
                <w:rFonts w:ascii="Arial" w:hAnsi="Arial" w:cs="Arial"/>
                <w:sz w:val="14"/>
                <w:szCs w:val="14"/>
                <w:lang w:val="el-GR"/>
              </w:rPr>
              <w:t>0.60</w:t>
            </w:r>
            <w:r w:rsidR="004F1991" w:rsidRPr="006A1797">
              <w:rPr>
                <w:rFonts w:ascii="Arial" w:hAnsi="Arial" w:cs="Arial"/>
                <w:sz w:val="14"/>
                <w:szCs w:val="14"/>
                <w:lang w:val="el-GR"/>
              </w:rPr>
              <w:t xml:space="preserve"> </w:t>
            </w:r>
            <w:r w:rsidR="004F1991" w:rsidRPr="008E7D1C">
              <w:rPr>
                <w:rFonts w:ascii="Arial" w:hAnsi="Arial" w:cs="Arial"/>
                <w:sz w:val="14"/>
                <w:szCs w:val="14"/>
                <w:lang w:val="el-GR"/>
              </w:rPr>
              <w:t>αντίστοιχα</w:t>
            </w:r>
          </w:p>
          <w:p w14:paraId="5233BF03" w14:textId="1DD0D50A" w:rsidR="00212BA8" w:rsidRDefault="00765113" w:rsidP="00212BA8">
            <w:pPr>
              <w:pStyle w:val="BodyText3"/>
              <w:numPr>
                <w:ilvl w:val="0"/>
                <w:numId w:val="20"/>
              </w:numPr>
              <w:tabs>
                <w:tab w:val="clear" w:pos="1416"/>
                <w:tab w:val="clear" w:pos="6521"/>
              </w:tabs>
              <w:ind w:left="357"/>
              <w:jc w:val="left"/>
              <w:rPr>
                <w:rFonts w:ascii="Arial" w:hAnsi="Arial" w:cs="Arial"/>
                <w:sz w:val="14"/>
                <w:szCs w:val="14"/>
                <w:lang w:val="el-GR"/>
              </w:rPr>
            </w:pPr>
            <w:r w:rsidRPr="00CB38F0">
              <w:rPr>
                <w:rFonts w:ascii="Arial" w:hAnsi="Arial" w:cs="Arial"/>
                <w:sz w:val="14"/>
                <w:szCs w:val="14"/>
                <w:lang w:val="el-GR"/>
              </w:rPr>
              <w:t xml:space="preserve">Υπολογίζεται ως προς το Κέρδος/(Ζημιά) μετά τη φορολογία (που αναλογούν στους ιδιοκτήτες της Εταιρίας) (ετησιοποιημένα – (βασισμένα στις μέρες από την αρχή του έτους μέχρι σήμερα)), ως προς τον τριμηνιαίο μέσο όρο των ιδίων κεφαλαίων που αναλογούν στους ιδιοκτήτες της Εταιρίας μείον τα άυλα περιουσιακά στοιχεία, και μετά την αφαίρεση του πλεονάσματος που προκύπτει από τον Δείκτη Κεφαλαίου Κοινών Μετοχών Κατηγορίας 1 (CET1) σε σύγκριση με Δείκτη Κεφαλαίου Κοινών Μετοχών Κατηγορίας 1 (CET1) ύψους 15%, από </w:t>
            </w:r>
            <w:r w:rsidR="00212BA8">
              <w:rPr>
                <w:rFonts w:ascii="Arial" w:hAnsi="Arial" w:cs="Arial"/>
                <w:sz w:val="14"/>
                <w:szCs w:val="14"/>
                <w:lang w:val="el-GR"/>
              </w:rPr>
              <w:t>τα</w:t>
            </w:r>
            <w:r w:rsidR="00212BA8" w:rsidRPr="00CB38F0">
              <w:rPr>
                <w:rFonts w:ascii="Arial" w:hAnsi="Arial" w:cs="Arial"/>
                <w:sz w:val="14"/>
                <w:szCs w:val="14"/>
                <w:lang w:val="el-GR"/>
              </w:rPr>
              <w:t xml:space="preserve"> </w:t>
            </w:r>
            <w:r w:rsidR="00212BA8">
              <w:rPr>
                <w:rFonts w:ascii="Arial" w:hAnsi="Arial" w:cs="Arial"/>
                <w:sz w:val="14"/>
                <w:szCs w:val="14"/>
                <w:lang w:val="el-GR"/>
              </w:rPr>
              <w:t>ενσώματα</w:t>
            </w:r>
            <w:r w:rsidR="00212BA8" w:rsidRPr="00CB38F0">
              <w:rPr>
                <w:rFonts w:ascii="Arial" w:hAnsi="Arial" w:cs="Arial"/>
                <w:sz w:val="14"/>
                <w:szCs w:val="14"/>
                <w:lang w:val="el-GR"/>
              </w:rPr>
              <w:t xml:space="preserve"> </w:t>
            </w:r>
            <w:r w:rsidR="00212BA8">
              <w:rPr>
                <w:rFonts w:ascii="Arial" w:hAnsi="Arial" w:cs="Arial"/>
                <w:sz w:val="14"/>
                <w:szCs w:val="14"/>
                <w:lang w:val="el-GR"/>
              </w:rPr>
              <w:t>ί</w:t>
            </w:r>
            <w:r w:rsidR="00212BA8" w:rsidRPr="00212BA8">
              <w:rPr>
                <w:rFonts w:ascii="Arial" w:hAnsi="Arial" w:cs="Arial"/>
                <w:sz w:val="14"/>
                <w:szCs w:val="14"/>
                <w:lang w:val="el-GR"/>
              </w:rPr>
              <w:t>δια κεφάλαια που αναλογούν στους ιδιοκτήτες της Εταιρίας</w:t>
            </w:r>
          </w:p>
          <w:p w14:paraId="6450C8E6" w14:textId="39949C44" w:rsidR="00212BA8" w:rsidRPr="00212BA8" w:rsidRDefault="00212BA8" w:rsidP="006A1797">
            <w:pPr>
              <w:pStyle w:val="BodyText3"/>
              <w:numPr>
                <w:ilvl w:val="0"/>
                <w:numId w:val="20"/>
              </w:numPr>
              <w:tabs>
                <w:tab w:val="clear" w:pos="1416"/>
                <w:tab w:val="clear" w:pos="6521"/>
              </w:tabs>
              <w:ind w:left="357"/>
              <w:jc w:val="left"/>
              <w:rPr>
                <w:rFonts w:ascii="Arial" w:hAnsi="Arial" w:cs="Arial"/>
                <w:sz w:val="14"/>
                <w:szCs w:val="14"/>
                <w:lang w:val="el-GR"/>
              </w:rPr>
            </w:pPr>
            <w:r w:rsidRPr="006A1797">
              <w:rPr>
                <w:rFonts w:ascii="Arial" w:hAnsi="Arial" w:cs="Arial"/>
                <w:sz w:val="14"/>
                <w:szCs w:val="14"/>
                <w:lang w:val="el-GR"/>
              </w:rPr>
              <w:t xml:space="preserve">Υπολογίζεται </w:t>
            </w:r>
            <w:r>
              <w:rPr>
                <w:rFonts w:ascii="Arial" w:hAnsi="Arial" w:cs="Arial"/>
                <w:sz w:val="14"/>
                <w:szCs w:val="14"/>
                <w:lang w:val="el-GR"/>
              </w:rPr>
              <w:t>με βάση</w:t>
            </w:r>
            <w:r w:rsidRPr="006A1797">
              <w:rPr>
                <w:rFonts w:ascii="Arial" w:hAnsi="Arial" w:cs="Arial"/>
                <w:sz w:val="14"/>
                <w:szCs w:val="14"/>
                <w:lang w:val="el-GR"/>
              </w:rPr>
              <w:t xml:space="preserve"> τον συνολικό αριθμό κοινών μετοχών μείον των ιδίων μετοχών που κατέχονται κατά το τέλος </w:t>
            </w:r>
            <w:r w:rsidR="00F374FE">
              <w:rPr>
                <w:rFonts w:ascii="Arial" w:hAnsi="Arial" w:cs="Arial"/>
                <w:sz w:val="14"/>
                <w:szCs w:val="14"/>
                <w:lang w:val="el-GR"/>
              </w:rPr>
              <w:t>της περιόδου</w:t>
            </w:r>
          </w:p>
          <w:p w14:paraId="3E8D7E76" w14:textId="3DFB5C57" w:rsidR="00765113" w:rsidRPr="006B5511" w:rsidRDefault="00765113" w:rsidP="002354D5">
            <w:pPr>
              <w:pStyle w:val="BodyText3"/>
              <w:spacing w:after="20"/>
              <w:ind w:left="357"/>
              <w:jc w:val="left"/>
              <w:rPr>
                <w:rFonts w:ascii="Arial" w:hAnsi="Arial" w:cs="Arial"/>
                <w:bCs/>
                <w:sz w:val="18"/>
                <w:szCs w:val="18"/>
                <w:highlight w:val="yellow"/>
                <w:lang w:val="el-GR"/>
              </w:rPr>
            </w:pPr>
            <w:r w:rsidRPr="00CB38F0">
              <w:rPr>
                <w:rFonts w:ascii="Arial" w:hAnsi="Arial" w:cs="Arial"/>
                <w:sz w:val="14"/>
                <w:szCs w:val="14"/>
                <w:lang w:val="el-GR"/>
              </w:rPr>
              <w:t>ε.μ. = εκατοστιαίες μονάδες, μ.β.= μονάδες βάσης, 100 μονάδες βάσης = 1 εκατοστιαία μονάδα</w:t>
            </w:r>
          </w:p>
        </w:tc>
      </w:tr>
    </w:tbl>
    <w:p w14:paraId="3B80BEC6" w14:textId="77777777" w:rsidR="009C412B" w:rsidRPr="006B5511" w:rsidRDefault="009C412B" w:rsidP="009C412B">
      <w:pPr>
        <w:spacing w:after="0" w:line="240" w:lineRule="auto"/>
        <w:jc w:val="both"/>
        <w:rPr>
          <w:rFonts w:ascii="Arial" w:hAnsi="Arial" w:cs="Arial"/>
          <w:b/>
          <w:bCs/>
          <w:color w:val="FF9900"/>
          <w:highlight w:val="yellow"/>
          <w:lang w:val="el-GR"/>
        </w:rPr>
      </w:pPr>
    </w:p>
    <w:p w14:paraId="230DE5D9" w14:textId="77777777" w:rsidR="00442875" w:rsidRPr="006B5511" w:rsidRDefault="00442875" w:rsidP="009A0635">
      <w:pPr>
        <w:spacing w:after="0" w:line="240" w:lineRule="auto"/>
        <w:jc w:val="both"/>
        <w:rPr>
          <w:rFonts w:ascii="Arial" w:hAnsi="Arial" w:cs="Arial"/>
          <w:sz w:val="16"/>
          <w:highlight w:val="yellow"/>
          <w:lang w:val="el-GR"/>
        </w:rPr>
      </w:pPr>
    </w:p>
    <w:bookmarkEnd w:id="0"/>
    <w:p w14:paraId="081B9ECB" w14:textId="53E8B0E9" w:rsidR="00743960" w:rsidRPr="00CB38F0" w:rsidRDefault="00743960" w:rsidP="00743960">
      <w:pPr>
        <w:spacing w:after="0" w:line="360" w:lineRule="auto"/>
        <w:jc w:val="both"/>
        <w:rPr>
          <w:rFonts w:ascii="Arial" w:hAnsi="Arial" w:cs="Arial"/>
          <w:b/>
          <w:bCs/>
          <w:color w:val="FF9900"/>
          <w:lang w:val="el-GR"/>
        </w:rPr>
      </w:pPr>
      <w:r w:rsidRPr="00CB38F0">
        <w:rPr>
          <w:rFonts w:ascii="Arial" w:hAnsi="Arial" w:cs="Arial"/>
          <w:b/>
          <w:bCs/>
          <w:color w:val="FF9900"/>
          <w:lang w:val="el-GR"/>
        </w:rPr>
        <w:t>Σχόλια για την Υποκείμενη Βάση</w:t>
      </w:r>
    </w:p>
    <w:p w14:paraId="26A78347" w14:textId="3B825F9C" w:rsidR="00743960" w:rsidRPr="00CB38F0" w:rsidRDefault="00743960" w:rsidP="00743960">
      <w:pPr>
        <w:autoSpaceDE w:val="0"/>
        <w:autoSpaceDN w:val="0"/>
        <w:adjustRightInd w:val="0"/>
        <w:spacing w:after="0" w:line="240" w:lineRule="auto"/>
        <w:jc w:val="both"/>
        <w:rPr>
          <w:rFonts w:ascii="Arial" w:hAnsi="Arial" w:cs="Arial"/>
          <w:sz w:val="18"/>
          <w:szCs w:val="18"/>
          <w:lang w:val="el-GR"/>
        </w:rPr>
      </w:pPr>
      <w:r w:rsidRPr="00CB38F0">
        <w:rPr>
          <w:rFonts w:ascii="Arial" w:hAnsi="Arial" w:cs="Arial"/>
          <w:color w:val="000000"/>
          <w:sz w:val="18"/>
          <w:szCs w:val="18"/>
          <w:lang w:val="el-GR"/>
        </w:rPr>
        <w:t xml:space="preserve">Η χρηματοοικονομική πληροφόρηση που παρουσιάζεται σε αυτό το Μέρος παρέχει μια ανασκόπηση των οικονομικών αποτελεσμάτων του Συγκροτήματος για το </w:t>
      </w:r>
      <w:r w:rsidR="004F1991" w:rsidRPr="00CB38F0">
        <w:rPr>
          <w:rFonts w:ascii="Arial" w:hAnsi="Arial" w:cs="Arial"/>
          <w:color w:val="000000"/>
          <w:sz w:val="18"/>
          <w:szCs w:val="18"/>
          <w:lang w:val="el-GR"/>
        </w:rPr>
        <w:t xml:space="preserve">εξάμηνο </w:t>
      </w:r>
      <w:r w:rsidRPr="00CB38F0">
        <w:rPr>
          <w:rFonts w:ascii="Arial" w:hAnsi="Arial" w:cs="Arial"/>
          <w:color w:val="000000"/>
          <w:sz w:val="18"/>
          <w:szCs w:val="18"/>
          <w:lang w:val="el-GR"/>
        </w:rPr>
        <w:t xml:space="preserve">που έληξε στις </w:t>
      </w:r>
      <w:r w:rsidR="004F1991" w:rsidRPr="00CB38F0">
        <w:rPr>
          <w:rFonts w:ascii="Arial" w:hAnsi="Arial" w:cs="Arial"/>
          <w:color w:val="000000"/>
          <w:sz w:val="18"/>
          <w:szCs w:val="18"/>
          <w:lang w:val="el-GR"/>
        </w:rPr>
        <w:t xml:space="preserve">30 Ιουνίου </w:t>
      </w:r>
      <w:r w:rsidR="002775B2" w:rsidRPr="00CB38F0">
        <w:rPr>
          <w:rFonts w:ascii="Arial" w:hAnsi="Arial" w:cs="Arial"/>
          <w:color w:val="000000"/>
          <w:sz w:val="18"/>
          <w:szCs w:val="18"/>
          <w:lang w:val="el-GR"/>
        </w:rPr>
        <w:t xml:space="preserve">2024 </w:t>
      </w:r>
      <w:r w:rsidRPr="00CB38F0">
        <w:rPr>
          <w:rFonts w:ascii="Arial" w:hAnsi="Arial" w:cs="Arial"/>
          <w:color w:val="000000"/>
          <w:sz w:val="18"/>
          <w:szCs w:val="18"/>
          <w:lang w:val="el-GR"/>
        </w:rPr>
        <w:t xml:space="preserve">στην ‘υποκείμενη βάση’, για την οποία η Διεύθυνση πιστεύει ότι παρουσιάζει </w:t>
      </w:r>
      <w:r w:rsidRPr="00CB38F0">
        <w:rPr>
          <w:rFonts w:ascii="Arial" w:hAnsi="Arial" w:cs="Arial"/>
          <w:sz w:val="18"/>
          <w:szCs w:val="18"/>
          <w:lang w:val="el-GR"/>
        </w:rPr>
        <w:t>καλύτερα την επιμέτρηση της απόδοσης και της θέσης του Συγκροτήματος, καθώς παρουσιάζονται</w:t>
      </w:r>
      <w:r w:rsidR="002775B2" w:rsidRPr="00CB38F0">
        <w:rPr>
          <w:rFonts w:ascii="Arial" w:hAnsi="Arial" w:cs="Arial"/>
          <w:sz w:val="18"/>
          <w:szCs w:val="18"/>
          <w:lang w:val="el-GR"/>
        </w:rPr>
        <w:t xml:space="preserve"> </w:t>
      </w:r>
      <w:r w:rsidRPr="00CB38F0">
        <w:rPr>
          <w:rFonts w:ascii="Arial" w:hAnsi="Arial" w:cs="Arial"/>
          <w:sz w:val="18"/>
          <w:szCs w:val="18"/>
          <w:lang w:val="el-GR"/>
        </w:rPr>
        <w:t xml:space="preserve">ξεχωριστά τα μη-επαναλαμβανόμενα στοιχεία και επιπρόσθετα περιλαμβάνει ορισμένες </w:t>
      </w:r>
      <w:r w:rsidRPr="00CB38F0">
        <w:rPr>
          <w:rFonts w:ascii="Arial" w:hAnsi="Arial" w:cs="Arial"/>
          <w:bCs/>
          <w:sz w:val="18"/>
          <w:szCs w:val="18"/>
          <w:lang w:val="el-GR"/>
        </w:rPr>
        <w:t xml:space="preserve">επαναταξινομήσεις </w:t>
      </w:r>
      <w:r w:rsidRPr="00CB38F0">
        <w:rPr>
          <w:rFonts w:ascii="Arial" w:hAnsi="Arial" w:cs="Arial"/>
          <w:sz w:val="18"/>
          <w:szCs w:val="18"/>
          <w:lang w:val="el-GR"/>
        </w:rPr>
        <w:t xml:space="preserve">στοιχείων, εκτός των μη-επαναλαμβανόμενων στοιχείων, για λόγους παρουσίασης στην υποκείμενή βάση με σκοπό την ευθυγράμμιση της παρουσίασης τους με στοιχεία παρόμοιας φύσης. </w:t>
      </w:r>
    </w:p>
    <w:p w14:paraId="0363F0BF" w14:textId="77777777" w:rsidR="00743960" w:rsidRPr="00CB38F0" w:rsidRDefault="00743960" w:rsidP="00743960">
      <w:pPr>
        <w:autoSpaceDE w:val="0"/>
        <w:autoSpaceDN w:val="0"/>
        <w:adjustRightInd w:val="0"/>
        <w:spacing w:after="0" w:line="240" w:lineRule="auto"/>
        <w:jc w:val="both"/>
        <w:rPr>
          <w:rFonts w:ascii="Arial" w:hAnsi="Arial" w:cs="Arial"/>
          <w:sz w:val="18"/>
          <w:szCs w:val="18"/>
          <w:lang w:val="el-GR"/>
        </w:rPr>
      </w:pPr>
    </w:p>
    <w:p w14:paraId="287887B2" w14:textId="611AA663" w:rsidR="000916E4" w:rsidRPr="007D7488" w:rsidRDefault="00743960" w:rsidP="00743960">
      <w:pPr>
        <w:spacing w:after="0" w:line="240" w:lineRule="auto"/>
        <w:jc w:val="both"/>
        <w:rPr>
          <w:rFonts w:ascii="Arial" w:hAnsi="Arial" w:cs="Arial"/>
          <w:sz w:val="18"/>
          <w:szCs w:val="18"/>
          <w:highlight w:val="yellow"/>
          <w:lang w:val="el-GR"/>
        </w:rPr>
      </w:pPr>
      <w:r w:rsidRPr="00CB38F0">
        <w:rPr>
          <w:rFonts w:ascii="Arial" w:hAnsi="Arial" w:cs="Arial"/>
          <w:color w:val="000000"/>
          <w:sz w:val="18"/>
          <w:szCs w:val="18"/>
          <w:lang w:val="el-GR"/>
        </w:rPr>
        <w:t xml:space="preserve">Συμφιλιώσεις μεταξύ της απαιτούμενης από τη νομοθεσία βάσης και της υποκείμενης βάσης για τη διευκόλυνση της σύγκρισης της υποκείμενης βάσης με την απαιτούμενη από τη νομοθεσία πληροφόρηση, περιλαμβάνονται στο μέρος </w:t>
      </w:r>
      <w:r w:rsidR="00F95BEB" w:rsidRPr="00CB38F0">
        <w:rPr>
          <w:rFonts w:ascii="Arial" w:hAnsi="Arial" w:cs="Arial"/>
          <w:color w:val="000000"/>
          <w:sz w:val="18"/>
          <w:szCs w:val="18"/>
          <w:lang w:val="el-GR"/>
        </w:rPr>
        <w:t>Β.</w:t>
      </w:r>
      <w:r w:rsidRPr="00CB38F0">
        <w:rPr>
          <w:rFonts w:ascii="Arial" w:hAnsi="Arial" w:cs="Arial"/>
          <w:color w:val="000000"/>
          <w:sz w:val="18"/>
          <w:szCs w:val="18"/>
          <w:lang w:val="el-GR"/>
        </w:rPr>
        <w:t xml:space="preserve">1 ‘Συμφιλίωση </w:t>
      </w:r>
      <w:r w:rsidR="003367CC" w:rsidRPr="00CB38F0">
        <w:rPr>
          <w:rFonts w:ascii="Arial" w:hAnsi="Arial" w:cs="Arial"/>
          <w:color w:val="000000"/>
          <w:sz w:val="18"/>
          <w:szCs w:val="18"/>
          <w:lang w:val="el-GR"/>
        </w:rPr>
        <w:t xml:space="preserve">της </w:t>
      </w:r>
      <w:r w:rsidR="00F95BEB" w:rsidRPr="00F95BEB">
        <w:rPr>
          <w:rFonts w:ascii="Arial" w:hAnsi="Arial" w:cs="Arial"/>
          <w:color w:val="000000"/>
          <w:sz w:val="18"/>
          <w:szCs w:val="18"/>
          <w:lang w:val="el-GR"/>
        </w:rPr>
        <w:t xml:space="preserve">Ενδιάμεσης Ενοποιημένης Κατάστασης Λογαριασμού Αποτελεσμάτων </w:t>
      </w:r>
      <w:r w:rsidRPr="00CB38F0">
        <w:rPr>
          <w:rFonts w:ascii="Arial" w:hAnsi="Arial" w:cs="Arial"/>
          <w:color w:val="000000"/>
          <w:sz w:val="18"/>
          <w:szCs w:val="18"/>
          <w:lang w:val="el-GR"/>
        </w:rPr>
        <w:t>μεταξύ της</w:t>
      </w:r>
      <w:r w:rsidR="00B03379" w:rsidRPr="00CB38F0">
        <w:rPr>
          <w:rFonts w:ascii="Arial" w:hAnsi="Arial" w:cs="Arial"/>
          <w:color w:val="000000"/>
          <w:sz w:val="18"/>
          <w:szCs w:val="18"/>
          <w:lang w:val="el-GR"/>
        </w:rPr>
        <w:t xml:space="preserve"> </w:t>
      </w:r>
      <w:r w:rsidRPr="00CB38F0">
        <w:rPr>
          <w:rFonts w:ascii="Arial" w:hAnsi="Arial" w:cs="Arial"/>
          <w:color w:val="000000"/>
          <w:sz w:val="18"/>
          <w:szCs w:val="18"/>
          <w:lang w:val="el-GR"/>
        </w:rPr>
        <w:t xml:space="preserve">απαιτούμενης από τη νομοθεσία βάσης και της υποκείμενης βάσης για το </w:t>
      </w:r>
      <w:r w:rsidR="00F95BEB" w:rsidRPr="00CB38F0">
        <w:rPr>
          <w:rFonts w:ascii="Arial" w:hAnsi="Arial" w:cs="Arial"/>
          <w:color w:val="000000"/>
          <w:sz w:val="18"/>
          <w:szCs w:val="18"/>
          <w:lang w:val="el-GR"/>
        </w:rPr>
        <w:t xml:space="preserve">εξάμηνο </w:t>
      </w:r>
      <w:r w:rsidRPr="00CB38F0">
        <w:rPr>
          <w:rFonts w:ascii="Arial" w:hAnsi="Arial" w:cs="Arial"/>
          <w:color w:val="000000"/>
          <w:sz w:val="18"/>
          <w:szCs w:val="18"/>
          <w:lang w:val="el-GR"/>
        </w:rPr>
        <w:t xml:space="preserve">που έληξε στις </w:t>
      </w:r>
      <w:r w:rsidR="00F95BEB" w:rsidRPr="00CB38F0">
        <w:rPr>
          <w:rFonts w:ascii="Arial" w:hAnsi="Arial" w:cs="Arial"/>
          <w:color w:val="000000"/>
          <w:sz w:val="18"/>
          <w:szCs w:val="18"/>
          <w:lang w:val="el-GR"/>
        </w:rPr>
        <w:t xml:space="preserve">30 Ιουνίου </w:t>
      </w:r>
      <w:r w:rsidR="00F36B25" w:rsidRPr="00CB38F0">
        <w:rPr>
          <w:rFonts w:ascii="Arial" w:hAnsi="Arial" w:cs="Arial"/>
          <w:color w:val="000000"/>
          <w:sz w:val="18"/>
          <w:szCs w:val="18"/>
          <w:lang w:val="el-GR"/>
        </w:rPr>
        <w:t>2024’</w:t>
      </w:r>
      <w:r w:rsidRPr="00CB38F0">
        <w:rPr>
          <w:rFonts w:ascii="Arial" w:hAnsi="Arial" w:cs="Arial"/>
          <w:color w:val="000000"/>
          <w:sz w:val="18"/>
          <w:szCs w:val="18"/>
          <w:lang w:val="el-GR"/>
        </w:rPr>
        <w:t xml:space="preserve">, και θα είναι επίσης διαθέσιμη </w:t>
      </w:r>
      <w:r w:rsidR="00F95BEB" w:rsidRPr="00F95BEB">
        <w:rPr>
          <w:rFonts w:ascii="Arial" w:hAnsi="Arial" w:cs="Arial"/>
          <w:color w:val="000000"/>
          <w:sz w:val="18"/>
          <w:szCs w:val="18"/>
          <w:lang w:val="el-GR"/>
        </w:rPr>
        <w:t xml:space="preserve">στα ‘Εναλλακτικά Μέτρα Απόδοσης’ της ‘Ενδιάμεσης Οικονομικής Έκθεσης 2024’. </w:t>
      </w:r>
    </w:p>
    <w:p w14:paraId="1BC23872" w14:textId="77777777" w:rsidR="00743960" w:rsidRPr="006B5511" w:rsidRDefault="00743960" w:rsidP="00743960">
      <w:pPr>
        <w:spacing w:after="0" w:line="240" w:lineRule="auto"/>
        <w:jc w:val="both"/>
        <w:rPr>
          <w:rFonts w:ascii="Arial" w:hAnsi="Arial" w:cs="Arial"/>
          <w:sz w:val="18"/>
          <w:szCs w:val="18"/>
          <w:highlight w:val="yellow"/>
          <w:lang w:val="el-GR"/>
        </w:rPr>
      </w:pPr>
    </w:p>
    <w:p w14:paraId="2D7E5270" w14:textId="77777777" w:rsidR="00743960" w:rsidRPr="006B5511" w:rsidRDefault="00743960" w:rsidP="00B043BD">
      <w:pPr>
        <w:pStyle w:val="ListParagraph"/>
        <w:spacing w:line="360" w:lineRule="auto"/>
        <w:ind w:left="-567"/>
        <w:rPr>
          <w:rFonts w:ascii="Arial" w:hAnsi="Arial" w:cs="Arial"/>
          <w:b/>
          <w:color w:val="FF9900"/>
          <w:szCs w:val="16"/>
          <w:highlight w:val="yellow"/>
          <w:lang w:val="el-GR"/>
        </w:rPr>
      </w:pPr>
    </w:p>
    <w:p w14:paraId="09E94324" w14:textId="77777777" w:rsidR="00743960" w:rsidRPr="006B5511" w:rsidRDefault="00743960" w:rsidP="00B043BD">
      <w:pPr>
        <w:pStyle w:val="ListParagraph"/>
        <w:spacing w:line="360" w:lineRule="auto"/>
        <w:ind w:left="-567"/>
        <w:rPr>
          <w:rFonts w:ascii="Arial" w:hAnsi="Arial" w:cs="Arial"/>
          <w:b/>
          <w:color w:val="FF9900"/>
          <w:szCs w:val="16"/>
          <w:highlight w:val="yellow"/>
          <w:lang w:val="el-GR"/>
        </w:rPr>
      </w:pPr>
    </w:p>
    <w:p w14:paraId="70B830A4" w14:textId="77777777" w:rsidR="004009CD" w:rsidRPr="006B5511" w:rsidRDefault="004009CD" w:rsidP="004009CD">
      <w:pPr>
        <w:spacing w:line="240" w:lineRule="auto"/>
        <w:rPr>
          <w:rFonts w:ascii="Arial" w:hAnsi="Arial" w:cs="Arial"/>
          <w:b/>
          <w:bCs/>
          <w:color w:val="FF9900"/>
          <w:highlight w:val="yellow"/>
          <w:lang w:val="el-GR"/>
        </w:rPr>
      </w:pPr>
    </w:p>
    <w:p w14:paraId="52643AE8" w14:textId="77777777" w:rsidR="004009CD" w:rsidRPr="006B5511" w:rsidRDefault="004009CD" w:rsidP="004009CD">
      <w:pPr>
        <w:spacing w:line="240" w:lineRule="auto"/>
        <w:rPr>
          <w:rFonts w:ascii="Arial" w:hAnsi="Arial" w:cs="Arial"/>
          <w:b/>
          <w:bCs/>
          <w:color w:val="FF9900"/>
          <w:highlight w:val="yellow"/>
          <w:lang w:val="el-GR"/>
        </w:rPr>
      </w:pPr>
    </w:p>
    <w:p w14:paraId="105477B5" w14:textId="77777777" w:rsidR="00F95BEB" w:rsidRPr="006B5511" w:rsidRDefault="00F95BEB" w:rsidP="004009CD">
      <w:pPr>
        <w:spacing w:line="240" w:lineRule="auto"/>
        <w:rPr>
          <w:rFonts w:ascii="Arial" w:hAnsi="Arial" w:cs="Arial"/>
          <w:b/>
          <w:bCs/>
          <w:color w:val="FF9900"/>
          <w:highlight w:val="yellow"/>
          <w:lang w:val="el-GR"/>
        </w:rPr>
      </w:pPr>
    </w:p>
    <w:p w14:paraId="70ACAF0D" w14:textId="25BF10B2" w:rsidR="00FF36F2" w:rsidRPr="006B5511" w:rsidRDefault="00FF36F2" w:rsidP="00352599">
      <w:pPr>
        <w:autoSpaceDE w:val="0"/>
        <w:autoSpaceDN w:val="0"/>
        <w:adjustRightInd w:val="0"/>
        <w:spacing w:after="160"/>
        <w:jc w:val="both"/>
        <w:rPr>
          <w:rFonts w:ascii="Arial" w:hAnsi="Arial" w:cs="Arial"/>
          <w:sz w:val="18"/>
          <w:highlight w:val="yellow"/>
          <w:lang w:val="el-GR"/>
        </w:rPr>
      </w:pPr>
    </w:p>
    <w:tbl>
      <w:tblPr>
        <w:tblStyle w:val="TableGrid"/>
        <w:tblW w:w="1024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1"/>
        <w:gridCol w:w="1158"/>
        <w:gridCol w:w="1562"/>
        <w:gridCol w:w="1560"/>
        <w:gridCol w:w="1420"/>
      </w:tblGrid>
      <w:tr w:rsidR="00352599" w:rsidRPr="00F931DF" w14:paraId="4673818C" w14:textId="77777777" w:rsidTr="001A1A82">
        <w:trPr>
          <w:trHeight w:val="342"/>
        </w:trPr>
        <w:tc>
          <w:tcPr>
            <w:tcW w:w="10241" w:type="dxa"/>
            <w:gridSpan w:val="5"/>
          </w:tcPr>
          <w:p w14:paraId="497C73CE" w14:textId="791B1165" w:rsidR="00532AD6" w:rsidRPr="006B5511" w:rsidRDefault="00F95BEB" w:rsidP="005C4C9A">
            <w:pPr>
              <w:ind w:right="-106"/>
              <w:jc w:val="both"/>
              <w:rPr>
                <w:rFonts w:ascii="Arial" w:hAnsi="Arial" w:cs="Arial"/>
                <w:sz w:val="18"/>
                <w:szCs w:val="18"/>
                <w:highlight w:val="yellow"/>
                <w:lang w:val="el-GR"/>
              </w:rPr>
            </w:pPr>
            <w:r w:rsidRPr="00B6499F">
              <w:rPr>
                <w:rFonts w:ascii="Arial" w:hAnsi="Arial" w:cs="Arial"/>
                <w:b/>
                <w:color w:val="FF9900"/>
                <w:sz w:val="24"/>
                <w:szCs w:val="24"/>
                <w:lang w:val="el-GR"/>
              </w:rPr>
              <w:lastRenderedPageBreak/>
              <w:t>Β. Οικονομικά Αποτελέσματα Συγκροτήματος – Υποκείμενη Βάση (συνέχεια)</w:t>
            </w:r>
          </w:p>
        </w:tc>
      </w:tr>
      <w:tr w:rsidR="00352599" w:rsidRPr="006B5511" w14:paraId="53B9DBF9" w14:textId="77777777" w:rsidTr="001A1A82">
        <w:trPr>
          <w:trHeight w:val="342"/>
        </w:trPr>
        <w:tc>
          <w:tcPr>
            <w:tcW w:w="10241" w:type="dxa"/>
            <w:gridSpan w:val="5"/>
            <w:tcBorders>
              <w:bottom w:val="single" w:sz="4" w:space="0" w:color="7F7F7F" w:themeColor="text1" w:themeTint="80"/>
            </w:tcBorders>
          </w:tcPr>
          <w:p w14:paraId="583DBE49" w14:textId="566E1328" w:rsidR="00352599" w:rsidRPr="00F95BEB" w:rsidRDefault="00F95BEB" w:rsidP="00041D74">
            <w:pPr>
              <w:rPr>
                <w:rFonts w:ascii="Arial" w:hAnsi="Arial" w:cs="Arial"/>
                <w:b/>
                <w:bCs/>
                <w:color w:val="FF9900"/>
                <w:sz w:val="22"/>
                <w:szCs w:val="22"/>
                <w:highlight w:val="yellow"/>
                <w:lang w:val="el-GR"/>
              </w:rPr>
            </w:pPr>
            <w:r w:rsidRPr="00F95BEB">
              <w:rPr>
                <w:rFonts w:ascii="Arial" w:hAnsi="Arial" w:cs="Arial"/>
                <w:b/>
                <w:color w:val="FF9900"/>
                <w:lang w:val="el-GR"/>
              </w:rPr>
              <w:t>Ενδιάμεσος Ενοποιημένος Ισολογισμός</w:t>
            </w:r>
          </w:p>
        </w:tc>
      </w:tr>
      <w:tr w:rsidR="007D7488" w:rsidRPr="006B5511" w14:paraId="25D7ECAD" w14:textId="77777777" w:rsidTr="006A1797">
        <w:trPr>
          <w:trHeight w:val="312"/>
        </w:trPr>
        <w:tc>
          <w:tcPr>
            <w:tcW w:w="5699" w:type="dxa"/>
            <w:gridSpan w:val="2"/>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1C38B70D" w14:textId="77777777" w:rsidR="007D7488" w:rsidRPr="006A1797" w:rsidRDefault="007D7488" w:rsidP="007D7488">
            <w:pPr>
              <w:rPr>
                <w:rFonts w:ascii="Arial" w:hAnsi="Arial" w:cs="Arial"/>
                <w:b/>
                <w:bCs/>
                <w:sz w:val="16"/>
                <w:szCs w:val="16"/>
              </w:rPr>
            </w:pPr>
            <w:r w:rsidRPr="006A1797">
              <w:rPr>
                <w:rFonts w:ascii="Arial" w:hAnsi="Arial" w:cs="Arial"/>
                <w:b/>
                <w:color w:val="000000"/>
                <w:sz w:val="16"/>
                <w:szCs w:val="16"/>
              </w:rPr>
              <w:t>€</w:t>
            </w:r>
            <w:r w:rsidRPr="006A1797">
              <w:rPr>
                <w:rFonts w:ascii="Arial" w:hAnsi="Arial" w:cs="Arial"/>
                <w:b/>
                <w:color w:val="000000"/>
                <w:sz w:val="16"/>
                <w:szCs w:val="16"/>
                <w:lang w:val="el-GR"/>
              </w:rPr>
              <w:t xml:space="preserve"> εκατ.</w:t>
            </w:r>
          </w:p>
        </w:tc>
        <w:tc>
          <w:tcPr>
            <w:tcW w:w="1562" w:type="dxa"/>
            <w:tcBorders>
              <w:top w:val="single" w:sz="4" w:space="0" w:color="7F7F7F" w:themeColor="text1" w:themeTint="80"/>
              <w:bottom w:val="single" w:sz="4" w:space="0" w:color="7F7F7F" w:themeColor="text1" w:themeTint="80"/>
            </w:tcBorders>
            <w:shd w:val="clear" w:color="auto" w:fill="auto"/>
            <w:vAlign w:val="center"/>
          </w:tcPr>
          <w:p w14:paraId="46D32E29" w14:textId="33A27E25" w:rsidR="007D7488" w:rsidRPr="006A1797" w:rsidRDefault="007D7488" w:rsidP="007D7488">
            <w:pPr>
              <w:jc w:val="right"/>
              <w:rPr>
                <w:rFonts w:ascii="Arial" w:hAnsi="Arial" w:cs="Arial"/>
                <w:b/>
                <w:bCs/>
                <w:sz w:val="16"/>
                <w:szCs w:val="16"/>
                <w:lang w:val="el-GR"/>
              </w:rPr>
            </w:pPr>
            <w:r w:rsidRPr="006A1797">
              <w:rPr>
                <w:rFonts w:ascii="Arial" w:hAnsi="Arial" w:cs="Arial"/>
                <w:b/>
                <w:bCs/>
                <w:sz w:val="16"/>
                <w:szCs w:val="16"/>
                <w:lang w:val="el-GR"/>
              </w:rPr>
              <w:t>30</w:t>
            </w:r>
            <w:r w:rsidRPr="006A1797">
              <w:rPr>
                <w:rFonts w:ascii="Arial" w:hAnsi="Arial" w:cs="Arial"/>
                <w:b/>
                <w:bCs/>
                <w:sz w:val="16"/>
                <w:szCs w:val="16"/>
              </w:rPr>
              <w:t>.0</w:t>
            </w:r>
            <w:r w:rsidRPr="006A1797">
              <w:rPr>
                <w:rFonts w:ascii="Arial" w:hAnsi="Arial" w:cs="Arial"/>
                <w:b/>
                <w:bCs/>
                <w:sz w:val="16"/>
                <w:szCs w:val="16"/>
                <w:lang w:val="el-GR"/>
              </w:rPr>
              <w:t>6</w:t>
            </w:r>
            <w:r w:rsidRPr="006A1797">
              <w:rPr>
                <w:rFonts w:ascii="Arial" w:hAnsi="Arial" w:cs="Arial"/>
                <w:b/>
                <w:bCs/>
                <w:sz w:val="16"/>
                <w:szCs w:val="16"/>
              </w:rPr>
              <w:t>.2024</w:t>
            </w:r>
          </w:p>
        </w:tc>
        <w:tc>
          <w:tcPr>
            <w:tcW w:w="1560" w:type="dxa"/>
            <w:tcBorders>
              <w:top w:val="single" w:sz="4" w:space="0" w:color="7F7F7F" w:themeColor="text1" w:themeTint="80"/>
              <w:bottom w:val="single" w:sz="4" w:space="0" w:color="7F7F7F" w:themeColor="text1" w:themeTint="80"/>
            </w:tcBorders>
            <w:vAlign w:val="center"/>
          </w:tcPr>
          <w:p w14:paraId="2E9EBCD4" w14:textId="353AC20E" w:rsidR="007D7488" w:rsidRPr="00CB38F0" w:rsidRDefault="007D7488" w:rsidP="007D7488">
            <w:pPr>
              <w:jc w:val="right"/>
              <w:rPr>
                <w:rFonts w:ascii="Arial" w:hAnsi="Arial" w:cs="Arial"/>
                <w:b/>
                <w:bCs/>
                <w:sz w:val="16"/>
                <w:szCs w:val="16"/>
                <w:lang w:val="el-GR"/>
              </w:rPr>
            </w:pPr>
            <w:r w:rsidRPr="00CB38F0">
              <w:rPr>
                <w:rFonts w:ascii="Arial" w:hAnsi="Arial" w:cs="Arial"/>
                <w:b/>
                <w:bCs/>
                <w:sz w:val="16"/>
                <w:szCs w:val="16"/>
                <w:lang w:val="el-GR"/>
              </w:rPr>
              <w:t>31.12.2023</w:t>
            </w:r>
          </w:p>
        </w:tc>
        <w:tc>
          <w:tcPr>
            <w:tcW w:w="1420" w:type="dxa"/>
            <w:tcBorders>
              <w:top w:val="single" w:sz="4" w:space="0" w:color="7F7F7F" w:themeColor="text1" w:themeTint="80"/>
              <w:bottom w:val="single" w:sz="4" w:space="0" w:color="7F7F7F" w:themeColor="text1" w:themeTint="80"/>
              <w:right w:val="single" w:sz="4" w:space="0" w:color="7F7F7F" w:themeColor="text1" w:themeTint="80"/>
            </w:tcBorders>
            <w:vAlign w:val="center"/>
          </w:tcPr>
          <w:p w14:paraId="1ABED401" w14:textId="0DA7CC75" w:rsidR="007D7488" w:rsidRPr="006B5511" w:rsidRDefault="007D7488" w:rsidP="006A1797">
            <w:pPr>
              <w:jc w:val="right"/>
              <w:rPr>
                <w:rFonts w:ascii="Arial" w:hAnsi="Arial" w:cs="Arial"/>
                <w:b/>
                <w:bCs/>
                <w:sz w:val="16"/>
                <w:szCs w:val="16"/>
                <w:highlight w:val="yellow"/>
              </w:rPr>
            </w:pPr>
            <w:r w:rsidRPr="00BC10AD">
              <w:rPr>
                <w:rFonts w:ascii="Arial" w:hAnsi="Arial" w:cs="Arial"/>
                <w:b/>
                <w:bCs/>
                <w:sz w:val="16"/>
                <w:szCs w:val="16"/>
                <w:u w:val="single"/>
              </w:rPr>
              <w:t>+</w:t>
            </w:r>
            <w:r w:rsidRPr="00BC10AD">
              <w:rPr>
                <w:rFonts w:ascii="Arial" w:hAnsi="Arial" w:cs="Arial"/>
                <w:b/>
                <w:bCs/>
                <w:sz w:val="16"/>
                <w:szCs w:val="16"/>
              </w:rPr>
              <w:t>%</w:t>
            </w:r>
          </w:p>
        </w:tc>
      </w:tr>
      <w:tr w:rsidR="008E7D1C" w:rsidRPr="006B5511" w14:paraId="4B5DB844" w14:textId="77777777" w:rsidTr="001A1A82">
        <w:trPr>
          <w:trHeight w:val="312"/>
        </w:trPr>
        <w:tc>
          <w:tcPr>
            <w:tcW w:w="5699" w:type="dxa"/>
            <w:gridSpan w:val="2"/>
            <w:tcBorders>
              <w:top w:val="single" w:sz="4" w:space="0" w:color="7F7F7F" w:themeColor="text1" w:themeTint="80"/>
            </w:tcBorders>
            <w:shd w:val="clear" w:color="auto" w:fill="auto"/>
            <w:vAlign w:val="center"/>
          </w:tcPr>
          <w:p w14:paraId="679F792B" w14:textId="77777777" w:rsidR="008E7D1C" w:rsidRPr="006A1797" w:rsidRDefault="008E7D1C" w:rsidP="008E7D1C">
            <w:pPr>
              <w:rPr>
                <w:rFonts w:ascii="Arial" w:hAnsi="Arial" w:cs="Arial"/>
                <w:b/>
                <w:bCs/>
                <w:sz w:val="16"/>
                <w:szCs w:val="16"/>
                <w:lang w:val="el-GR"/>
              </w:rPr>
            </w:pPr>
            <w:r w:rsidRPr="006A1797">
              <w:rPr>
                <w:rFonts w:ascii="Arial" w:hAnsi="Arial" w:cs="Arial"/>
                <w:color w:val="000000"/>
                <w:sz w:val="16"/>
                <w:szCs w:val="16"/>
                <w:lang w:val="el-GR"/>
              </w:rPr>
              <w:t>Μετρητά και καταθέσεις με κεντρικές τράπεζες</w:t>
            </w:r>
          </w:p>
        </w:tc>
        <w:tc>
          <w:tcPr>
            <w:tcW w:w="1562" w:type="dxa"/>
            <w:tcBorders>
              <w:top w:val="single" w:sz="4" w:space="0" w:color="7F7F7F" w:themeColor="text1" w:themeTint="80"/>
            </w:tcBorders>
            <w:vAlign w:val="center"/>
          </w:tcPr>
          <w:p w14:paraId="6BF85C08" w14:textId="430E2A0B" w:rsidR="008E7D1C" w:rsidRPr="006B5511" w:rsidRDefault="008E7D1C" w:rsidP="008E7D1C">
            <w:pPr>
              <w:jc w:val="right"/>
              <w:rPr>
                <w:rFonts w:ascii="Arial" w:hAnsi="Arial" w:cs="Arial"/>
                <w:b/>
                <w:bCs/>
                <w:sz w:val="16"/>
                <w:szCs w:val="16"/>
                <w:highlight w:val="yellow"/>
                <w:lang w:val="el-GR"/>
              </w:rPr>
            </w:pPr>
            <w:r w:rsidRPr="00F1342B">
              <w:rPr>
                <w:rFonts w:ascii="Arial" w:hAnsi="Arial" w:cs="Arial"/>
                <w:b/>
                <w:bCs/>
                <w:sz w:val="16"/>
                <w:szCs w:val="16"/>
              </w:rPr>
              <w:t>7,287</w:t>
            </w:r>
          </w:p>
        </w:tc>
        <w:tc>
          <w:tcPr>
            <w:tcW w:w="1560" w:type="dxa"/>
            <w:tcBorders>
              <w:top w:val="single" w:sz="4" w:space="0" w:color="7F7F7F" w:themeColor="text1" w:themeTint="80"/>
            </w:tcBorders>
            <w:vAlign w:val="center"/>
          </w:tcPr>
          <w:p w14:paraId="31EF90F3" w14:textId="11B5B3F9" w:rsidR="008E7D1C" w:rsidRPr="00CB38F0" w:rsidRDefault="008E7D1C" w:rsidP="008E7D1C">
            <w:pPr>
              <w:jc w:val="right"/>
              <w:rPr>
                <w:rFonts w:ascii="Arial" w:hAnsi="Arial" w:cs="Arial"/>
                <w:b/>
                <w:bCs/>
                <w:sz w:val="16"/>
                <w:szCs w:val="16"/>
              </w:rPr>
            </w:pPr>
            <w:r w:rsidRPr="00CB38F0">
              <w:rPr>
                <w:rFonts w:ascii="Arial" w:hAnsi="Arial" w:cs="Arial"/>
                <w:b/>
                <w:bCs/>
                <w:sz w:val="16"/>
                <w:szCs w:val="16"/>
              </w:rPr>
              <w:t>9,615</w:t>
            </w:r>
          </w:p>
        </w:tc>
        <w:tc>
          <w:tcPr>
            <w:tcW w:w="1420" w:type="dxa"/>
            <w:tcBorders>
              <w:top w:val="single" w:sz="4" w:space="0" w:color="7F7F7F" w:themeColor="text1" w:themeTint="80"/>
            </w:tcBorders>
            <w:vAlign w:val="center"/>
          </w:tcPr>
          <w:p w14:paraId="4E987F70" w14:textId="04E81D63" w:rsidR="008E7D1C" w:rsidRPr="006B5511" w:rsidRDefault="008E7D1C" w:rsidP="008E7D1C">
            <w:pPr>
              <w:jc w:val="right"/>
              <w:rPr>
                <w:rFonts w:ascii="Arial" w:hAnsi="Arial" w:cs="Arial"/>
                <w:sz w:val="16"/>
                <w:szCs w:val="16"/>
                <w:highlight w:val="yellow"/>
              </w:rPr>
            </w:pPr>
            <w:r w:rsidRPr="00BC10AD">
              <w:rPr>
                <w:rFonts w:ascii="Arial" w:hAnsi="Arial" w:cs="Arial"/>
                <w:sz w:val="16"/>
                <w:szCs w:val="16"/>
              </w:rPr>
              <w:t>-24%</w:t>
            </w:r>
          </w:p>
        </w:tc>
      </w:tr>
      <w:tr w:rsidR="008E7D1C" w:rsidRPr="006B5511" w14:paraId="7A48C015" w14:textId="77777777" w:rsidTr="001A1A82">
        <w:trPr>
          <w:trHeight w:val="312"/>
        </w:trPr>
        <w:tc>
          <w:tcPr>
            <w:tcW w:w="5699" w:type="dxa"/>
            <w:gridSpan w:val="2"/>
            <w:shd w:val="clear" w:color="auto" w:fill="auto"/>
            <w:vAlign w:val="center"/>
          </w:tcPr>
          <w:p w14:paraId="6572D49B" w14:textId="77777777" w:rsidR="008E7D1C" w:rsidRPr="006A1797" w:rsidRDefault="008E7D1C" w:rsidP="008E7D1C">
            <w:pPr>
              <w:rPr>
                <w:rFonts w:ascii="Arial" w:hAnsi="Arial" w:cs="Arial"/>
                <w:b/>
                <w:bCs/>
                <w:sz w:val="16"/>
                <w:szCs w:val="16"/>
                <w:lang w:val="el-GR"/>
              </w:rPr>
            </w:pPr>
            <w:r w:rsidRPr="006A1797">
              <w:rPr>
                <w:rFonts w:ascii="Arial" w:hAnsi="Arial" w:cs="Arial"/>
                <w:color w:val="000000"/>
                <w:sz w:val="16"/>
                <w:szCs w:val="16"/>
                <w:lang w:val="el-GR"/>
              </w:rPr>
              <w:t>Δάνεια και απαιτήσεις σε τράπεζες</w:t>
            </w:r>
          </w:p>
        </w:tc>
        <w:tc>
          <w:tcPr>
            <w:tcW w:w="1562" w:type="dxa"/>
            <w:vAlign w:val="center"/>
          </w:tcPr>
          <w:p w14:paraId="0153183A" w14:textId="6567075C" w:rsidR="008E7D1C" w:rsidRPr="006B5511" w:rsidRDefault="008E7D1C" w:rsidP="008E7D1C">
            <w:pPr>
              <w:jc w:val="right"/>
              <w:rPr>
                <w:rFonts w:ascii="Arial" w:hAnsi="Arial" w:cs="Arial"/>
                <w:b/>
                <w:bCs/>
                <w:sz w:val="16"/>
                <w:szCs w:val="16"/>
                <w:highlight w:val="yellow"/>
                <w:lang w:val="el-GR"/>
              </w:rPr>
            </w:pPr>
            <w:r w:rsidRPr="00F1342B">
              <w:rPr>
                <w:rFonts w:ascii="Arial" w:hAnsi="Arial" w:cs="Arial"/>
                <w:b/>
                <w:bCs/>
                <w:sz w:val="16"/>
                <w:szCs w:val="16"/>
              </w:rPr>
              <w:t>384</w:t>
            </w:r>
          </w:p>
        </w:tc>
        <w:tc>
          <w:tcPr>
            <w:tcW w:w="1560" w:type="dxa"/>
            <w:vAlign w:val="center"/>
          </w:tcPr>
          <w:p w14:paraId="6BD51B58" w14:textId="209549EB" w:rsidR="008E7D1C" w:rsidRPr="00CB38F0" w:rsidRDefault="008E7D1C" w:rsidP="008E7D1C">
            <w:pPr>
              <w:jc w:val="right"/>
              <w:rPr>
                <w:rFonts w:ascii="Arial" w:hAnsi="Arial" w:cs="Arial"/>
                <w:b/>
                <w:bCs/>
                <w:sz w:val="16"/>
                <w:szCs w:val="16"/>
              </w:rPr>
            </w:pPr>
            <w:r w:rsidRPr="00CB38F0">
              <w:rPr>
                <w:rFonts w:ascii="Arial" w:hAnsi="Arial" w:cs="Arial"/>
                <w:b/>
                <w:bCs/>
                <w:sz w:val="16"/>
                <w:szCs w:val="16"/>
              </w:rPr>
              <w:t>385</w:t>
            </w:r>
          </w:p>
        </w:tc>
        <w:tc>
          <w:tcPr>
            <w:tcW w:w="1420" w:type="dxa"/>
            <w:vAlign w:val="center"/>
          </w:tcPr>
          <w:p w14:paraId="6986FA99" w14:textId="50250514" w:rsidR="008E7D1C" w:rsidRPr="006B5511" w:rsidRDefault="008E7D1C" w:rsidP="008E7D1C">
            <w:pPr>
              <w:jc w:val="right"/>
              <w:rPr>
                <w:rFonts w:ascii="Arial" w:hAnsi="Arial" w:cs="Arial"/>
                <w:sz w:val="16"/>
                <w:szCs w:val="16"/>
                <w:highlight w:val="yellow"/>
              </w:rPr>
            </w:pPr>
            <w:r w:rsidRPr="00BC10AD">
              <w:rPr>
                <w:rFonts w:ascii="Arial" w:hAnsi="Arial" w:cs="Arial"/>
                <w:sz w:val="16"/>
                <w:szCs w:val="16"/>
              </w:rPr>
              <w:t>0%</w:t>
            </w:r>
          </w:p>
        </w:tc>
      </w:tr>
      <w:tr w:rsidR="008E7D1C" w:rsidRPr="006B5511" w14:paraId="1175F89C" w14:textId="77777777" w:rsidTr="001A1A82">
        <w:trPr>
          <w:trHeight w:val="312"/>
        </w:trPr>
        <w:tc>
          <w:tcPr>
            <w:tcW w:w="5699" w:type="dxa"/>
            <w:gridSpan w:val="2"/>
            <w:shd w:val="clear" w:color="auto" w:fill="auto"/>
            <w:vAlign w:val="center"/>
          </w:tcPr>
          <w:p w14:paraId="7A54DD75" w14:textId="2E832A76" w:rsidR="008E7D1C" w:rsidRPr="006A1797" w:rsidRDefault="008E7D1C" w:rsidP="008E7D1C">
            <w:pPr>
              <w:rPr>
                <w:rFonts w:ascii="Arial" w:hAnsi="Arial" w:cs="Arial"/>
                <w:color w:val="000000"/>
                <w:sz w:val="16"/>
                <w:szCs w:val="16"/>
                <w:lang w:val="el-GR"/>
              </w:rPr>
            </w:pPr>
            <w:r w:rsidRPr="006A1797">
              <w:rPr>
                <w:rFonts w:ascii="Arial" w:hAnsi="Arial" w:cs="Arial"/>
                <w:color w:val="262626"/>
                <w:sz w:val="18"/>
                <w:szCs w:val="18"/>
                <w:lang w:val="el-GR"/>
              </w:rPr>
              <w:t>Συμφωνίες επαναπώλησης</w:t>
            </w:r>
          </w:p>
        </w:tc>
        <w:tc>
          <w:tcPr>
            <w:tcW w:w="1562" w:type="dxa"/>
            <w:vAlign w:val="center"/>
          </w:tcPr>
          <w:p w14:paraId="24C0C0ED" w14:textId="4834CF2F" w:rsidR="008E7D1C" w:rsidRPr="006B5511" w:rsidRDefault="008E7D1C" w:rsidP="008E7D1C">
            <w:pPr>
              <w:jc w:val="right"/>
              <w:rPr>
                <w:rFonts w:ascii="Arial" w:hAnsi="Arial" w:cs="Arial"/>
                <w:b/>
                <w:bCs/>
                <w:sz w:val="16"/>
                <w:szCs w:val="16"/>
                <w:highlight w:val="yellow"/>
              </w:rPr>
            </w:pPr>
            <w:r w:rsidRPr="00F1342B">
              <w:rPr>
                <w:rFonts w:ascii="Arial" w:hAnsi="Arial" w:cs="Arial"/>
                <w:b/>
                <w:bCs/>
                <w:sz w:val="16"/>
                <w:szCs w:val="16"/>
              </w:rPr>
              <w:t>1,015</w:t>
            </w:r>
          </w:p>
        </w:tc>
        <w:tc>
          <w:tcPr>
            <w:tcW w:w="1560" w:type="dxa"/>
            <w:vAlign w:val="center"/>
          </w:tcPr>
          <w:p w14:paraId="11B5FB79" w14:textId="540D93D8" w:rsidR="008E7D1C" w:rsidRPr="00CB38F0" w:rsidRDefault="008E7D1C" w:rsidP="008E7D1C">
            <w:pPr>
              <w:jc w:val="right"/>
              <w:rPr>
                <w:rFonts w:ascii="Arial" w:hAnsi="Arial" w:cs="Arial"/>
                <w:b/>
                <w:bCs/>
                <w:sz w:val="16"/>
                <w:szCs w:val="16"/>
              </w:rPr>
            </w:pPr>
            <w:r w:rsidRPr="00CB38F0">
              <w:rPr>
                <w:rFonts w:ascii="Arial" w:hAnsi="Arial" w:cs="Arial"/>
                <w:b/>
                <w:bCs/>
                <w:sz w:val="16"/>
                <w:szCs w:val="16"/>
              </w:rPr>
              <w:t>403</w:t>
            </w:r>
          </w:p>
        </w:tc>
        <w:tc>
          <w:tcPr>
            <w:tcW w:w="1420" w:type="dxa"/>
            <w:vAlign w:val="center"/>
          </w:tcPr>
          <w:p w14:paraId="0D7D0D5A" w14:textId="07261FAE" w:rsidR="008E7D1C" w:rsidRPr="006B5511" w:rsidRDefault="008E7D1C" w:rsidP="008E7D1C">
            <w:pPr>
              <w:jc w:val="right"/>
              <w:rPr>
                <w:rFonts w:ascii="Arial" w:hAnsi="Arial" w:cs="Arial"/>
                <w:sz w:val="16"/>
                <w:szCs w:val="16"/>
                <w:highlight w:val="yellow"/>
              </w:rPr>
            </w:pPr>
            <w:r w:rsidRPr="00BC10AD">
              <w:rPr>
                <w:rFonts w:ascii="Arial" w:hAnsi="Arial" w:cs="Arial"/>
                <w:sz w:val="16"/>
                <w:szCs w:val="16"/>
              </w:rPr>
              <w:t>152%</w:t>
            </w:r>
          </w:p>
        </w:tc>
      </w:tr>
      <w:tr w:rsidR="008E7D1C" w:rsidRPr="006B5511" w14:paraId="0B5CCA1F" w14:textId="77777777" w:rsidTr="001A1A82">
        <w:trPr>
          <w:trHeight w:val="312"/>
        </w:trPr>
        <w:tc>
          <w:tcPr>
            <w:tcW w:w="5699" w:type="dxa"/>
            <w:gridSpan w:val="2"/>
            <w:shd w:val="clear" w:color="auto" w:fill="auto"/>
            <w:vAlign w:val="center"/>
          </w:tcPr>
          <w:p w14:paraId="53FDD32C" w14:textId="77777777" w:rsidR="008E7D1C" w:rsidRPr="006A1797" w:rsidRDefault="008E7D1C" w:rsidP="008E7D1C">
            <w:pPr>
              <w:rPr>
                <w:rFonts w:ascii="Arial" w:hAnsi="Arial" w:cs="Arial"/>
                <w:b/>
                <w:bCs/>
                <w:sz w:val="16"/>
                <w:szCs w:val="16"/>
                <w:lang w:val="el-GR"/>
              </w:rPr>
            </w:pPr>
            <w:r w:rsidRPr="006A1797">
              <w:rPr>
                <w:rFonts w:ascii="Arial" w:hAnsi="Arial" w:cs="Arial"/>
                <w:color w:val="000000"/>
                <w:sz w:val="16"/>
                <w:szCs w:val="16"/>
                <w:lang w:val="el-GR"/>
              </w:rPr>
              <w:t>Ομόλογα, κρατικά αξιόγραφα και μετοχές</w:t>
            </w:r>
          </w:p>
        </w:tc>
        <w:tc>
          <w:tcPr>
            <w:tcW w:w="1562" w:type="dxa"/>
            <w:vAlign w:val="center"/>
          </w:tcPr>
          <w:p w14:paraId="4B9B2E67" w14:textId="1CD43237" w:rsidR="008E7D1C" w:rsidRPr="006B5511" w:rsidRDefault="008E7D1C" w:rsidP="008E7D1C">
            <w:pPr>
              <w:jc w:val="right"/>
              <w:rPr>
                <w:rFonts w:ascii="Arial" w:hAnsi="Arial" w:cs="Arial"/>
                <w:b/>
                <w:bCs/>
                <w:sz w:val="16"/>
                <w:szCs w:val="16"/>
                <w:highlight w:val="yellow"/>
                <w:lang w:val="el-GR"/>
              </w:rPr>
            </w:pPr>
            <w:r w:rsidRPr="00F1342B">
              <w:rPr>
                <w:rFonts w:ascii="Arial" w:hAnsi="Arial" w:cs="Arial"/>
                <w:b/>
                <w:bCs/>
                <w:sz w:val="16"/>
                <w:szCs w:val="16"/>
              </w:rPr>
              <w:t>3,959</w:t>
            </w:r>
          </w:p>
        </w:tc>
        <w:tc>
          <w:tcPr>
            <w:tcW w:w="1560" w:type="dxa"/>
            <w:vAlign w:val="center"/>
          </w:tcPr>
          <w:p w14:paraId="1B500315" w14:textId="23FEC776" w:rsidR="008E7D1C" w:rsidRPr="00CB38F0" w:rsidRDefault="008E7D1C" w:rsidP="008E7D1C">
            <w:pPr>
              <w:jc w:val="right"/>
              <w:rPr>
                <w:rFonts w:ascii="Arial" w:hAnsi="Arial" w:cs="Arial"/>
                <w:b/>
                <w:bCs/>
                <w:sz w:val="16"/>
                <w:szCs w:val="16"/>
              </w:rPr>
            </w:pPr>
            <w:r w:rsidRPr="00CB38F0">
              <w:rPr>
                <w:rFonts w:ascii="Arial" w:hAnsi="Arial" w:cs="Arial"/>
                <w:b/>
                <w:bCs/>
                <w:sz w:val="16"/>
                <w:szCs w:val="16"/>
              </w:rPr>
              <w:t>3,695</w:t>
            </w:r>
          </w:p>
        </w:tc>
        <w:tc>
          <w:tcPr>
            <w:tcW w:w="1420" w:type="dxa"/>
            <w:vAlign w:val="center"/>
          </w:tcPr>
          <w:p w14:paraId="6792F20D" w14:textId="28F392EF" w:rsidR="008E7D1C" w:rsidRPr="006B5511" w:rsidRDefault="008E7D1C" w:rsidP="008E7D1C">
            <w:pPr>
              <w:jc w:val="right"/>
              <w:rPr>
                <w:rFonts w:ascii="Arial" w:hAnsi="Arial" w:cs="Arial"/>
                <w:sz w:val="16"/>
                <w:szCs w:val="16"/>
                <w:highlight w:val="yellow"/>
              </w:rPr>
            </w:pPr>
            <w:r w:rsidRPr="00BC10AD">
              <w:rPr>
                <w:rFonts w:ascii="Arial" w:hAnsi="Arial" w:cs="Arial"/>
                <w:sz w:val="16"/>
                <w:szCs w:val="16"/>
              </w:rPr>
              <w:t>7%</w:t>
            </w:r>
          </w:p>
        </w:tc>
      </w:tr>
      <w:tr w:rsidR="008E7D1C" w:rsidRPr="006B5511" w14:paraId="71D76731" w14:textId="77777777" w:rsidTr="001A1A82">
        <w:trPr>
          <w:trHeight w:val="312"/>
        </w:trPr>
        <w:tc>
          <w:tcPr>
            <w:tcW w:w="5699" w:type="dxa"/>
            <w:gridSpan w:val="2"/>
            <w:shd w:val="clear" w:color="auto" w:fill="auto"/>
            <w:vAlign w:val="center"/>
          </w:tcPr>
          <w:p w14:paraId="01C2C23C" w14:textId="77777777" w:rsidR="008E7D1C" w:rsidRPr="006A1797" w:rsidRDefault="008E7D1C" w:rsidP="008E7D1C">
            <w:pPr>
              <w:rPr>
                <w:rFonts w:ascii="Arial" w:hAnsi="Arial" w:cs="Arial"/>
                <w:b/>
                <w:bCs/>
                <w:sz w:val="16"/>
                <w:szCs w:val="16"/>
                <w:lang w:val="el-GR"/>
              </w:rPr>
            </w:pPr>
            <w:r w:rsidRPr="006A1797">
              <w:rPr>
                <w:rFonts w:ascii="Arial" w:hAnsi="Arial" w:cs="Arial"/>
                <w:color w:val="000000"/>
                <w:sz w:val="16"/>
                <w:szCs w:val="16"/>
                <w:lang w:val="el-GR"/>
              </w:rPr>
              <w:t>Καθαρά δάνεια και απαιτήσεις από πελάτες</w:t>
            </w:r>
          </w:p>
        </w:tc>
        <w:tc>
          <w:tcPr>
            <w:tcW w:w="1562" w:type="dxa"/>
            <w:vAlign w:val="center"/>
          </w:tcPr>
          <w:p w14:paraId="27A22967" w14:textId="1A490FC4" w:rsidR="008E7D1C" w:rsidRPr="006B5511" w:rsidRDefault="008E7D1C" w:rsidP="008E7D1C">
            <w:pPr>
              <w:jc w:val="right"/>
              <w:rPr>
                <w:rFonts w:ascii="Arial" w:hAnsi="Arial" w:cs="Arial"/>
                <w:b/>
                <w:bCs/>
                <w:sz w:val="16"/>
                <w:szCs w:val="16"/>
                <w:highlight w:val="yellow"/>
                <w:lang w:val="el-GR"/>
              </w:rPr>
            </w:pPr>
            <w:r w:rsidRPr="00F1342B">
              <w:rPr>
                <w:rFonts w:ascii="Arial" w:hAnsi="Arial" w:cs="Arial"/>
                <w:b/>
                <w:bCs/>
                <w:sz w:val="16"/>
                <w:szCs w:val="16"/>
              </w:rPr>
              <w:t>10,085</w:t>
            </w:r>
          </w:p>
        </w:tc>
        <w:tc>
          <w:tcPr>
            <w:tcW w:w="1560" w:type="dxa"/>
            <w:vAlign w:val="center"/>
          </w:tcPr>
          <w:p w14:paraId="131B1157" w14:textId="284C0EA9" w:rsidR="008E7D1C" w:rsidRPr="00CB38F0" w:rsidRDefault="008E7D1C" w:rsidP="008E7D1C">
            <w:pPr>
              <w:jc w:val="right"/>
              <w:rPr>
                <w:rFonts w:ascii="Arial" w:hAnsi="Arial" w:cs="Arial"/>
                <w:b/>
                <w:bCs/>
                <w:sz w:val="16"/>
                <w:szCs w:val="16"/>
              </w:rPr>
            </w:pPr>
            <w:r w:rsidRPr="00CB38F0">
              <w:rPr>
                <w:rFonts w:ascii="Arial" w:hAnsi="Arial" w:cs="Arial"/>
                <w:b/>
                <w:bCs/>
                <w:sz w:val="16"/>
                <w:szCs w:val="16"/>
              </w:rPr>
              <w:t>9,822</w:t>
            </w:r>
          </w:p>
        </w:tc>
        <w:tc>
          <w:tcPr>
            <w:tcW w:w="1420" w:type="dxa"/>
            <w:vAlign w:val="center"/>
          </w:tcPr>
          <w:p w14:paraId="1074F493" w14:textId="7BA5403A" w:rsidR="008E7D1C" w:rsidRPr="006B5511" w:rsidRDefault="008E7D1C" w:rsidP="008E7D1C">
            <w:pPr>
              <w:jc w:val="right"/>
              <w:rPr>
                <w:rFonts w:ascii="Arial" w:hAnsi="Arial" w:cs="Arial"/>
                <w:sz w:val="16"/>
                <w:szCs w:val="16"/>
                <w:highlight w:val="yellow"/>
              </w:rPr>
            </w:pPr>
            <w:r w:rsidRPr="00BC10AD">
              <w:rPr>
                <w:rFonts w:ascii="Arial" w:hAnsi="Arial" w:cs="Arial"/>
                <w:sz w:val="16"/>
                <w:szCs w:val="16"/>
              </w:rPr>
              <w:t>3%</w:t>
            </w:r>
          </w:p>
        </w:tc>
      </w:tr>
      <w:tr w:rsidR="008E7D1C" w:rsidRPr="006B5511" w14:paraId="5F43C403" w14:textId="77777777" w:rsidTr="001A1A82">
        <w:trPr>
          <w:trHeight w:val="312"/>
        </w:trPr>
        <w:tc>
          <w:tcPr>
            <w:tcW w:w="5699" w:type="dxa"/>
            <w:gridSpan w:val="2"/>
            <w:shd w:val="clear" w:color="auto" w:fill="auto"/>
            <w:vAlign w:val="center"/>
          </w:tcPr>
          <w:p w14:paraId="6F9EC10D" w14:textId="77777777" w:rsidR="008E7D1C" w:rsidRPr="006A1797" w:rsidRDefault="008E7D1C" w:rsidP="008E7D1C">
            <w:pPr>
              <w:rPr>
                <w:rFonts w:ascii="Arial" w:hAnsi="Arial" w:cs="Arial"/>
                <w:b/>
                <w:bCs/>
                <w:sz w:val="16"/>
                <w:szCs w:val="16"/>
              </w:rPr>
            </w:pPr>
            <w:r w:rsidRPr="006A1797">
              <w:rPr>
                <w:rFonts w:ascii="Arial" w:hAnsi="Arial" w:cs="Arial"/>
                <w:color w:val="000000"/>
                <w:sz w:val="16"/>
                <w:szCs w:val="16"/>
              </w:rPr>
              <w:t>Αποθέματα ακινήτων</w:t>
            </w:r>
          </w:p>
        </w:tc>
        <w:tc>
          <w:tcPr>
            <w:tcW w:w="1562" w:type="dxa"/>
            <w:vAlign w:val="center"/>
          </w:tcPr>
          <w:p w14:paraId="38611279" w14:textId="7CDC7797" w:rsidR="008E7D1C" w:rsidRPr="006B5511" w:rsidRDefault="008E7D1C" w:rsidP="008E7D1C">
            <w:pPr>
              <w:jc w:val="right"/>
              <w:rPr>
                <w:rFonts w:ascii="Arial" w:hAnsi="Arial" w:cs="Arial"/>
                <w:b/>
                <w:bCs/>
                <w:sz w:val="16"/>
                <w:szCs w:val="16"/>
                <w:highlight w:val="yellow"/>
              </w:rPr>
            </w:pPr>
            <w:r w:rsidRPr="00F1342B">
              <w:rPr>
                <w:rFonts w:ascii="Arial" w:hAnsi="Arial" w:cs="Arial"/>
                <w:b/>
                <w:bCs/>
                <w:sz w:val="16"/>
                <w:szCs w:val="16"/>
              </w:rPr>
              <w:t>76</w:t>
            </w:r>
            <w:r>
              <w:rPr>
                <w:rFonts w:ascii="Arial" w:hAnsi="Arial" w:cs="Arial"/>
                <w:b/>
                <w:bCs/>
                <w:sz w:val="16"/>
                <w:szCs w:val="16"/>
              </w:rPr>
              <w:t>4</w:t>
            </w:r>
          </w:p>
        </w:tc>
        <w:tc>
          <w:tcPr>
            <w:tcW w:w="1560" w:type="dxa"/>
            <w:vAlign w:val="center"/>
          </w:tcPr>
          <w:p w14:paraId="7F0E8472" w14:textId="14425760" w:rsidR="008E7D1C" w:rsidRPr="00CB38F0" w:rsidRDefault="008E7D1C" w:rsidP="008E7D1C">
            <w:pPr>
              <w:jc w:val="right"/>
              <w:rPr>
                <w:rFonts w:ascii="Arial" w:hAnsi="Arial" w:cs="Arial"/>
                <w:b/>
                <w:bCs/>
                <w:sz w:val="16"/>
                <w:szCs w:val="16"/>
              </w:rPr>
            </w:pPr>
            <w:r w:rsidRPr="00CB38F0">
              <w:rPr>
                <w:rFonts w:ascii="Arial" w:hAnsi="Arial" w:cs="Arial"/>
                <w:b/>
                <w:bCs/>
                <w:sz w:val="16"/>
                <w:szCs w:val="16"/>
              </w:rPr>
              <w:t>826</w:t>
            </w:r>
          </w:p>
        </w:tc>
        <w:tc>
          <w:tcPr>
            <w:tcW w:w="1420" w:type="dxa"/>
            <w:vAlign w:val="center"/>
          </w:tcPr>
          <w:p w14:paraId="6AFBF71B" w14:textId="5687A105" w:rsidR="008E7D1C" w:rsidRPr="006B5511" w:rsidRDefault="008E7D1C" w:rsidP="008E7D1C">
            <w:pPr>
              <w:jc w:val="right"/>
              <w:rPr>
                <w:rFonts w:ascii="Arial" w:hAnsi="Arial" w:cs="Arial"/>
                <w:sz w:val="16"/>
                <w:szCs w:val="16"/>
                <w:highlight w:val="yellow"/>
              </w:rPr>
            </w:pPr>
            <w:r w:rsidRPr="00BC10AD">
              <w:rPr>
                <w:rFonts w:ascii="Arial" w:hAnsi="Arial" w:cs="Arial"/>
                <w:sz w:val="16"/>
                <w:szCs w:val="16"/>
              </w:rPr>
              <w:t>-</w:t>
            </w:r>
            <w:r>
              <w:rPr>
                <w:rFonts w:ascii="Arial" w:hAnsi="Arial" w:cs="Arial"/>
                <w:sz w:val="16"/>
                <w:szCs w:val="16"/>
              </w:rPr>
              <w:t>8</w:t>
            </w:r>
            <w:r w:rsidRPr="00BC10AD">
              <w:rPr>
                <w:rFonts w:ascii="Arial" w:hAnsi="Arial" w:cs="Arial"/>
                <w:sz w:val="16"/>
                <w:szCs w:val="16"/>
              </w:rPr>
              <w:t>%</w:t>
            </w:r>
          </w:p>
        </w:tc>
      </w:tr>
      <w:tr w:rsidR="008E7D1C" w:rsidRPr="006B5511" w14:paraId="12F4A9C4" w14:textId="77777777" w:rsidTr="001A1A82">
        <w:trPr>
          <w:trHeight w:val="312"/>
        </w:trPr>
        <w:tc>
          <w:tcPr>
            <w:tcW w:w="5699" w:type="dxa"/>
            <w:gridSpan w:val="2"/>
            <w:shd w:val="clear" w:color="auto" w:fill="auto"/>
            <w:vAlign w:val="center"/>
          </w:tcPr>
          <w:p w14:paraId="45C39502" w14:textId="77777777" w:rsidR="008E7D1C" w:rsidRPr="006A1797" w:rsidRDefault="008E7D1C" w:rsidP="008E7D1C">
            <w:pPr>
              <w:rPr>
                <w:rFonts w:ascii="Arial" w:hAnsi="Arial" w:cs="Arial"/>
                <w:b/>
                <w:bCs/>
                <w:sz w:val="16"/>
                <w:szCs w:val="16"/>
              </w:rPr>
            </w:pPr>
            <w:r w:rsidRPr="006A1797">
              <w:rPr>
                <w:rFonts w:ascii="Arial" w:hAnsi="Arial" w:cs="Arial"/>
                <w:sz w:val="16"/>
                <w:szCs w:val="16"/>
              </w:rPr>
              <w:t>Επενδύσεις σε ακίνητα</w:t>
            </w:r>
          </w:p>
        </w:tc>
        <w:tc>
          <w:tcPr>
            <w:tcW w:w="1562" w:type="dxa"/>
            <w:vAlign w:val="center"/>
          </w:tcPr>
          <w:p w14:paraId="7B385978" w14:textId="27D5FDCC" w:rsidR="008E7D1C" w:rsidRPr="006B5511" w:rsidRDefault="008E7D1C" w:rsidP="008E7D1C">
            <w:pPr>
              <w:jc w:val="right"/>
              <w:rPr>
                <w:rFonts w:ascii="Arial" w:hAnsi="Arial" w:cs="Arial"/>
                <w:b/>
                <w:bCs/>
                <w:sz w:val="16"/>
                <w:szCs w:val="16"/>
                <w:highlight w:val="yellow"/>
              </w:rPr>
            </w:pPr>
            <w:r w:rsidRPr="00F1342B">
              <w:rPr>
                <w:rFonts w:ascii="Arial" w:hAnsi="Arial" w:cs="Arial"/>
                <w:b/>
                <w:bCs/>
                <w:sz w:val="16"/>
                <w:szCs w:val="16"/>
              </w:rPr>
              <w:t>56</w:t>
            </w:r>
          </w:p>
        </w:tc>
        <w:tc>
          <w:tcPr>
            <w:tcW w:w="1560" w:type="dxa"/>
            <w:vAlign w:val="center"/>
          </w:tcPr>
          <w:p w14:paraId="3BCD5870" w14:textId="268E6F71" w:rsidR="008E7D1C" w:rsidRPr="00CB38F0" w:rsidRDefault="008E7D1C" w:rsidP="008E7D1C">
            <w:pPr>
              <w:jc w:val="right"/>
              <w:rPr>
                <w:rFonts w:ascii="Arial" w:hAnsi="Arial" w:cs="Arial"/>
                <w:sz w:val="16"/>
                <w:szCs w:val="16"/>
              </w:rPr>
            </w:pPr>
            <w:r w:rsidRPr="00CB38F0">
              <w:rPr>
                <w:rFonts w:ascii="Arial" w:hAnsi="Arial" w:cs="Arial"/>
                <w:b/>
                <w:bCs/>
                <w:sz w:val="16"/>
                <w:szCs w:val="16"/>
              </w:rPr>
              <w:t>62</w:t>
            </w:r>
          </w:p>
        </w:tc>
        <w:tc>
          <w:tcPr>
            <w:tcW w:w="1420" w:type="dxa"/>
            <w:vAlign w:val="center"/>
          </w:tcPr>
          <w:p w14:paraId="4FC6A6AA" w14:textId="6DB4CD57" w:rsidR="008E7D1C" w:rsidRPr="006B5511" w:rsidRDefault="008E7D1C" w:rsidP="008E7D1C">
            <w:pPr>
              <w:jc w:val="right"/>
              <w:rPr>
                <w:rFonts w:ascii="Arial" w:hAnsi="Arial" w:cs="Arial"/>
                <w:sz w:val="16"/>
                <w:szCs w:val="16"/>
                <w:highlight w:val="yellow"/>
              </w:rPr>
            </w:pPr>
            <w:r w:rsidRPr="00BC10AD">
              <w:rPr>
                <w:rFonts w:ascii="Arial" w:hAnsi="Arial" w:cs="Arial"/>
                <w:sz w:val="16"/>
                <w:szCs w:val="16"/>
              </w:rPr>
              <w:t>-10%</w:t>
            </w:r>
          </w:p>
        </w:tc>
      </w:tr>
      <w:tr w:rsidR="008E7D1C" w:rsidRPr="006B5511" w14:paraId="130A6874" w14:textId="77777777" w:rsidTr="001A1A82">
        <w:trPr>
          <w:trHeight w:val="312"/>
        </w:trPr>
        <w:tc>
          <w:tcPr>
            <w:tcW w:w="5699" w:type="dxa"/>
            <w:gridSpan w:val="2"/>
            <w:shd w:val="clear" w:color="auto" w:fill="auto"/>
            <w:vAlign w:val="center"/>
          </w:tcPr>
          <w:p w14:paraId="4F218E28" w14:textId="77777777" w:rsidR="008E7D1C" w:rsidRPr="006A1797" w:rsidRDefault="008E7D1C" w:rsidP="008E7D1C">
            <w:pPr>
              <w:rPr>
                <w:rFonts w:ascii="Arial" w:hAnsi="Arial" w:cs="Arial"/>
                <w:b/>
                <w:bCs/>
                <w:sz w:val="16"/>
                <w:szCs w:val="16"/>
              </w:rPr>
            </w:pPr>
            <w:r w:rsidRPr="006A1797">
              <w:rPr>
                <w:rFonts w:ascii="Arial" w:hAnsi="Arial" w:cs="Arial"/>
                <w:color w:val="000000"/>
                <w:sz w:val="16"/>
                <w:szCs w:val="16"/>
                <w:lang w:val="el-GR"/>
              </w:rPr>
              <w:t>Λοιπά περιουσιακά στοιχεία</w:t>
            </w:r>
          </w:p>
        </w:tc>
        <w:tc>
          <w:tcPr>
            <w:tcW w:w="1562" w:type="dxa"/>
            <w:vAlign w:val="center"/>
          </w:tcPr>
          <w:p w14:paraId="55577916" w14:textId="6D7BE34E" w:rsidR="008E7D1C" w:rsidRPr="006B5511" w:rsidRDefault="008E7D1C" w:rsidP="008E7D1C">
            <w:pPr>
              <w:jc w:val="right"/>
              <w:rPr>
                <w:rFonts w:ascii="Arial" w:hAnsi="Arial" w:cs="Arial"/>
                <w:b/>
                <w:bCs/>
                <w:sz w:val="16"/>
                <w:szCs w:val="16"/>
                <w:highlight w:val="yellow"/>
              </w:rPr>
            </w:pPr>
            <w:r w:rsidRPr="00F1342B">
              <w:rPr>
                <w:rFonts w:ascii="Arial" w:hAnsi="Arial" w:cs="Arial"/>
                <w:b/>
                <w:bCs/>
                <w:sz w:val="16"/>
                <w:szCs w:val="16"/>
              </w:rPr>
              <w:t>1,9</w:t>
            </w:r>
            <w:r>
              <w:rPr>
                <w:rFonts w:ascii="Arial" w:hAnsi="Arial" w:cs="Arial"/>
                <w:b/>
                <w:bCs/>
                <w:sz w:val="16"/>
                <w:szCs w:val="16"/>
              </w:rPr>
              <w:t>16</w:t>
            </w:r>
          </w:p>
        </w:tc>
        <w:tc>
          <w:tcPr>
            <w:tcW w:w="1560" w:type="dxa"/>
            <w:vAlign w:val="center"/>
          </w:tcPr>
          <w:p w14:paraId="17CD11B1" w14:textId="1A0D665E" w:rsidR="008E7D1C" w:rsidRPr="00CB38F0" w:rsidRDefault="008E7D1C" w:rsidP="008E7D1C">
            <w:pPr>
              <w:jc w:val="right"/>
              <w:rPr>
                <w:rFonts w:ascii="Arial" w:hAnsi="Arial" w:cs="Arial"/>
                <w:b/>
                <w:bCs/>
                <w:sz w:val="16"/>
                <w:szCs w:val="16"/>
              </w:rPr>
            </w:pPr>
            <w:r w:rsidRPr="00CB38F0">
              <w:rPr>
                <w:rFonts w:ascii="Arial" w:hAnsi="Arial" w:cs="Arial"/>
                <w:b/>
                <w:bCs/>
                <w:sz w:val="16"/>
                <w:szCs w:val="16"/>
              </w:rPr>
              <w:t>1,821</w:t>
            </w:r>
          </w:p>
        </w:tc>
        <w:tc>
          <w:tcPr>
            <w:tcW w:w="1420" w:type="dxa"/>
            <w:vAlign w:val="center"/>
          </w:tcPr>
          <w:p w14:paraId="312C7ED4" w14:textId="122298F1" w:rsidR="008E7D1C" w:rsidRPr="006B5511" w:rsidRDefault="008E7D1C" w:rsidP="008E7D1C">
            <w:pPr>
              <w:jc w:val="right"/>
              <w:rPr>
                <w:rFonts w:ascii="Arial" w:hAnsi="Arial" w:cs="Arial"/>
                <w:sz w:val="16"/>
                <w:szCs w:val="16"/>
                <w:highlight w:val="yellow"/>
              </w:rPr>
            </w:pPr>
            <w:r>
              <w:rPr>
                <w:rFonts w:ascii="Arial" w:hAnsi="Arial" w:cs="Arial"/>
                <w:sz w:val="16"/>
                <w:szCs w:val="16"/>
              </w:rPr>
              <w:t>5</w:t>
            </w:r>
            <w:r w:rsidRPr="00BC10AD">
              <w:rPr>
                <w:rFonts w:ascii="Arial" w:hAnsi="Arial" w:cs="Arial"/>
                <w:sz w:val="16"/>
                <w:szCs w:val="16"/>
              </w:rPr>
              <w:t>%</w:t>
            </w:r>
          </w:p>
        </w:tc>
      </w:tr>
      <w:tr w:rsidR="008E7D1C" w:rsidRPr="006B5511" w14:paraId="5B12B342" w14:textId="77777777" w:rsidTr="001A1A82">
        <w:trPr>
          <w:trHeight w:val="342"/>
        </w:trPr>
        <w:tc>
          <w:tcPr>
            <w:tcW w:w="5699" w:type="dxa"/>
            <w:gridSpan w:val="2"/>
            <w:tcBorders>
              <w:top w:val="single" w:sz="4" w:space="0" w:color="7F7F7F" w:themeColor="text1" w:themeTint="80"/>
              <w:left w:val="single" w:sz="4" w:space="0" w:color="7F7F7F" w:themeColor="text1" w:themeTint="80"/>
              <w:bottom w:val="single" w:sz="4" w:space="0" w:color="7F7F7F" w:themeColor="text1" w:themeTint="80"/>
            </w:tcBorders>
            <w:shd w:val="clear" w:color="auto" w:fill="auto"/>
            <w:vAlign w:val="center"/>
          </w:tcPr>
          <w:p w14:paraId="1155F107" w14:textId="77777777" w:rsidR="008E7D1C" w:rsidRPr="006A1797" w:rsidRDefault="008E7D1C" w:rsidP="008E7D1C">
            <w:pPr>
              <w:rPr>
                <w:rFonts w:ascii="Arial" w:hAnsi="Arial" w:cs="Arial"/>
                <w:b/>
                <w:bCs/>
                <w:sz w:val="16"/>
                <w:szCs w:val="16"/>
              </w:rPr>
            </w:pPr>
            <w:r w:rsidRPr="006A1797">
              <w:rPr>
                <w:rFonts w:ascii="Arial" w:hAnsi="Arial" w:cs="Arial"/>
                <w:b/>
                <w:color w:val="000000"/>
                <w:sz w:val="16"/>
                <w:szCs w:val="16"/>
              </w:rPr>
              <w:t>Σύνολο περιουσιακών στοιχείων</w:t>
            </w:r>
          </w:p>
        </w:tc>
        <w:tc>
          <w:tcPr>
            <w:tcW w:w="1562" w:type="dxa"/>
            <w:tcBorders>
              <w:top w:val="single" w:sz="4" w:space="0" w:color="7F7F7F" w:themeColor="text1" w:themeTint="80"/>
              <w:bottom w:val="single" w:sz="4" w:space="0" w:color="7F7F7F" w:themeColor="text1" w:themeTint="80"/>
            </w:tcBorders>
            <w:vAlign w:val="center"/>
          </w:tcPr>
          <w:p w14:paraId="290C4694" w14:textId="116FF391" w:rsidR="008E7D1C" w:rsidRPr="006B5511" w:rsidRDefault="008E7D1C" w:rsidP="008E7D1C">
            <w:pPr>
              <w:jc w:val="right"/>
              <w:rPr>
                <w:rFonts w:ascii="Arial" w:hAnsi="Arial" w:cs="Arial"/>
                <w:b/>
                <w:bCs/>
                <w:sz w:val="16"/>
                <w:szCs w:val="16"/>
                <w:highlight w:val="yellow"/>
              </w:rPr>
            </w:pPr>
            <w:r w:rsidRPr="00F1342B">
              <w:rPr>
                <w:rFonts w:ascii="Arial" w:hAnsi="Arial" w:cs="Arial"/>
                <w:b/>
                <w:bCs/>
                <w:sz w:val="16"/>
                <w:szCs w:val="16"/>
              </w:rPr>
              <w:t>25,4</w:t>
            </w:r>
            <w:r>
              <w:rPr>
                <w:rFonts w:ascii="Arial" w:hAnsi="Arial" w:cs="Arial"/>
                <w:b/>
                <w:bCs/>
                <w:sz w:val="16"/>
                <w:szCs w:val="16"/>
              </w:rPr>
              <w:t>66</w:t>
            </w:r>
          </w:p>
        </w:tc>
        <w:tc>
          <w:tcPr>
            <w:tcW w:w="1560" w:type="dxa"/>
            <w:tcBorders>
              <w:top w:val="single" w:sz="4" w:space="0" w:color="7F7F7F" w:themeColor="text1" w:themeTint="80"/>
              <w:bottom w:val="single" w:sz="4" w:space="0" w:color="7F7F7F" w:themeColor="text1" w:themeTint="80"/>
            </w:tcBorders>
            <w:vAlign w:val="center"/>
          </w:tcPr>
          <w:p w14:paraId="56FC559C" w14:textId="0A7451E3" w:rsidR="008E7D1C" w:rsidRPr="00CB38F0" w:rsidRDefault="008E7D1C" w:rsidP="008E7D1C">
            <w:pPr>
              <w:jc w:val="right"/>
              <w:rPr>
                <w:rFonts w:ascii="Arial" w:hAnsi="Arial" w:cs="Arial"/>
                <w:b/>
                <w:bCs/>
                <w:sz w:val="16"/>
                <w:szCs w:val="16"/>
              </w:rPr>
            </w:pPr>
            <w:r w:rsidRPr="00CB38F0">
              <w:rPr>
                <w:rFonts w:ascii="Arial" w:hAnsi="Arial" w:cs="Arial"/>
                <w:b/>
                <w:bCs/>
                <w:sz w:val="16"/>
                <w:szCs w:val="16"/>
              </w:rPr>
              <w:t>26,629</w:t>
            </w:r>
          </w:p>
        </w:tc>
        <w:tc>
          <w:tcPr>
            <w:tcW w:w="1420" w:type="dxa"/>
            <w:tcBorders>
              <w:top w:val="single" w:sz="4" w:space="0" w:color="7F7F7F" w:themeColor="text1" w:themeTint="80"/>
              <w:bottom w:val="single" w:sz="4" w:space="0" w:color="7F7F7F" w:themeColor="text1" w:themeTint="80"/>
              <w:right w:val="single" w:sz="4" w:space="0" w:color="7F7F7F" w:themeColor="text1" w:themeTint="80"/>
            </w:tcBorders>
            <w:vAlign w:val="center"/>
          </w:tcPr>
          <w:p w14:paraId="296D2434" w14:textId="396311C0" w:rsidR="008E7D1C" w:rsidRPr="006B5511" w:rsidRDefault="008E7D1C" w:rsidP="008E7D1C">
            <w:pPr>
              <w:jc w:val="right"/>
              <w:rPr>
                <w:rFonts w:ascii="Arial" w:hAnsi="Arial" w:cs="Arial"/>
                <w:b/>
                <w:bCs/>
                <w:sz w:val="16"/>
                <w:szCs w:val="16"/>
                <w:highlight w:val="yellow"/>
              </w:rPr>
            </w:pPr>
            <w:r w:rsidRPr="00BC10AD">
              <w:rPr>
                <w:rFonts w:ascii="Arial" w:hAnsi="Arial" w:cs="Arial"/>
                <w:b/>
                <w:bCs/>
                <w:sz w:val="16"/>
                <w:szCs w:val="16"/>
              </w:rPr>
              <w:t>-4%</w:t>
            </w:r>
          </w:p>
        </w:tc>
      </w:tr>
      <w:tr w:rsidR="008E7D1C" w:rsidRPr="006B5511" w14:paraId="524B39F4" w14:textId="77777777" w:rsidTr="001A1A82">
        <w:trPr>
          <w:trHeight w:val="312"/>
        </w:trPr>
        <w:tc>
          <w:tcPr>
            <w:tcW w:w="5699" w:type="dxa"/>
            <w:gridSpan w:val="2"/>
            <w:tcBorders>
              <w:top w:val="single" w:sz="4" w:space="0" w:color="7F7F7F" w:themeColor="text1" w:themeTint="80"/>
            </w:tcBorders>
            <w:shd w:val="clear" w:color="auto" w:fill="auto"/>
            <w:vAlign w:val="center"/>
          </w:tcPr>
          <w:p w14:paraId="7773D90B" w14:textId="77777777" w:rsidR="008E7D1C" w:rsidRPr="006A1797" w:rsidRDefault="008E7D1C" w:rsidP="008E7D1C">
            <w:pPr>
              <w:rPr>
                <w:rFonts w:ascii="Arial" w:hAnsi="Arial" w:cs="Arial"/>
                <w:b/>
                <w:bCs/>
                <w:sz w:val="16"/>
                <w:szCs w:val="16"/>
              </w:rPr>
            </w:pPr>
            <w:r w:rsidRPr="006A1797">
              <w:rPr>
                <w:rFonts w:ascii="Arial" w:hAnsi="Arial" w:cs="Arial"/>
                <w:sz w:val="16"/>
                <w:szCs w:val="16"/>
                <w:lang w:val="el-GR"/>
              </w:rPr>
              <w:t>Καταθέσεις από τράπεζες</w:t>
            </w:r>
          </w:p>
        </w:tc>
        <w:tc>
          <w:tcPr>
            <w:tcW w:w="1562" w:type="dxa"/>
            <w:tcBorders>
              <w:top w:val="single" w:sz="4" w:space="0" w:color="7F7F7F" w:themeColor="text1" w:themeTint="80"/>
            </w:tcBorders>
            <w:vAlign w:val="center"/>
          </w:tcPr>
          <w:p w14:paraId="325A74AE" w14:textId="090C04B4" w:rsidR="008E7D1C" w:rsidRPr="006B5511" w:rsidRDefault="008E7D1C" w:rsidP="008E7D1C">
            <w:pPr>
              <w:jc w:val="right"/>
              <w:rPr>
                <w:rFonts w:ascii="Arial" w:hAnsi="Arial" w:cs="Arial"/>
                <w:b/>
                <w:bCs/>
                <w:sz w:val="16"/>
                <w:szCs w:val="16"/>
                <w:highlight w:val="yellow"/>
              </w:rPr>
            </w:pPr>
            <w:r w:rsidRPr="00BC10AD">
              <w:rPr>
                <w:rFonts w:ascii="Arial" w:hAnsi="Arial" w:cs="Arial"/>
                <w:b/>
                <w:bCs/>
                <w:sz w:val="16"/>
                <w:szCs w:val="16"/>
              </w:rPr>
              <w:t>405</w:t>
            </w:r>
          </w:p>
        </w:tc>
        <w:tc>
          <w:tcPr>
            <w:tcW w:w="1560" w:type="dxa"/>
            <w:tcBorders>
              <w:top w:val="single" w:sz="4" w:space="0" w:color="7F7F7F" w:themeColor="text1" w:themeTint="80"/>
            </w:tcBorders>
            <w:vAlign w:val="center"/>
          </w:tcPr>
          <w:p w14:paraId="533B1073" w14:textId="4E7187EC" w:rsidR="008E7D1C" w:rsidRPr="00CB38F0" w:rsidRDefault="008E7D1C" w:rsidP="008E7D1C">
            <w:pPr>
              <w:jc w:val="right"/>
              <w:rPr>
                <w:rFonts w:ascii="Arial" w:hAnsi="Arial" w:cs="Arial"/>
                <w:b/>
                <w:bCs/>
                <w:sz w:val="16"/>
                <w:szCs w:val="16"/>
              </w:rPr>
            </w:pPr>
            <w:r w:rsidRPr="00CB38F0">
              <w:rPr>
                <w:rFonts w:ascii="Arial" w:hAnsi="Arial" w:cs="Arial"/>
                <w:b/>
                <w:bCs/>
                <w:sz w:val="16"/>
                <w:szCs w:val="16"/>
              </w:rPr>
              <w:t>472</w:t>
            </w:r>
          </w:p>
        </w:tc>
        <w:tc>
          <w:tcPr>
            <w:tcW w:w="1420" w:type="dxa"/>
            <w:tcBorders>
              <w:top w:val="single" w:sz="4" w:space="0" w:color="7F7F7F" w:themeColor="text1" w:themeTint="80"/>
            </w:tcBorders>
            <w:vAlign w:val="center"/>
          </w:tcPr>
          <w:p w14:paraId="1BF2F26E" w14:textId="508001F5" w:rsidR="008E7D1C" w:rsidRPr="006B5511" w:rsidRDefault="008E7D1C" w:rsidP="008E7D1C">
            <w:pPr>
              <w:jc w:val="right"/>
              <w:rPr>
                <w:rFonts w:ascii="Arial" w:hAnsi="Arial" w:cs="Arial"/>
                <w:sz w:val="16"/>
                <w:szCs w:val="16"/>
                <w:highlight w:val="yellow"/>
              </w:rPr>
            </w:pPr>
            <w:r w:rsidRPr="00BC10AD">
              <w:rPr>
                <w:rFonts w:ascii="Arial" w:hAnsi="Arial" w:cs="Arial"/>
                <w:sz w:val="16"/>
                <w:szCs w:val="16"/>
              </w:rPr>
              <w:t>-14%</w:t>
            </w:r>
          </w:p>
        </w:tc>
      </w:tr>
      <w:tr w:rsidR="008E7D1C" w:rsidRPr="006B5511" w14:paraId="2B0E4618" w14:textId="77777777" w:rsidTr="001A1A82">
        <w:trPr>
          <w:trHeight w:val="312"/>
        </w:trPr>
        <w:tc>
          <w:tcPr>
            <w:tcW w:w="5699" w:type="dxa"/>
            <w:gridSpan w:val="2"/>
            <w:shd w:val="clear" w:color="auto" w:fill="auto"/>
            <w:vAlign w:val="center"/>
          </w:tcPr>
          <w:p w14:paraId="2AFB373C" w14:textId="77777777" w:rsidR="008E7D1C" w:rsidRPr="006A1797" w:rsidRDefault="008E7D1C" w:rsidP="008E7D1C">
            <w:pPr>
              <w:rPr>
                <w:rFonts w:ascii="Arial" w:hAnsi="Arial" w:cs="Arial"/>
                <w:b/>
                <w:bCs/>
                <w:sz w:val="16"/>
                <w:szCs w:val="16"/>
              </w:rPr>
            </w:pPr>
            <w:r w:rsidRPr="006A1797">
              <w:rPr>
                <w:rFonts w:ascii="Arial" w:hAnsi="Arial" w:cs="Arial"/>
                <w:sz w:val="16"/>
                <w:szCs w:val="16"/>
                <w:lang w:val="el-GR"/>
              </w:rPr>
              <w:t>Χρηματοδότηση από κεντρικές τράπεζες</w:t>
            </w:r>
          </w:p>
        </w:tc>
        <w:tc>
          <w:tcPr>
            <w:tcW w:w="1562" w:type="dxa"/>
            <w:vAlign w:val="center"/>
          </w:tcPr>
          <w:p w14:paraId="0282BA5D" w14:textId="4F921DB0" w:rsidR="008E7D1C" w:rsidRPr="006B5511" w:rsidRDefault="008E7D1C" w:rsidP="008E7D1C">
            <w:pPr>
              <w:jc w:val="right"/>
              <w:rPr>
                <w:rFonts w:ascii="Arial" w:hAnsi="Arial" w:cs="Arial"/>
                <w:b/>
                <w:bCs/>
                <w:sz w:val="16"/>
                <w:szCs w:val="16"/>
                <w:highlight w:val="yellow"/>
              </w:rPr>
            </w:pPr>
            <w:r w:rsidRPr="00BC10AD">
              <w:rPr>
                <w:rFonts w:ascii="Arial" w:hAnsi="Arial" w:cs="Arial"/>
                <w:b/>
                <w:bCs/>
                <w:sz w:val="16"/>
                <w:szCs w:val="16"/>
              </w:rPr>
              <w:t>-</w:t>
            </w:r>
          </w:p>
        </w:tc>
        <w:tc>
          <w:tcPr>
            <w:tcW w:w="1560" w:type="dxa"/>
            <w:vAlign w:val="center"/>
          </w:tcPr>
          <w:p w14:paraId="6C3432C9" w14:textId="06AC1851" w:rsidR="008E7D1C" w:rsidRPr="00CB38F0" w:rsidRDefault="008E7D1C" w:rsidP="008E7D1C">
            <w:pPr>
              <w:jc w:val="right"/>
              <w:rPr>
                <w:rFonts w:ascii="Arial" w:hAnsi="Arial" w:cs="Arial"/>
                <w:sz w:val="16"/>
                <w:szCs w:val="16"/>
              </w:rPr>
            </w:pPr>
            <w:r w:rsidRPr="00CB38F0">
              <w:rPr>
                <w:rFonts w:ascii="Arial" w:hAnsi="Arial" w:cs="Arial"/>
                <w:b/>
                <w:bCs/>
                <w:sz w:val="16"/>
                <w:szCs w:val="16"/>
              </w:rPr>
              <w:t>2,044</w:t>
            </w:r>
          </w:p>
        </w:tc>
        <w:tc>
          <w:tcPr>
            <w:tcW w:w="1420" w:type="dxa"/>
            <w:vAlign w:val="center"/>
          </w:tcPr>
          <w:p w14:paraId="298D4149" w14:textId="4666E4F3" w:rsidR="008E7D1C" w:rsidRPr="006B5511" w:rsidRDefault="008E7D1C" w:rsidP="008E7D1C">
            <w:pPr>
              <w:jc w:val="right"/>
              <w:rPr>
                <w:rFonts w:ascii="Arial" w:hAnsi="Arial" w:cs="Arial"/>
                <w:sz w:val="16"/>
                <w:szCs w:val="16"/>
                <w:highlight w:val="yellow"/>
              </w:rPr>
            </w:pPr>
            <w:r w:rsidRPr="00BC10AD">
              <w:rPr>
                <w:rFonts w:ascii="Arial" w:hAnsi="Arial" w:cs="Arial"/>
                <w:sz w:val="16"/>
                <w:szCs w:val="16"/>
              </w:rPr>
              <w:t>-100%</w:t>
            </w:r>
          </w:p>
        </w:tc>
      </w:tr>
      <w:tr w:rsidR="008E7D1C" w:rsidRPr="006B5511" w14:paraId="58C52AB7" w14:textId="77777777" w:rsidTr="001A1A82">
        <w:trPr>
          <w:trHeight w:val="312"/>
        </w:trPr>
        <w:tc>
          <w:tcPr>
            <w:tcW w:w="5699" w:type="dxa"/>
            <w:gridSpan w:val="2"/>
            <w:shd w:val="clear" w:color="auto" w:fill="auto"/>
            <w:vAlign w:val="center"/>
          </w:tcPr>
          <w:p w14:paraId="5DA3BF83" w14:textId="77777777" w:rsidR="008E7D1C" w:rsidRPr="006A1797" w:rsidRDefault="008E7D1C" w:rsidP="008E7D1C">
            <w:pPr>
              <w:rPr>
                <w:rFonts w:ascii="Arial" w:hAnsi="Arial" w:cs="Arial"/>
                <w:b/>
                <w:bCs/>
                <w:sz w:val="16"/>
                <w:szCs w:val="16"/>
              </w:rPr>
            </w:pPr>
            <w:r w:rsidRPr="006A1797">
              <w:rPr>
                <w:rFonts w:ascii="Arial" w:hAnsi="Arial" w:cs="Arial"/>
                <w:sz w:val="16"/>
                <w:szCs w:val="16"/>
                <w:lang w:val="el-GR"/>
              </w:rPr>
              <w:t>Καταθέσεις πελατών</w:t>
            </w:r>
          </w:p>
        </w:tc>
        <w:tc>
          <w:tcPr>
            <w:tcW w:w="1562" w:type="dxa"/>
            <w:vAlign w:val="center"/>
          </w:tcPr>
          <w:p w14:paraId="6DF6F8A7" w14:textId="1F9CF664" w:rsidR="008E7D1C" w:rsidRPr="006B5511" w:rsidRDefault="008E7D1C" w:rsidP="008E7D1C">
            <w:pPr>
              <w:jc w:val="right"/>
              <w:rPr>
                <w:rFonts w:ascii="Arial" w:hAnsi="Arial" w:cs="Arial"/>
                <w:b/>
                <w:bCs/>
                <w:sz w:val="16"/>
                <w:szCs w:val="16"/>
                <w:highlight w:val="yellow"/>
              </w:rPr>
            </w:pPr>
            <w:r w:rsidRPr="00BC10AD">
              <w:rPr>
                <w:rFonts w:ascii="Arial" w:hAnsi="Arial" w:cs="Arial"/>
                <w:b/>
                <w:bCs/>
                <w:sz w:val="16"/>
                <w:szCs w:val="16"/>
              </w:rPr>
              <w:t>19,7</w:t>
            </w:r>
            <w:r>
              <w:rPr>
                <w:rFonts w:ascii="Arial" w:hAnsi="Arial" w:cs="Arial"/>
                <w:b/>
                <w:bCs/>
                <w:sz w:val="16"/>
                <w:szCs w:val="16"/>
              </w:rPr>
              <w:t>23</w:t>
            </w:r>
          </w:p>
        </w:tc>
        <w:tc>
          <w:tcPr>
            <w:tcW w:w="1560" w:type="dxa"/>
            <w:vAlign w:val="center"/>
          </w:tcPr>
          <w:p w14:paraId="36AE065F" w14:textId="24C4A03A" w:rsidR="008E7D1C" w:rsidRPr="00CB38F0" w:rsidRDefault="008E7D1C" w:rsidP="008E7D1C">
            <w:pPr>
              <w:jc w:val="right"/>
              <w:rPr>
                <w:rFonts w:ascii="Arial" w:hAnsi="Arial" w:cs="Arial"/>
                <w:b/>
                <w:bCs/>
                <w:sz w:val="16"/>
                <w:szCs w:val="16"/>
              </w:rPr>
            </w:pPr>
            <w:r w:rsidRPr="00CB38F0">
              <w:rPr>
                <w:rFonts w:ascii="Arial" w:hAnsi="Arial" w:cs="Arial"/>
                <w:b/>
                <w:bCs/>
                <w:sz w:val="16"/>
                <w:szCs w:val="16"/>
              </w:rPr>
              <w:t>19,337</w:t>
            </w:r>
          </w:p>
        </w:tc>
        <w:tc>
          <w:tcPr>
            <w:tcW w:w="1420" w:type="dxa"/>
            <w:vAlign w:val="center"/>
          </w:tcPr>
          <w:p w14:paraId="4D372CF9" w14:textId="4E18091F" w:rsidR="008E7D1C" w:rsidRPr="006B5511" w:rsidRDefault="008E7D1C" w:rsidP="008E7D1C">
            <w:pPr>
              <w:jc w:val="right"/>
              <w:rPr>
                <w:rFonts w:ascii="Arial" w:hAnsi="Arial" w:cs="Arial"/>
                <w:sz w:val="16"/>
                <w:szCs w:val="16"/>
                <w:highlight w:val="yellow"/>
              </w:rPr>
            </w:pPr>
            <w:r w:rsidRPr="00BC10AD">
              <w:rPr>
                <w:rFonts w:ascii="Arial" w:hAnsi="Arial" w:cs="Arial"/>
                <w:sz w:val="16"/>
                <w:szCs w:val="16"/>
              </w:rPr>
              <w:t>2%</w:t>
            </w:r>
          </w:p>
        </w:tc>
      </w:tr>
      <w:tr w:rsidR="008E7D1C" w:rsidRPr="006B5511" w14:paraId="5739A4FE" w14:textId="77777777" w:rsidTr="001A1A82">
        <w:trPr>
          <w:trHeight w:val="312"/>
        </w:trPr>
        <w:tc>
          <w:tcPr>
            <w:tcW w:w="5699" w:type="dxa"/>
            <w:gridSpan w:val="2"/>
            <w:shd w:val="clear" w:color="auto" w:fill="auto"/>
            <w:vAlign w:val="center"/>
          </w:tcPr>
          <w:p w14:paraId="1F049BA7" w14:textId="77777777" w:rsidR="008E7D1C" w:rsidRPr="006A1797" w:rsidRDefault="008E7D1C" w:rsidP="008E7D1C">
            <w:pPr>
              <w:rPr>
                <w:rFonts w:ascii="Arial" w:hAnsi="Arial" w:cs="Arial"/>
                <w:b/>
                <w:bCs/>
                <w:sz w:val="16"/>
                <w:szCs w:val="16"/>
              </w:rPr>
            </w:pPr>
            <w:bookmarkStart w:id="4" w:name="_Hlk109648779"/>
            <w:r w:rsidRPr="006A1797">
              <w:rPr>
                <w:rFonts w:ascii="Arial" w:eastAsia="Batang" w:hAnsi="Arial" w:cs="Arial"/>
                <w:bCs/>
                <w:color w:val="262626"/>
                <w:sz w:val="16"/>
                <w:szCs w:val="16"/>
                <w:lang w:val="el-GR"/>
              </w:rPr>
              <w:t>Ομ</w:t>
            </w:r>
            <w:r w:rsidRPr="006A1797">
              <w:rPr>
                <w:rFonts w:ascii="Arial" w:eastAsia="Batang" w:hAnsi="Arial" w:cs="Arial"/>
                <w:bCs/>
                <w:color w:val="262626"/>
                <w:sz w:val="16"/>
                <w:szCs w:val="16"/>
              </w:rPr>
              <w:t>o</w:t>
            </w:r>
            <w:r w:rsidRPr="006A1797">
              <w:rPr>
                <w:rFonts w:ascii="Arial" w:eastAsia="Batang" w:hAnsi="Arial" w:cs="Arial"/>
                <w:bCs/>
                <w:color w:val="262626"/>
                <w:sz w:val="16"/>
                <w:szCs w:val="16"/>
                <w:lang w:val="el-GR"/>
              </w:rPr>
              <w:t>λογιακά δάνεια</w:t>
            </w:r>
          </w:p>
        </w:tc>
        <w:tc>
          <w:tcPr>
            <w:tcW w:w="1562" w:type="dxa"/>
            <w:vAlign w:val="center"/>
          </w:tcPr>
          <w:p w14:paraId="0ED42219" w14:textId="4DDE613B" w:rsidR="008E7D1C" w:rsidRPr="006B5511" w:rsidRDefault="008E7D1C" w:rsidP="008E7D1C">
            <w:pPr>
              <w:jc w:val="right"/>
              <w:rPr>
                <w:rFonts w:ascii="Arial" w:hAnsi="Arial" w:cs="Arial"/>
                <w:b/>
                <w:bCs/>
                <w:sz w:val="16"/>
                <w:szCs w:val="16"/>
                <w:highlight w:val="yellow"/>
              </w:rPr>
            </w:pPr>
            <w:r w:rsidRPr="00BC10AD">
              <w:rPr>
                <w:rFonts w:ascii="Arial" w:hAnsi="Arial" w:cs="Arial"/>
                <w:b/>
                <w:bCs/>
                <w:sz w:val="16"/>
                <w:szCs w:val="16"/>
              </w:rPr>
              <w:t>971</w:t>
            </w:r>
          </w:p>
        </w:tc>
        <w:tc>
          <w:tcPr>
            <w:tcW w:w="1560" w:type="dxa"/>
            <w:vAlign w:val="center"/>
          </w:tcPr>
          <w:p w14:paraId="7B2CD70B" w14:textId="1CC316AE" w:rsidR="008E7D1C" w:rsidRPr="00CB38F0" w:rsidRDefault="008E7D1C" w:rsidP="008E7D1C">
            <w:pPr>
              <w:jc w:val="right"/>
              <w:rPr>
                <w:rFonts w:ascii="Arial" w:hAnsi="Arial" w:cs="Arial"/>
                <w:b/>
                <w:bCs/>
                <w:sz w:val="16"/>
                <w:szCs w:val="16"/>
              </w:rPr>
            </w:pPr>
            <w:r w:rsidRPr="00CB38F0">
              <w:rPr>
                <w:rFonts w:ascii="Arial" w:hAnsi="Arial" w:cs="Arial"/>
                <w:b/>
                <w:bCs/>
                <w:sz w:val="16"/>
                <w:szCs w:val="16"/>
              </w:rPr>
              <w:t>672</w:t>
            </w:r>
          </w:p>
        </w:tc>
        <w:tc>
          <w:tcPr>
            <w:tcW w:w="1420" w:type="dxa"/>
            <w:vAlign w:val="center"/>
          </w:tcPr>
          <w:p w14:paraId="0242C985" w14:textId="5C83CD6F" w:rsidR="008E7D1C" w:rsidRPr="006B5511" w:rsidRDefault="008E7D1C" w:rsidP="008E7D1C">
            <w:pPr>
              <w:jc w:val="right"/>
              <w:rPr>
                <w:rFonts w:ascii="Arial" w:hAnsi="Arial" w:cs="Arial"/>
                <w:sz w:val="16"/>
                <w:szCs w:val="16"/>
                <w:highlight w:val="yellow"/>
              </w:rPr>
            </w:pPr>
            <w:r w:rsidRPr="00BC10AD">
              <w:rPr>
                <w:rFonts w:ascii="Arial" w:hAnsi="Arial" w:cs="Arial"/>
                <w:sz w:val="16"/>
                <w:szCs w:val="16"/>
              </w:rPr>
              <w:t>45%</w:t>
            </w:r>
          </w:p>
        </w:tc>
      </w:tr>
      <w:tr w:rsidR="008E7D1C" w:rsidRPr="006B5511" w14:paraId="08233B4F" w14:textId="77777777" w:rsidTr="001A1A82">
        <w:trPr>
          <w:trHeight w:val="312"/>
        </w:trPr>
        <w:tc>
          <w:tcPr>
            <w:tcW w:w="5699" w:type="dxa"/>
            <w:gridSpan w:val="2"/>
            <w:shd w:val="clear" w:color="auto" w:fill="auto"/>
            <w:vAlign w:val="center"/>
          </w:tcPr>
          <w:p w14:paraId="597B8E86" w14:textId="7D00233C" w:rsidR="008E7D1C" w:rsidRPr="006A1797" w:rsidRDefault="008E7D1C" w:rsidP="008E7D1C">
            <w:pPr>
              <w:rPr>
                <w:rFonts w:ascii="Arial" w:hAnsi="Arial" w:cs="Arial"/>
                <w:b/>
                <w:bCs/>
                <w:sz w:val="16"/>
                <w:szCs w:val="16"/>
              </w:rPr>
            </w:pPr>
            <w:r w:rsidRPr="006A1797">
              <w:rPr>
                <w:rFonts w:ascii="Arial" w:eastAsia="Batang" w:hAnsi="Arial" w:cs="Arial"/>
                <w:bCs/>
                <w:color w:val="262626"/>
                <w:sz w:val="16"/>
                <w:szCs w:val="16"/>
                <w:lang w:val="el-GR"/>
              </w:rPr>
              <w:t>Υποχρεώσεις</w:t>
            </w:r>
            <w:r w:rsidRPr="006A1797">
              <w:rPr>
                <w:rFonts w:ascii="Arial" w:eastAsia="Batang" w:hAnsi="Arial" w:cs="Arial"/>
                <w:bCs/>
                <w:color w:val="262626"/>
                <w:sz w:val="16"/>
                <w:szCs w:val="16"/>
              </w:rPr>
              <w:t xml:space="preserve"> </w:t>
            </w:r>
            <w:r w:rsidRPr="006A1797">
              <w:rPr>
                <w:rFonts w:ascii="Arial" w:eastAsia="Batang" w:hAnsi="Arial" w:cs="Arial"/>
                <w:bCs/>
                <w:color w:val="262626"/>
                <w:sz w:val="16"/>
                <w:szCs w:val="16"/>
                <w:lang w:val="el-GR"/>
              </w:rPr>
              <w:t>μειωμένης εξασφάλισης</w:t>
            </w:r>
          </w:p>
        </w:tc>
        <w:tc>
          <w:tcPr>
            <w:tcW w:w="1562" w:type="dxa"/>
            <w:vAlign w:val="center"/>
          </w:tcPr>
          <w:p w14:paraId="74178AE2" w14:textId="3BEBE813" w:rsidR="008E7D1C" w:rsidRPr="006B5511" w:rsidRDefault="008E7D1C" w:rsidP="008E7D1C">
            <w:pPr>
              <w:jc w:val="right"/>
              <w:rPr>
                <w:rFonts w:ascii="Arial" w:hAnsi="Arial" w:cs="Arial"/>
                <w:b/>
                <w:bCs/>
                <w:sz w:val="16"/>
                <w:szCs w:val="16"/>
                <w:highlight w:val="yellow"/>
              </w:rPr>
            </w:pPr>
            <w:r w:rsidRPr="00BC10AD">
              <w:rPr>
                <w:rFonts w:ascii="Arial" w:hAnsi="Arial" w:cs="Arial"/>
                <w:b/>
                <w:bCs/>
                <w:sz w:val="16"/>
                <w:szCs w:val="16"/>
              </w:rPr>
              <w:t>313</w:t>
            </w:r>
          </w:p>
        </w:tc>
        <w:tc>
          <w:tcPr>
            <w:tcW w:w="1560" w:type="dxa"/>
            <w:vAlign w:val="center"/>
          </w:tcPr>
          <w:p w14:paraId="463808FF" w14:textId="0BDC9168" w:rsidR="008E7D1C" w:rsidRPr="00CB38F0" w:rsidRDefault="008E7D1C" w:rsidP="008E7D1C">
            <w:pPr>
              <w:jc w:val="right"/>
              <w:rPr>
                <w:rFonts w:ascii="Arial" w:hAnsi="Arial" w:cs="Arial"/>
                <w:sz w:val="16"/>
                <w:szCs w:val="16"/>
              </w:rPr>
            </w:pPr>
            <w:r w:rsidRPr="00CB38F0">
              <w:rPr>
                <w:rFonts w:ascii="Arial" w:hAnsi="Arial" w:cs="Arial"/>
                <w:b/>
                <w:bCs/>
                <w:sz w:val="16"/>
                <w:szCs w:val="16"/>
              </w:rPr>
              <w:t>307</w:t>
            </w:r>
          </w:p>
        </w:tc>
        <w:tc>
          <w:tcPr>
            <w:tcW w:w="1420" w:type="dxa"/>
            <w:vAlign w:val="center"/>
          </w:tcPr>
          <w:p w14:paraId="6EBDF314" w14:textId="11D5C7B1" w:rsidR="008E7D1C" w:rsidRPr="006B5511" w:rsidRDefault="008E7D1C" w:rsidP="008E7D1C">
            <w:pPr>
              <w:jc w:val="right"/>
              <w:rPr>
                <w:rFonts w:ascii="Arial" w:hAnsi="Arial" w:cs="Arial"/>
                <w:sz w:val="16"/>
                <w:szCs w:val="16"/>
                <w:highlight w:val="yellow"/>
              </w:rPr>
            </w:pPr>
            <w:r w:rsidRPr="00BC10AD">
              <w:rPr>
                <w:rFonts w:ascii="Arial" w:hAnsi="Arial" w:cs="Arial"/>
                <w:sz w:val="16"/>
                <w:szCs w:val="16"/>
              </w:rPr>
              <w:t>2%</w:t>
            </w:r>
          </w:p>
        </w:tc>
      </w:tr>
      <w:bookmarkEnd w:id="4"/>
      <w:tr w:rsidR="008E7D1C" w:rsidRPr="006B5511" w14:paraId="15111B48" w14:textId="77777777" w:rsidTr="00085DAB">
        <w:trPr>
          <w:trHeight w:val="63"/>
        </w:trPr>
        <w:tc>
          <w:tcPr>
            <w:tcW w:w="5699" w:type="dxa"/>
            <w:gridSpan w:val="2"/>
            <w:tcBorders>
              <w:bottom w:val="single" w:sz="4" w:space="0" w:color="7F7F7F" w:themeColor="text1" w:themeTint="80"/>
            </w:tcBorders>
            <w:shd w:val="clear" w:color="auto" w:fill="auto"/>
            <w:vAlign w:val="center"/>
          </w:tcPr>
          <w:p w14:paraId="4AA6EEAF" w14:textId="77777777" w:rsidR="008E7D1C" w:rsidRPr="006A1797" w:rsidRDefault="008E7D1C" w:rsidP="008E7D1C">
            <w:pPr>
              <w:rPr>
                <w:rFonts w:ascii="Arial" w:hAnsi="Arial" w:cs="Arial"/>
                <w:b/>
                <w:bCs/>
                <w:sz w:val="16"/>
                <w:szCs w:val="16"/>
              </w:rPr>
            </w:pPr>
            <w:r w:rsidRPr="006A1797">
              <w:rPr>
                <w:rFonts w:ascii="Arial" w:hAnsi="Arial" w:cs="Arial"/>
                <w:sz w:val="16"/>
                <w:szCs w:val="16"/>
                <w:lang w:val="el-GR"/>
              </w:rPr>
              <w:t>Λοιπές υποχρεώσεις</w:t>
            </w:r>
          </w:p>
        </w:tc>
        <w:tc>
          <w:tcPr>
            <w:tcW w:w="1562" w:type="dxa"/>
            <w:tcBorders>
              <w:bottom w:val="single" w:sz="4" w:space="0" w:color="7F7F7F" w:themeColor="text1" w:themeTint="80"/>
            </w:tcBorders>
            <w:vAlign w:val="center"/>
          </w:tcPr>
          <w:p w14:paraId="011F9721" w14:textId="2E4AF688" w:rsidR="008E7D1C" w:rsidRPr="006B5511" w:rsidRDefault="008E7D1C" w:rsidP="008E7D1C">
            <w:pPr>
              <w:jc w:val="right"/>
              <w:rPr>
                <w:rFonts w:ascii="Arial" w:hAnsi="Arial" w:cs="Arial"/>
                <w:b/>
                <w:bCs/>
                <w:sz w:val="16"/>
                <w:szCs w:val="16"/>
                <w:highlight w:val="yellow"/>
              </w:rPr>
            </w:pPr>
            <w:r w:rsidRPr="00BC10AD">
              <w:rPr>
                <w:rFonts w:ascii="Arial" w:hAnsi="Arial" w:cs="Arial"/>
                <w:b/>
                <w:bCs/>
                <w:sz w:val="16"/>
                <w:szCs w:val="16"/>
              </w:rPr>
              <w:t>1,4</w:t>
            </w:r>
            <w:r>
              <w:rPr>
                <w:rFonts w:ascii="Arial" w:hAnsi="Arial" w:cs="Arial"/>
                <w:b/>
                <w:bCs/>
                <w:sz w:val="16"/>
                <w:szCs w:val="16"/>
              </w:rPr>
              <w:t>25</w:t>
            </w:r>
          </w:p>
        </w:tc>
        <w:tc>
          <w:tcPr>
            <w:tcW w:w="1560" w:type="dxa"/>
            <w:tcBorders>
              <w:bottom w:val="single" w:sz="4" w:space="0" w:color="7F7F7F" w:themeColor="text1" w:themeTint="80"/>
            </w:tcBorders>
            <w:vAlign w:val="center"/>
          </w:tcPr>
          <w:p w14:paraId="33F58184" w14:textId="3192222C" w:rsidR="008E7D1C" w:rsidRPr="00CB38F0" w:rsidRDefault="008E7D1C" w:rsidP="008E7D1C">
            <w:pPr>
              <w:jc w:val="right"/>
              <w:rPr>
                <w:rFonts w:ascii="Arial" w:hAnsi="Arial" w:cs="Arial"/>
                <w:b/>
                <w:bCs/>
                <w:sz w:val="16"/>
                <w:szCs w:val="16"/>
              </w:rPr>
            </w:pPr>
            <w:r w:rsidRPr="00CB38F0">
              <w:rPr>
                <w:rFonts w:ascii="Arial" w:hAnsi="Arial" w:cs="Arial"/>
                <w:b/>
                <w:bCs/>
                <w:sz w:val="16"/>
                <w:szCs w:val="16"/>
              </w:rPr>
              <w:t>1,309</w:t>
            </w:r>
          </w:p>
        </w:tc>
        <w:tc>
          <w:tcPr>
            <w:tcW w:w="1420" w:type="dxa"/>
            <w:tcBorders>
              <w:bottom w:val="single" w:sz="4" w:space="0" w:color="7F7F7F" w:themeColor="text1" w:themeTint="80"/>
            </w:tcBorders>
            <w:vAlign w:val="center"/>
          </w:tcPr>
          <w:p w14:paraId="6C766517" w14:textId="0851EF3F" w:rsidR="008E7D1C" w:rsidRPr="006B5511" w:rsidRDefault="008E7D1C" w:rsidP="008E7D1C">
            <w:pPr>
              <w:jc w:val="right"/>
              <w:rPr>
                <w:rFonts w:ascii="Arial" w:hAnsi="Arial" w:cs="Arial"/>
                <w:sz w:val="16"/>
                <w:szCs w:val="16"/>
                <w:highlight w:val="yellow"/>
              </w:rPr>
            </w:pPr>
            <w:r>
              <w:rPr>
                <w:rFonts w:ascii="Arial" w:hAnsi="Arial" w:cs="Arial"/>
                <w:sz w:val="16"/>
                <w:szCs w:val="16"/>
              </w:rPr>
              <w:t>9</w:t>
            </w:r>
            <w:r w:rsidRPr="00BC10AD">
              <w:rPr>
                <w:rFonts w:ascii="Arial" w:hAnsi="Arial" w:cs="Arial"/>
                <w:sz w:val="16"/>
                <w:szCs w:val="16"/>
              </w:rPr>
              <w:t>%</w:t>
            </w:r>
          </w:p>
        </w:tc>
      </w:tr>
      <w:tr w:rsidR="008E7D1C" w:rsidRPr="006B5511" w14:paraId="38564649" w14:textId="77777777" w:rsidTr="00085DAB">
        <w:trPr>
          <w:trHeight w:val="378"/>
        </w:trPr>
        <w:tc>
          <w:tcPr>
            <w:tcW w:w="5699" w:type="dxa"/>
            <w:gridSpan w:val="2"/>
            <w:tcBorders>
              <w:top w:val="single" w:sz="4" w:space="0" w:color="7F7F7F" w:themeColor="text1" w:themeTint="80"/>
              <w:left w:val="single" w:sz="4" w:space="0" w:color="7F7F7F" w:themeColor="text1" w:themeTint="80"/>
              <w:bottom w:val="single" w:sz="4" w:space="0" w:color="7F7F7F" w:themeColor="text1" w:themeTint="80"/>
            </w:tcBorders>
            <w:shd w:val="clear" w:color="auto" w:fill="auto"/>
            <w:vAlign w:val="center"/>
          </w:tcPr>
          <w:p w14:paraId="4C505506" w14:textId="77777777" w:rsidR="008E7D1C" w:rsidRPr="006A1797" w:rsidRDefault="008E7D1C" w:rsidP="008E7D1C">
            <w:pPr>
              <w:rPr>
                <w:rFonts w:ascii="Arial" w:hAnsi="Arial" w:cs="Arial"/>
                <w:b/>
                <w:bCs/>
                <w:sz w:val="16"/>
                <w:szCs w:val="16"/>
              </w:rPr>
            </w:pPr>
            <w:r w:rsidRPr="006A1797">
              <w:rPr>
                <w:rFonts w:ascii="Arial" w:hAnsi="Arial" w:cs="Arial"/>
                <w:b/>
                <w:color w:val="000000"/>
                <w:sz w:val="16"/>
                <w:szCs w:val="16"/>
              </w:rPr>
              <w:t>Σύνολο υποχρεώσεων</w:t>
            </w:r>
          </w:p>
        </w:tc>
        <w:tc>
          <w:tcPr>
            <w:tcW w:w="1562" w:type="dxa"/>
            <w:tcBorders>
              <w:top w:val="single" w:sz="4" w:space="0" w:color="7F7F7F" w:themeColor="text1" w:themeTint="80"/>
              <w:bottom w:val="single" w:sz="4" w:space="0" w:color="7F7F7F" w:themeColor="text1" w:themeTint="80"/>
            </w:tcBorders>
            <w:vAlign w:val="center"/>
          </w:tcPr>
          <w:p w14:paraId="40DAA60A" w14:textId="0E47F978" w:rsidR="008E7D1C" w:rsidRPr="006B5511" w:rsidRDefault="008E7D1C" w:rsidP="008E7D1C">
            <w:pPr>
              <w:jc w:val="right"/>
              <w:rPr>
                <w:rFonts w:ascii="Arial" w:hAnsi="Arial" w:cs="Arial"/>
                <w:b/>
                <w:bCs/>
                <w:sz w:val="16"/>
                <w:szCs w:val="16"/>
                <w:highlight w:val="yellow"/>
              </w:rPr>
            </w:pPr>
            <w:r w:rsidRPr="00BC10AD">
              <w:rPr>
                <w:rFonts w:ascii="Arial" w:hAnsi="Arial" w:cs="Arial"/>
                <w:b/>
                <w:bCs/>
                <w:sz w:val="16"/>
                <w:szCs w:val="16"/>
              </w:rPr>
              <w:t>22,8</w:t>
            </w:r>
            <w:r>
              <w:rPr>
                <w:rFonts w:ascii="Arial" w:hAnsi="Arial" w:cs="Arial"/>
                <w:b/>
                <w:bCs/>
                <w:sz w:val="16"/>
                <w:szCs w:val="16"/>
              </w:rPr>
              <w:t>37</w:t>
            </w:r>
          </w:p>
        </w:tc>
        <w:tc>
          <w:tcPr>
            <w:tcW w:w="1560" w:type="dxa"/>
            <w:tcBorders>
              <w:top w:val="single" w:sz="4" w:space="0" w:color="7F7F7F" w:themeColor="text1" w:themeTint="80"/>
              <w:bottom w:val="single" w:sz="4" w:space="0" w:color="7F7F7F" w:themeColor="text1" w:themeTint="80"/>
            </w:tcBorders>
            <w:vAlign w:val="center"/>
          </w:tcPr>
          <w:p w14:paraId="1F20A5D3" w14:textId="4E97A835" w:rsidR="008E7D1C" w:rsidRPr="00CB38F0" w:rsidRDefault="008E7D1C" w:rsidP="008E7D1C">
            <w:pPr>
              <w:jc w:val="right"/>
              <w:rPr>
                <w:rFonts w:ascii="Arial" w:hAnsi="Arial" w:cs="Arial"/>
                <w:b/>
                <w:bCs/>
                <w:sz w:val="16"/>
                <w:szCs w:val="16"/>
              </w:rPr>
            </w:pPr>
            <w:r w:rsidRPr="00CB38F0">
              <w:rPr>
                <w:rFonts w:ascii="Arial" w:hAnsi="Arial" w:cs="Arial"/>
                <w:b/>
                <w:bCs/>
                <w:sz w:val="16"/>
                <w:szCs w:val="16"/>
              </w:rPr>
              <w:t>24,141</w:t>
            </w:r>
          </w:p>
        </w:tc>
        <w:tc>
          <w:tcPr>
            <w:tcW w:w="1420" w:type="dxa"/>
            <w:tcBorders>
              <w:top w:val="single" w:sz="4" w:space="0" w:color="7F7F7F" w:themeColor="text1" w:themeTint="80"/>
              <w:bottom w:val="single" w:sz="4" w:space="0" w:color="7F7F7F" w:themeColor="text1" w:themeTint="80"/>
              <w:right w:val="single" w:sz="4" w:space="0" w:color="7F7F7F" w:themeColor="text1" w:themeTint="80"/>
            </w:tcBorders>
            <w:vAlign w:val="center"/>
          </w:tcPr>
          <w:p w14:paraId="42866179" w14:textId="24E26891" w:rsidR="008E7D1C" w:rsidRPr="006B5511" w:rsidRDefault="008E7D1C" w:rsidP="008E7D1C">
            <w:pPr>
              <w:jc w:val="right"/>
              <w:rPr>
                <w:rFonts w:ascii="Arial" w:hAnsi="Arial" w:cs="Arial"/>
                <w:b/>
                <w:bCs/>
                <w:sz w:val="16"/>
                <w:szCs w:val="16"/>
                <w:highlight w:val="yellow"/>
              </w:rPr>
            </w:pPr>
            <w:r w:rsidRPr="00BC10AD">
              <w:rPr>
                <w:rFonts w:ascii="Arial" w:hAnsi="Arial" w:cs="Arial"/>
                <w:b/>
                <w:bCs/>
                <w:sz w:val="16"/>
                <w:szCs w:val="16"/>
              </w:rPr>
              <w:t>-5%</w:t>
            </w:r>
          </w:p>
        </w:tc>
      </w:tr>
      <w:tr w:rsidR="008E7D1C" w:rsidRPr="006B5511" w14:paraId="56FA4FD7" w14:textId="77777777" w:rsidTr="001A1A82">
        <w:trPr>
          <w:trHeight w:val="83"/>
        </w:trPr>
        <w:tc>
          <w:tcPr>
            <w:tcW w:w="4541" w:type="dxa"/>
            <w:tcBorders>
              <w:top w:val="single" w:sz="4" w:space="0" w:color="7F7F7F" w:themeColor="text1" w:themeTint="80"/>
              <w:bottom w:val="single" w:sz="4" w:space="0" w:color="7F7F7F" w:themeColor="text1" w:themeTint="80"/>
            </w:tcBorders>
            <w:vAlign w:val="center"/>
          </w:tcPr>
          <w:p w14:paraId="60D32480" w14:textId="77777777" w:rsidR="008E7D1C" w:rsidRPr="006A1797" w:rsidRDefault="008E7D1C" w:rsidP="008E7D1C">
            <w:pPr>
              <w:rPr>
                <w:rFonts w:ascii="Arial" w:hAnsi="Arial" w:cs="Arial"/>
                <w:b/>
                <w:bCs/>
                <w:sz w:val="16"/>
                <w:szCs w:val="16"/>
              </w:rPr>
            </w:pPr>
          </w:p>
        </w:tc>
        <w:tc>
          <w:tcPr>
            <w:tcW w:w="1158" w:type="dxa"/>
            <w:tcBorders>
              <w:top w:val="single" w:sz="4" w:space="0" w:color="7F7F7F" w:themeColor="text1" w:themeTint="80"/>
              <w:bottom w:val="single" w:sz="4" w:space="0" w:color="7F7F7F" w:themeColor="text1" w:themeTint="80"/>
            </w:tcBorders>
            <w:vAlign w:val="center"/>
          </w:tcPr>
          <w:p w14:paraId="1F2C355E" w14:textId="77777777" w:rsidR="008E7D1C" w:rsidRPr="006A1797" w:rsidRDefault="008E7D1C" w:rsidP="008E7D1C">
            <w:pPr>
              <w:rPr>
                <w:rFonts w:ascii="Arial" w:hAnsi="Arial" w:cs="Arial"/>
                <w:b/>
                <w:bCs/>
                <w:sz w:val="16"/>
                <w:szCs w:val="16"/>
              </w:rPr>
            </w:pPr>
          </w:p>
        </w:tc>
        <w:tc>
          <w:tcPr>
            <w:tcW w:w="1562" w:type="dxa"/>
            <w:tcBorders>
              <w:top w:val="single" w:sz="4" w:space="0" w:color="7F7F7F" w:themeColor="text1" w:themeTint="80"/>
              <w:bottom w:val="single" w:sz="4" w:space="0" w:color="7F7F7F" w:themeColor="text1" w:themeTint="80"/>
            </w:tcBorders>
            <w:vAlign w:val="center"/>
          </w:tcPr>
          <w:p w14:paraId="7E081C14" w14:textId="77777777" w:rsidR="008E7D1C" w:rsidRPr="006B5511" w:rsidRDefault="008E7D1C" w:rsidP="008E7D1C">
            <w:pPr>
              <w:jc w:val="right"/>
              <w:rPr>
                <w:rFonts w:ascii="Arial" w:hAnsi="Arial" w:cs="Arial"/>
                <w:b/>
                <w:bCs/>
                <w:sz w:val="16"/>
                <w:szCs w:val="16"/>
                <w:highlight w:val="yellow"/>
              </w:rPr>
            </w:pPr>
          </w:p>
        </w:tc>
        <w:tc>
          <w:tcPr>
            <w:tcW w:w="1560" w:type="dxa"/>
            <w:tcBorders>
              <w:top w:val="single" w:sz="4" w:space="0" w:color="7F7F7F" w:themeColor="text1" w:themeTint="80"/>
              <w:bottom w:val="single" w:sz="4" w:space="0" w:color="7F7F7F" w:themeColor="text1" w:themeTint="80"/>
            </w:tcBorders>
            <w:vAlign w:val="center"/>
          </w:tcPr>
          <w:p w14:paraId="182A2FAB" w14:textId="77777777" w:rsidR="008E7D1C" w:rsidRPr="00CB38F0" w:rsidRDefault="008E7D1C" w:rsidP="008E7D1C">
            <w:pPr>
              <w:jc w:val="right"/>
              <w:rPr>
                <w:rFonts w:ascii="Arial" w:hAnsi="Arial" w:cs="Arial"/>
                <w:b/>
                <w:bCs/>
                <w:sz w:val="16"/>
                <w:szCs w:val="16"/>
              </w:rPr>
            </w:pPr>
          </w:p>
        </w:tc>
        <w:tc>
          <w:tcPr>
            <w:tcW w:w="1420" w:type="dxa"/>
            <w:tcBorders>
              <w:top w:val="single" w:sz="4" w:space="0" w:color="7F7F7F" w:themeColor="text1" w:themeTint="80"/>
              <w:bottom w:val="single" w:sz="4" w:space="0" w:color="7F7F7F" w:themeColor="text1" w:themeTint="80"/>
            </w:tcBorders>
            <w:vAlign w:val="center"/>
          </w:tcPr>
          <w:p w14:paraId="2573651A" w14:textId="77777777" w:rsidR="008E7D1C" w:rsidRPr="006B5511" w:rsidRDefault="008E7D1C" w:rsidP="008E7D1C">
            <w:pPr>
              <w:jc w:val="right"/>
              <w:rPr>
                <w:rFonts w:ascii="Arial" w:hAnsi="Arial" w:cs="Arial"/>
                <w:b/>
                <w:bCs/>
                <w:sz w:val="16"/>
                <w:szCs w:val="16"/>
                <w:highlight w:val="yellow"/>
              </w:rPr>
            </w:pPr>
          </w:p>
        </w:tc>
      </w:tr>
      <w:tr w:rsidR="008E7D1C" w:rsidRPr="006B5511" w14:paraId="33525A19" w14:textId="77777777" w:rsidTr="001A1A82">
        <w:trPr>
          <w:trHeight w:val="342"/>
        </w:trPr>
        <w:tc>
          <w:tcPr>
            <w:tcW w:w="5699" w:type="dxa"/>
            <w:gridSpan w:val="2"/>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5BD5CA30" w14:textId="77777777" w:rsidR="008E7D1C" w:rsidRPr="006A1797" w:rsidRDefault="008E7D1C" w:rsidP="008E7D1C">
            <w:pPr>
              <w:rPr>
                <w:rFonts w:ascii="Arial" w:hAnsi="Arial" w:cs="Arial"/>
                <w:b/>
                <w:bCs/>
                <w:sz w:val="16"/>
                <w:szCs w:val="16"/>
                <w:lang w:val="el-GR"/>
              </w:rPr>
            </w:pPr>
            <w:r w:rsidRPr="006A1797">
              <w:rPr>
                <w:rFonts w:ascii="Arial" w:hAnsi="Arial" w:cs="Arial"/>
                <w:b/>
                <w:sz w:val="16"/>
                <w:szCs w:val="16"/>
                <w:lang w:val="el-GR"/>
              </w:rPr>
              <w:t>Ίδια κεφάλαια που αναλογούν στους ιδιοκτήτες της Εταιρίας</w:t>
            </w:r>
          </w:p>
        </w:tc>
        <w:tc>
          <w:tcPr>
            <w:tcW w:w="1562" w:type="dxa"/>
            <w:tcBorders>
              <w:top w:val="single" w:sz="4" w:space="0" w:color="7F7F7F" w:themeColor="text1" w:themeTint="80"/>
              <w:bottom w:val="single" w:sz="4" w:space="0" w:color="7F7F7F" w:themeColor="text1" w:themeTint="80"/>
            </w:tcBorders>
            <w:vAlign w:val="center"/>
          </w:tcPr>
          <w:p w14:paraId="33BA8089" w14:textId="4768C85B" w:rsidR="008E7D1C" w:rsidRPr="006B5511" w:rsidRDefault="008E7D1C" w:rsidP="008E7D1C">
            <w:pPr>
              <w:jc w:val="right"/>
              <w:rPr>
                <w:rFonts w:ascii="Arial" w:hAnsi="Arial" w:cs="Arial"/>
                <w:b/>
                <w:sz w:val="16"/>
                <w:szCs w:val="16"/>
                <w:highlight w:val="yellow"/>
                <w:lang w:val="el-GR"/>
              </w:rPr>
            </w:pPr>
            <w:r w:rsidRPr="00BC10AD">
              <w:rPr>
                <w:rFonts w:ascii="Arial" w:hAnsi="Arial" w:cs="Arial"/>
                <w:b/>
                <w:sz w:val="16"/>
                <w:szCs w:val="16"/>
              </w:rPr>
              <w:t>2,38</w:t>
            </w:r>
            <w:r>
              <w:rPr>
                <w:rFonts w:ascii="Arial" w:hAnsi="Arial" w:cs="Arial"/>
                <w:b/>
                <w:sz w:val="16"/>
                <w:szCs w:val="16"/>
              </w:rPr>
              <w:t>7</w:t>
            </w:r>
          </w:p>
        </w:tc>
        <w:tc>
          <w:tcPr>
            <w:tcW w:w="1560" w:type="dxa"/>
            <w:tcBorders>
              <w:top w:val="single" w:sz="4" w:space="0" w:color="7F7F7F" w:themeColor="text1" w:themeTint="80"/>
              <w:bottom w:val="single" w:sz="4" w:space="0" w:color="7F7F7F" w:themeColor="text1" w:themeTint="80"/>
            </w:tcBorders>
            <w:vAlign w:val="center"/>
          </w:tcPr>
          <w:p w14:paraId="14E1CD3B" w14:textId="0953F00B" w:rsidR="008E7D1C" w:rsidRPr="00CB38F0" w:rsidRDefault="008E7D1C" w:rsidP="008E7D1C">
            <w:pPr>
              <w:jc w:val="right"/>
              <w:rPr>
                <w:rFonts w:ascii="Arial" w:hAnsi="Arial" w:cs="Arial"/>
                <w:b/>
                <w:sz w:val="16"/>
                <w:szCs w:val="16"/>
              </w:rPr>
            </w:pPr>
            <w:r w:rsidRPr="00CB38F0">
              <w:rPr>
                <w:rFonts w:ascii="Arial" w:hAnsi="Arial" w:cs="Arial"/>
                <w:b/>
                <w:sz w:val="16"/>
                <w:szCs w:val="16"/>
              </w:rPr>
              <w:t>2,247</w:t>
            </w:r>
          </w:p>
        </w:tc>
        <w:tc>
          <w:tcPr>
            <w:tcW w:w="1420" w:type="dxa"/>
            <w:tcBorders>
              <w:top w:val="single" w:sz="4" w:space="0" w:color="7F7F7F" w:themeColor="text1" w:themeTint="80"/>
              <w:bottom w:val="single" w:sz="4" w:space="0" w:color="7F7F7F" w:themeColor="text1" w:themeTint="80"/>
              <w:right w:val="single" w:sz="4" w:space="0" w:color="7F7F7F" w:themeColor="text1" w:themeTint="80"/>
            </w:tcBorders>
            <w:vAlign w:val="center"/>
          </w:tcPr>
          <w:p w14:paraId="358B1285" w14:textId="098A818E" w:rsidR="008E7D1C" w:rsidRPr="006B5511" w:rsidRDefault="008E7D1C" w:rsidP="008E7D1C">
            <w:pPr>
              <w:jc w:val="right"/>
              <w:rPr>
                <w:rFonts w:ascii="Arial" w:hAnsi="Arial" w:cs="Arial"/>
                <w:b/>
                <w:sz w:val="16"/>
                <w:szCs w:val="16"/>
                <w:highlight w:val="yellow"/>
              </w:rPr>
            </w:pPr>
            <w:r w:rsidRPr="00BC10AD">
              <w:rPr>
                <w:rFonts w:ascii="Arial" w:hAnsi="Arial" w:cs="Arial"/>
                <w:b/>
                <w:sz w:val="16"/>
                <w:szCs w:val="16"/>
              </w:rPr>
              <w:t>6%</w:t>
            </w:r>
          </w:p>
        </w:tc>
      </w:tr>
      <w:tr w:rsidR="008E7D1C" w:rsidRPr="006B5511" w14:paraId="3CB58203" w14:textId="77777777" w:rsidTr="001A1A82">
        <w:trPr>
          <w:trHeight w:val="342"/>
        </w:trPr>
        <w:tc>
          <w:tcPr>
            <w:tcW w:w="5699" w:type="dxa"/>
            <w:gridSpan w:val="2"/>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79574C7E" w14:textId="77777777" w:rsidR="008E7D1C" w:rsidRPr="006A1797" w:rsidRDefault="008E7D1C" w:rsidP="008E7D1C">
            <w:pPr>
              <w:rPr>
                <w:rFonts w:ascii="Arial" w:hAnsi="Arial" w:cs="Arial"/>
                <w:b/>
                <w:bCs/>
                <w:sz w:val="16"/>
                <w:szCs w:val="16"/>
              </w:rPr>
            </w:pPr>
            <w:r w:rsidRPr="006A1797">
              <w:rPr>
                <w:rFonts w:ascii="Arial" w:hAnsi="Arial" w:cs="Arial"/>
                <w:sz w:val="16"/>
                <w:szCs w:val="16"/>
              </w:rPr>
              <w:t>Λοιποί συμμετοχικοί τίτλοι</w:t>
            </w:r>
          </w:p>
        </w:tc>
        <w:tc>
          <w:tcPr>
            <w:tcW w:w="1562" w:type="dxa"/>
            <w:tcBorders>
              <w:top w:val="single" w:sz="4" w:space="0" w:color="7F7F7F" w:themeColor="text1" w:themeTint="80"/>
              <w:bottom w:val="single" w:sz="4" w:space="0" w:color="7F7F7F" w:themeColor="text1" w:themeTint="80"/>
            </w:tcBorders>
            <w:vAlign w:val="center"/>
          </w:tcPr>
          <w:p w14:paraId="251E6EB1" w14:textId="7FA5AF7B" w:rsidR="008E7D1C" w:rsidRPr="006B5511" w:rsidRDefault="008E7D1C" w:rsidP="008E7D1C">
            <w:pPr>
              <w:jc w:val="right"/>
              <w:rPr>
                <w:rFonts w:ascii="Arial" w:hAnsi="Arial" w:cs="Arial"/>
                <w:b/>
                <w:bCs/>
                <w:sz w:val="16"/>
                <w:szCs w:val="16"/>
                <w:highlight w:val="yellow"/>
              </w:rPr>
            </w:pPr>
            <w:r w:rsidRPr="00BC10AD">
              <w:rPr>
                <w:rFonts w:ascii="Arial" w:hAnsi="Arial" w:cs="Arial"/>
                <w:sz w:val="16"/>
                <w:szCs w:val="16"/>
              </w:rPr>
              <w:t>220</w:t>
            </w:r>
          </w:p>
        </w:tc>
        <w:tc>
          <w:tcPr>
            <w:tcW w:w="1560" w:type="dxa"/>
            <w:tcBorders>
              <w:top w:val="single" w:sz="4" w:space="0" w:color="7F7F7F" w:themeColor="text1" w:themeTint="80"/>
              <w:bottom w:val="single" w:sz="4" w:space="0" w:color="7F7F7F" w:themeColor="text1" w:themeTint="80"/>
            </w:tcBorders>
            <w:vAlign w:val="center"/>
          </w:tcPr>
          <w:p w14:paraId="1B894BF4" w14:textId="05D8C779" w:rsidR="008E7D1C" w:rsidRPr="007D7488" w:rsidRDefault="008E7D1C" w:rsidP="008E7D1C">
            <w:pPr>
              <w:jc w:val="right"/>
              <w:rPr>
                <w:rFonts w:ascii="Arial" w:hAnsi="Arial" w:cs="Arial"/>
                <w:sz w:val="16"/>
                <w:szCs w:val="16"/>
              </w:rPr>
            </w:pPr>
            <w:r w:rsidRPr="006A1797">
              <w:rPr>
                <w:rFonts w:ascii="Arial" w:hAnsi="Arial" w:cs="Arial"/>
                <w:sz w:val="16"/>
                <w:szCs w:val="16"/>
              </w:rPr>
              <w:t>220</w:t>
            </w:r>
          </w:p>
        </w:tc>
        <w:tc>
          <w:tcPr>
            <w:tcW w:w="1420" w:type="dxa"/>
            <w:tcBorders>
              <w:top w:val="single" w:sz="4" w:space="0" w:color="7F7F7F" w:themeColor="text1" w:themeTint="80"/>
              <w:bottom w:val="single" w:sz="4" w:space="0" w:color="7F7F7F" w:themeColor="text1" w:themeTint="80"/>
              <w:right w:val="single" w:sz="4" w:space="0" w:color="7F7F7F" w:themeColor="text1" w:themeTint="80"/>
            </w:tcBorders>
            <w:vAlign w:val="center"/>
          </w:tcPr>
          <w:p w14:paraId="7D338656" w14:textId="3C25F3FD" w:rsidR="008E7D1C" w:rsidRPr="006B5511" w:rsidRDefault="008E7D1C" w:rsidP="008E7D1C">
            <w:pPr>
              <w:jc w:val="right"/>
              <w:rPr>
                <w:rFonts w:ascii="Arial" w:hAnsi="Arial" w:cs="Arial"/>
                <w:sz w:val="16"/>
                <w:szCs w:val="16"/>
                <w:highlight w:val="yellow"/>
              </w:rPr>
            </w:pPr>
            <w:r w:rsidRPr="00BC10AD">
              <w:rPr>
                <w:rFonts w:ascii="Arial" w:hAnsi="Arial" w:cs="Arial"/>
                <w:b/>
                <w:sz w:val="16"/>
                <w:szCs w:val="16"/>
              </w:rPr>
              <w:t>-</w:t>
            </w:r>
          </w:p>
        </w:tc>
      </w:tr>
      <w:tr w:rsidR="008E7D1C" w:rsidRPr="006B5511" w14:paraId="7A16542F" w14:textId="77777777" w:rsidTr="00B043BD">
        <w:trPr>
          <w:trHeight w:val="281"/>
        </w:trPr>
        <w:tc>
          <w:tcPr>
            <w:tcW w:w="5699" w:type="dxa"/>
            <w:gridSpan w:val="2"/>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1A496ECE" w14:textId="77777777" w:rsidR="008E7D1C" w:rsidRPr="006A1797" w:rsidRDefault="008E7D1C" w:rsidP="008E7D1C">
            <w:pPr>
              <w:rPr>
                <w:rFonts w:ascii="Arial" w:hAnsi="Arial" w:cs="Arial"/>
                <w:b/>
                <w:bCs/>
                <w:sz w:val="16"/>
                <w:szCs w:val="16"/>
                <w:lang w:val="el-GR"/>
              </w:rPr>
            </w:pPr>
            <w:r w:rsidRPr="006A1797">
              <w:rPr>
                <w:rFonts w:ascii="Arial" w:hAnsi="Arial" w:cs="Arial"/>
                <w:b/>
                <w:sz w:val="16"/>
                <w:szCs w:val="16"/>
                <w:lang w:val="el-GR"/>
              </w:rPr>
              <w:t>Σύνολο κεφαλαίων εξαιρουμένων των δικαιωμάτων μειοψηφίας</w:t>
            </w:r>
          </w:p>
        </w:tc>
        <w:tc>
          <w:tcPr>
            <w:tcW w:w="1562" w:type="dxa"/>
            <w:tcBorders>
              <w:top w:val="single" w:sz="4" w:space="0" w:color="7F7F7F" w:themeColor="text1" w:themeTint="80"/>
              <w:bottom w:val="single" w:sz="4" w:space="0" w:color="7F7F7F" w:themeColor="text1" w:themeTint="80"/>
            </w:tcBorders>
            <w:vAlign w:val="center"/>
          </w:tcPr>
          <w:p w14:paraId="0E2C93C7" w14:textId="0FAE25B6" w:rsidR="008E7D1C" w:rsidRPr="006B5511" w:rsidRDefault="008E7D1C" w:rsidP="008E7D1C">
            <w:pPr>
              <w:jc w:val="right"/>
              <w:rPr>
                <w:rFonts w:ascii="Arial" w:hAnsi="Arial" w:cs="Arial"/>
                <w:b/>
                <w:bCs/>
                <w:sz w:val="16"/>
                <w:szCs w:val="16"/>
                <w:highlight w:val="yellow"/>
                <w:lang w:val="el-GR"/>
              </w:rPr>
            </w:pPr>
            <w:r w:rsidRPr="00BC10AD">
              <w:rPr>
                <w:rFonts w:ascii="Arial" w:hAnsi="Arial" w:cs="Arial"/>
                <w:b/>
                <w:bCs/>
                <w:sz w:val="16"/>
                <w:szCs w:val="16"/>
              </w:rPr>
              <w:t>2,60</w:t>
            </w:r>
            <w:r>
              <w:rPr>
                <w:rFonts w:ascii="Arial" w:hAnsi="Arial" w:cs="Arial"/>
                <w:b/>
                <w:bCs/>
                <w:sz w:val="16"/>
                <w:szCs w:val="16"/>
              </w:rPr>
              <w:t>7</w:t>
            </w:r>
          </w:p>
        </w:tc>
        <w:tc>
          <w:tcPr>
            <w:tcW w:w="1560" w:type="dxa"/>
            <w:tcBorders>
              <w:top w:val="single" w:sz="4" w:space="0" w:color="7F7F7F" w:themeColor="text1" w:themeTint="80"/>
              <w:bottom w:val="single" w:sz="4" w:space="0" w:color="7F7F7F" w:themeColor="text1" w:themeTint="80"/>
            </w:tcBorders>
            <w:vAlign w:val="center"/>
          </w:tcPr>
          <w:p w14:paraId="5F2E02F2" w14:textId="52BD8748" w:rsidR="008E7D1C" w:rsidRPr="00CB38F0" w:rsidRDefault="008E7D1C" w:rsidP="008E7D1C">
            <w:pPr>
              <w:jc w:val="right"/>
              <w:rPr>
                <w:rFonts w:ascii="Arial" w:hAnsi="Arial" w:cs="Arial"/>
                <w:b/>
                <w:bCs/>
                <w:sz w:val="16"/>
                <w:szCs w:val="16"/>
              </w:rPr>
            </w:pPr>
            <w:r w:rsidRPr="00CB38F0">
              <w:rPr>
                <w:rFonts w:ascii="Arial" w:hAnsi="Arial" w:cs="Arial"/>
                <w:b/>
                <w:bCs/>
                <w:sz w:val="16"/>
                <w:szCs w:val="16"/>
              </w:rPr>
              <w:t>2,467</w:t>
            </w:r>
          </w:p>
        </w:tc>
        <w:tc>
          <w:tcPr>
            <w:tcW w:w="1420" w:type="dxa"/>
            <w:tcBorders>
              <w:top w:val="single" w:sz="4" w:space="0" w:color="7F7F7F" w:themeColor="text1" w:themeTint="80"/>
              <w:bottom w:val="single" w:sz="4" w:space="0" w:color="7F7F7F" w:themeColor="text1" w:themeTint="80"/>
              <w:right w:val="single" w:sz="4" w:space="0" w:color="7F7F7F" w:themeColor="text1" w:themeTint="80"/>
            </w:tcBorders>
            <w:vAlign w:val="center"/>
          </w:tcPr>
          <w:p w14:paraId="0333ECF6" w14:textId="64C7AE16" w:rsidR="008E7D1C" w:rsidRPr="006B5511" w:rsidRDefault="008E7D1C" w:rsidP="008E7D1C">
            <w:pPr>
              <w:jc w:val="right"/>
              <w:rPr>
                <w:rFonts w:ascii="Arial" w:hAnsi="Arial" w:cs="Arial"/>
                <w:b/>
                <w:bCs/>
                <w:sz w:val="16"/>
                <w:szCs w:val="16"/>
                <w:highlight w:val="yellow"/>
              </w:rPr>
            </w:pPr>
            <w:r>
              <w:rPr>
                <w:rFonts w:ascii="Arial" w:hAnsi="Arial" w:cs="Arial"/>
                <w:b/>
                <w:bCs/>
                <w:sz w:val="16"/>
                <w:szCs w:val="16"/>
              </w:rPr>
              <w:t>6</w:t>
            </w:r>
            <w:r w:rsidRPr="00BC10AD">
              <w:rPr>
                <w:rFonts w:ascii="Arial" w:hAnsi="Arial" w:cs="Arial"/>
                <w:b/>
                <w:bCs/>
                <w:sz w:val="16"/>
                <w:szCs w:val="16"/>
              </w:rPr>
              <w:t>%</w:t>
            </w:r>
          </w:p>
        </w:tc>
      </w:tr>
      <w:tr w:rsidR="008E7D1C" w:rsidRPr="006B5511" w14:paraId="063B9400" w14:textId="77777777" w:rsidTr="001A1A82">
        <w:trPr>
          <w:trHeight w:val="342"/>
        </w:trPr>
        <w:tc>
          <w:tcPr>
            <w:tcW w:w="5699" w:type="dxa"/>
            <w:gridSpan w:val="2"/>
            <w:tcBorders>
              <w:top w:val="single" w:sz="4" w:space="0" w:color="7F7F7F" w:themeColor="text1" w:themeTint="80"/>
              <w:bottom w:val="single" w:sz="4" w:space="0" w:color="7F7F7F" w:themeColor="text1" w:themeTint="80"/>
            </w:tcBorders>
            <w:vAlign w:val="center"/>
          </w:tcPr>
          <w:p w14:paraId="45A87F78" w14:textId="77777777" w:rsidR="008E7D1C" w:rsidRPr="006A1797" w:rsidRDefault="008E7D1C" w:rsidP="008E7D1C">
            <w:pPr>
              <w:rPr>
                <w:rFonts w:ascii="Arial" w:hAnsi="Arial" w:cs="Arial"/>
                <w:b/>
                <w:bCs/>
                <w:sz w:val="16"/>
                <w:szCs w:val="16"/>
              </w:rPr>
            </w:pPr>
            <w:r w:rsidRPr="006A1797">
              <w:rPr>
                <w:rFonts w:ascii="Arial" w:hAnsi="Arial" w:cs="Arial"/>
                <w:color w:val="000000"/>
                <w:sz w:val="16"/>
                <w:szCs w:val="16"/>
                <w:lang w:val="el-GR"/>
              </w:rPr>
              <w:t>Δικαιώματα μειοψηφίας</w:t>
            </w:r>
          </w:p>
        </w:tc>
        <w:tc>
          <w:tcPr>
            <w:tcW w:w="1562" w:type="dxa"/>
            <w:tcBorders>
              <w:top w:val="single" w:sz="4" w:space="0" w:color="7F7F7F" w:themeColor="text1" w:themeTint="80"/>
              <w:bottom w:val="single" w:sz="4" w:space="0" w:color="7F7F7F" w:themeColor="text1" w:themeTint="80"/>
            </w:tcBorders>
            <w:vAlign w:val="center"/>
          </w:tcPr>
          <w:p w14:paraId="6C2EFAD4" w14:textId="35CE14A5" w:rsidR="008E7D1C" w:rsidRPr="006B5511" w:rsidRDefault="008E7D1C" w:rsidP="008E7D1C">
            <w:pPr>
              <w:jc w:val="right"/>
              <w:rPr>
                <w:rFonts w:ascii="Arial" w:hAnsi="Arial" w:cs="Arial"/>
                <w:b/>
                <w:bCs/>
                <w:sz w:val="16"/>
                <w:szCs w:val="16"/>
                <w:highlight w:val="yellow"/>
              </w:rPr>
            </w:pPr>
            <w:r w:rsidRPr="00BC10AD">
              <w:rPr>
                <w:rFonts w:ascii="Arial" w:hAnsi="Arial" w:cs="Arial"/>
                <w:sz w:val="16"/>
                <w:szCs w:val="16"/>
              </w:rPr>
              <w:t>22</w:t>
            </w:r>
          </w:p>
        </w:tc>
        <w:tc>
          <w:tcPr>
            <w:tcW w:w="1560" w:type="dxa"/>
            <w:tcBorders>
              <w:top w:val="single" w:sz="4" w:space="0" w:color="7F7F7F" w:themeColor="text1" w:themeTint="80"/>
              <w:bottom w:val="single" w:sz="4" w:space="0" w:color="7F7F7F" w:themeColor="text1" w:themeTint="80"/>
            </w:tcBorders>
            <w:vAlign w:val="center"/>
          </w:tcPr>
          <w:p w14:paraId="615987DB" w14:textId="2E78224C" w:rsidR="008E7D1C" w:rsidRPr="007D7488" w:rsidRDefault="008E7D1C" w:rsidP="008E7D1C">
            <w:pPr>
              <w:jc w:val="right"/>
              <w:rPr>
                <w:rFonts w:ascii="Arial" w:hAnsi="Arial" w:cs="Arial"/>
                <w:sz w:val="16"/>
                <w:szCs w:val="16"/>
              </w:rPr>
            </w:pPr>
            <w:r w:rsidRPr="006A1797">
              <w:rPr>
                <w:rFonts w:ascii="Arial" w:hAnsi="Arial" w:cs="Arial"/>
                <w:sz w:val="16"/>
                <w:szCs w:val="16"/>
              </w:rPr>
              <w:t>21</w:t>
            </w:r>
          </w:p>
        </w:tc>
        <w:tc>
          <w:tcPr>
            <w:tcW w:w="1420" w:type="dxa"/>
            <w:tcBorders>
              <w:top w:val="single" w:sz="4" w:space="0" w:color="7F7F7F" w:themeColor="text1" w:themeTint="80"/>
              <w:bottom w:val="single" w:sz="4" w:space="0" w:color="7F7F7F" w:themeColor="text1" w:themeTint="80"/>
            </w:tcBorders>
            <w:vAlign w:val="center"/>
          </w:tcPr>
          <w:p w14:paraId="42BDCBAD" w14:textId="58972376" w:rsidR="008E7D1C" w:rsidRPr="006B5511" w:rsidRDefault="008E7D1C" w:rsidP="008E7D1C">
            <w:pPr>
              <w:jc w:val="right"/>
              <w:rPr>
                <w:rFonts w:ascii="Arial" w:hAnsi="Arial" w:cs="Arial"/>
                <w:b/>
                <w:bCs/>
                <w:sz w:val="16"/>
                <w:szCs w:val="16"/>
                <w:highlight w:val="yellow"/>
              </w:rPr>
            </w:pPr>
            <w:r w:rsidRPr="00BC10AD">
              <w:rPr>
                <w:rFonts w:ascii="Arial" w:hAnsi="Arial" w:cs="Arial"/>
                <w:b/>
                <w:bCs/>
                <w:sz w:val="16"/>
                <w:szCs w:val="16"/>
              </w:rPr>
              <w:t>5%</w:t>
            </w:r>
          </w:p>
        </w:tc>
      </w:tr>
      <w:tr w:rsidR="008E7D1C" w:rsidRPr="006B5511" w14:paraId="6A8FE412" w14:textId="77777777" w:rsidTr="00851F20">
        <w:trPr>
          <w:trHeight w:val="331"/>
        </w:trPr>
        <w:tc>
          <w:tcPr>
            <w:tcW w:w="5699" w:type="dxa"/>
            <w:gridSpan w:val="2"/>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36A989E9" w14:textId="77777777" w:rsidR="008E7D1C" w:rsidRPr="006A1797" w:rsidRDefault="008E7D1C" w:rsidP="008E7D1C">
            <w:pPr>
              <w:rPr>
                <w:rFonts w:ascii="Arial" w:hAnsi="Arial" w:cs="Arial"/>
                <w:b/>
                <w:bCs/>
                <w:sz w:val="16"/>
                <w:szCs w:val="16"/>
              </w:rPr>
            </w:pPr>
            <w:r w:rsidRPr="006A1797">
              <w:rPr>
                <w:rFonts w:ascii="Arial" w:hAnsi="Arial" w:cs="Arial"/>
                <w:b/>
                <w:bCs/>
                <w:color w:val="000000"/>
                <w:sz w:val="16"/>
                <w:szCs w:val="16"/>
                <w:lang w:val="el-GR"/>
              </w:rPr>
              <w:t>Σύνολο ιδίων κεφαλαίων</w:t>
            </w:r>
          </w:p>
        </w:tc>
        <w:tc>
          <w:tcPr>
            <w:tcW w:w="1562" w:type="dxa"/>
            <w:tcBorders>
              <w:top w:val="single" w:sz="4" w:space="0" w:color="7F7F7F" w:themeColor="text1" w:themeTint="80"/>
              <w:bottom w:val="single" w:sz="4" w:space="0" w:color="7F7F7F" w:themeColor="text1" w:themeTint="80"/>
            </w:tcBorders>
            <w:vAlign w:val="center"/>
          </w:tcPr>
          <w:p w14:paraId="211C752E" w14:textId="3E0AB343" w:rsidR="008E7D1C" w:rsidRPr="006B5511" w:rsidRDefault="008E7D1C" w:rsidP="008E7D1C">
            <w:pPr>
              <w:jc w:val="right"/>
              <w:rPr>
                <w:rFonts w:ascii="Arial" w:hAnsi="Arial" w:cs="Arial"/>
                <w:b/>
                <w:bCs/>
                <w:sz w:val="16"/>
                <w:szCs w:val="16"/>
                <w:highlight w:val="yellow"/>
              </w:rPr>
            </w:pPr>
            <w:r w:rsidRPr="00BC10AD">
              <w:rPr>
                <w:rFonts w:ascii="Arial" w:hAnsi="Arial" w:cs="Arial"/>
                <w:b/>
                <w:bCs/>
                <w:sz w:val="16"/>
                <w:szCs w:val="16"/>
              </w:rPr>
              <w:t>2,62</w:t>
            </w:r>
            <w:r>
              <w:rPr>
                <w:rFonts w:ascii="Arial" w:hAnsi="Arial" w:cs="Arial"/>
                <w:b/>
                <w:bCs/>
                <w:sz w:val="16"/>
                <w:szCs w:val="16"/>
              </w:rPr>
              <w:t>9</w:t>
            </w:r>
          </w:p>
        </w:tc>
        <w:tc>
          <w:tcPr>
            <w:tcW w:w="1560" w:type="dxa"/>
            <w:tcBorders>
              <w:top w:val="single" w:sz="4" w:space="0" w:color="7F7F7F" w:themeColor="text1" w:themeTint="80"/>
              <w:bottom w:val="single" w:sz="4" w:space="0" w:color="7F7F7F" w:themeColor="text1" w:themeTint="80"/>
            </w:tcBorders>
            <w:vAlign w:val="center"/>
          </w:tcPr>
          <w:p w14:paraId="5BC82EC4" w14:textId="375E151F" w:rsidR="008E7D1C" w:rsidRPr="00CB38F0" w:rsidRDefault="008E7D1C" w:rsidP="008E7D1C">
            <w:pPr>
              <w:jc w:val="right"/>
              <w:rPr>
                <w:rFonts w:ascii="Arial" w:hAnsi="Arial" w:cs="Arial"/>
                <w:b/>
                <w:bCs/>
                <w:sz w:val="16"/>
                <w:szCs w:val="16"/>
              </w:rPr>
            </w:pPr>
            <w:r w:rsidRPr="00CB38F0">
              <w:rPr>
                <w:rFonts w:ascii="Arial" w:hAnsi="Arial" w:cs="Arial"/>
                <w:b/>
                <w:bCs/>
                <w:sz w:val="16"/>
                <w:szCs w:val="16"/>
              </w:rPr>
              <w:t>2,488</w:t>
            </w:r>
          </w:p>
        </w:tc>
        <w:tc>
          <w:tcPr>
            <w:tcW w:w="1420" w:type="dxa"/>
            <w:tcBorders>
              <w:top w:val="single" w:sz="4" w:space="0" w:color="7F7F7F" w:themeColor="text1" w:themeTint="80"/>
              <w:bottom w:val="single" w:sz="4" w:space="0" w:color="7F7F7F" w:themeColor="text1" w:themeTint="80"/>
              <w:right w:val="single" w:sz="4" w:space="0" w:color="7F7F7F" w:themeColor="text1" w:themeTint="80"/>
            </w:tcBorders>
            <w:vAlign w:val="center"/>
          </w:tcPr>
          <w:p w14:paraId="29B6F2DD" w14:textId="01E9B3F7" w:rsidR="008E7D1C" w:rsidRPr="006B5511" w:rsidRDefault="008E7D1C" w:rsidP="008E7D1C">
            <w:pPr>
              <w:jc w:val="right"/>
              <w:rPr>
                <w:rFonts w:ascii="Arial" w:hAnsi="Arial" w:cs="Arial"/>
                <w:b/>
                <w:bCs/>
                <w:sz w:val="16"/>
                <w:szCs w:val="16"/>
                <w:highlight w:val="yellow"/>
              </w:rPr>
            </w:pPr>
            <w:r>
              <w:rPr>
                <w:rFonts w:ascii="Arial" w:hAnsi="Arial" w:cs="Arial"/>
                <w:b/>
                <w:bCs/>
                <w:sz w:val="16"/>
                <w:szCs w:val="16"/>
              </w:rPr>
              <w:t>6</w:t>
            </w:r>
            <w:r w:rsidRPr="00BC10AD">
              <w:rPr>
                <w:rFonts w:ascii="Arial" w:hAnsi="Arial" w:cs="Arial"/>
                <w:b/>
                <w:bCs/>
                <w:sz w:val="16"/>
                <w:szCs w:val="16"/>
              </w:rPr>
              <w:t>%</w:t>
            </w:r>
          </w:p>
        </w:tc>
      </w:tr>
      <w:tr w:rsidR="008E7D1C" w:rsidRPr="006B5511" w14:paraId="5AC29832" w14:textId="77777777" w:rsidTr="00851F20">
        <w:trPr>
          <w:trHeight w:val="264"/>
        </w:trPr>
        <w:tc>
          <w:tcPr>
            <w:tcW w:w="5699" w:type="dxa"/>
            <w:gridSpan w:val="2"/>
            <w:tcBorders>
              <w:top w:val="single" w:sz="4" w:space="0" w:color="7F7F7F" w:themeColor="text1" w:themeTint="80"/>
              <w:left w:val="single" w:sz="4" w:space="0" w:color="7F7F7F" w:themeColor="text1" w:themeTint="80"/>
              <w:bottom w:val="single" w:sz="4" w:space="0" w:color="A6A6A6" w:themeColor="background1" w:themeShade="A6"/>
            </w:tcBorders>
            <w:vAlign w:val="center"/>
          </w:tcPr>
          <w:p w14:paraId="2D2D73F0" w14:textId="77777777" w:rsidR="008E7D1C" w:rsidRPr="006A1797" w:rsidRDefault="008E7D1C" w:rsidP="008E7D1C">
            <w:pPr>
              <w:rPr>
                <w:rFonts w:ascii="Arial" w:hAnsi="Arial" w:cs="Arial"/>
                <w:b/>
                <w:bCs/>
                <w:sz w:val="16"/>
                <w:szCs w:val="16"/>
                <w:lang w:val="el-GR"/>
              </w:rPr>
            </w:pPr>
            <w:r w:rsidRPr="006A1797">
              <w:rPr>
                <w:rFonts w:ascii="Arial" w:hAnsi="Arial" w:cs="Arial"/>
                <w:b/>
                <w:bCs/>
                <w:color w:val="000000"/>
                <w:sz w:val="16"/>
                <w:szCs w:val="16"/>
                <w:lang w:val="el-GR"/>
              </w:rPr>
              <w:t>Σύνολο υποχρεώσεων και ιδίων κεφαλαίων</w:t>
            </w:r>
          </w:p>
        </w:tc>
        <w:tc>
          <w:tcPr>
            <w:tcW w:w="1562" w:type="dxa"/>
            <w:tcBorders>
              <w:top w:val="single" w:sz="4" w:space="0" w:color="7F7F7F" w:themeColor="text1" w:themeTint="80"/>
              <w:bottom w:val="single" w:sz="4" w:space="0" w:color="A6A6A6" w:themeColor="background1" w:themeShade="A6"/>
            </w:tcBorders>
            <w:vAlign w:val="center"/>
          </w:tcPr>
          <w:p w14:paraId="43C57928" w14:textId="1ED82951" w:rsidR="008E7D1C" w:rsidRPr="006B5511" w:rsidRDefault="008E7D1C" w:rsidP="008E7D1C">
            <w:pPr>
              <w:jc w:val="right"/>
              <w:rPr>
                <w:rFonts w:ascii="Arial" w:hAnsi="Arial" w:cs="Arial"/>
                <w:b/>
                <w:bCs/>
                <w:sz w:val="16"/>
                <w:szCs w:val="16"/>
                <w:highlight w:val="yellow"/>
                <w:lang w:val="el-GR"/>
              </w:rPr>
            </w:pPr>
            <w:r w:rsidRPr="00BC10AD">
              <w:rPr>
                <w:rFonts w:ascii="Arial" w:hAnsi="Arial" w:cs="Arial"/>
                <w:b/>
                <w:bCs/>
                <w:sz w:val="16"/>
                <w:szCs w:val="16"/>
              </w:rPr>
              <w:t>25,46</w:t>
            </w:r>
            <w:r>
              <w:rPr>
                <w:rFonts w:ascii="Arial" w:hAnsi="Arial" w:cs="Arial"/>
                <w:b/>
                <w:bCs/>
                <w:sz w:val="16"/>
                <w:szCs w:val="16"/>
              </w:rPr>
              <w:t>6</w:t>
            </w:r>
          </w:p>
        </w:tc>
        <w:tc>
          <w:tcPr>
            <w:tcW w:w="1560" w:type="dxa"/>
            <w:tcBorders>
              <w:top w:val="single" w:sz="4" w:space="0" w:color="7F7F7F" w:themeColor="text1" w:themeTint="80"/>
              <w:bottom w:val="single" w:sz="4" w:space="0" w:color="A6A6A6" w:themeColor="background1" w:themeShade="A6"/>
            </w:tcBorders>
            <w:vAlign w:val="center"/>
          </w:tcPr>
          <w:p w14:paraId="09C5CB80" w14:textId="55DD8E14" w:rsidR="008E7D1C" w:rsidRPr="00CB38F0" w:rsidRDefault="008E7D1C" w:rsidP="008E7D1C">
            <w:pPr>
              <w:jc w:val="right"/>
              <w:rPr>
                <w:rFonts w:ascii="Arial" w:hAnsi="Arial" w:cs="Arial"/>
                <w:b/>
                <w:bCs/>
                <w:sz w:val="16"/>
                <w:szCs w:val="16"/>
              </w:rPr>
            </w:pPr>
            <w:r w:rsidRPr="00CB38F0">
              <w:rPr>
                <w:rFonts w:ascii="Arial" w:hAnsi="Arial" w:cs="Arial"/>
                <w:b/>
                <w:bCs/>
                <w:sz w:val="16"/>
                <w:szCs w:val="16"/>
              </w:rPr>
              <w:t>26,629</w:t>
            </w:r>
          </w:p>
        </w:tc>
        <w:tc>
          <w:tcPr>
            <w:tcW w:w="1420" w:type="dxa"/>
            <w:tcBorders>
              <w:top w:val="single" w:sz="4" w:space="0" w:color="7F7F7F" w:themeColor="text1" w:themeTint="80"/>
              <w:bottom w:val="single" w:sz="4" w:space="0" w:color="A6A6A6" w:themeColor="background1" w:themeShade="A6"/>
              <w:right w:val="single" w:sz="4" w:space="0" w:color="7F7F7F" w:themeColor="text1" w:themeTint="80"/>
            </w:tcBorders>
            <w:vAlign w:val="center"/>
          </w:tcPr>
          <w:p w14:paraId="041CAA6C" w14:textId="0AD07DBF" w:rsidR="008E7D1C" w:rsidRPr="006B5511" w:rsidRDefault="008E7D1C" w:rsidP="008E7D1C">
            <w:pPr>
              <w:jc w:val="right"/>
              <w:rPr>
                <w:rFonts w:ascii="Arial" w:hAnsi="Arial" w:cs="Arial"/>
                <w:b/>
                <w:bCs/>
                <w:sz w:val="16"/>
                <w:szCs w:val="16"/>
                <w:highlight w:val="yellow"/>
              </w:rPr>
            </w:pPr>
            <w:r w:rsidRPr="00BC10AD">
              <w:rPr>
                <w:rFonts w:ascii="Arial" w:hAnsi="Arial" w:cs="Arial"/>
                <w:b/>
                <w:bCs/>
                <w:sz w:val="16"/>
                <w:szCs w:val="16"/>
              </w:rPr>
              <w:t>-4%</w:t>
            </w:r>
          </w:p>
        </w:tc>
      </w:tr>
    </w:tbl>
    <w:tbl>
      <w:tblPr>
        <w:tblStyle w:val="TableGrid"/>
        <w:tblpPr w:leftFromText="180" w:rightFromText="180" w:vertAnchor="text" w:horzAnchor="margin" w:tblpX="-289" w:tblpY="216"/>
        <w:tblW w:w="10201" w:type="dxa"/>
        <w:tblLayout w:type="fixed"/>
        <w:tblLook w:val="04A0" w:firstRow="1" w:lastRow="0" w:firstColumn="1" w:lastColumn="0" w:noHBand="0" w:noVBand="1"/>
      </w:tblPr>
      <w:tblGrid>
        <w:gridCol w:w="3538"/>
        <w:gridCol w:w="1705"/>
        <w:gridCol w:w="1984"/>
        <w:gridCol w:w="1700"/>
        <w:gridCol w:w="1274"/>
      </w:tblGrid>
      <w:tr w:rsidR="003868FF" w:rsidRPr="003868FF" w14:paraId="7C6F2B6A" w14:textId="77777777" w:rsidTr="003868FF">
        <w:trPr>
          <w:trHeight w:val="126"/>
        </w:trPr>
        <w:tc>
          <w:tcPr>
            <w:tcW w:w="3538" w:type="dxa"/>
            <w:tcBorders>
              <w:top w:val="single" w:sz="4" w:space="0" w:color="auto"/>
              <w:left w:val="single" w:sz="4" w:space="0" w:color="auto"/>
              <w:bottom w:val="single" w:sz="4" w:space="0" w:color="A6A6A6" w:themeColor="background1" w:themeShade="A6"/>
              <w:right w:val="nil"/>
            </w:tcBorders>
            <w:vAlign w:val="center"/>
          </w:tcPr>
          <w:p w14:paraId="055C10AE" w14:textId="116699F9" w:rsidR="003868FF" w:rsidRPr="006A1797" w:rsidRDefault="003868FF" w:rsidP="003868FF">
            <w:pPr>
              <w:spacing w:line="360" w:lineRule="auto"/>
              <w:rPr>
                <w:rFonts w:ascii="Arial" w:hAnsi="Arial" w:cs="Arial"/>
                <w:b/>
                <w:bCs/>
                <w:color w:val="FF9900"/>
                <w:sz w:val="16"/>
                <w:szCs w:val="16"/>
                <w:lang w:val="el-GR"/>
              </w:rPr>
            </w:pPr>
            <w:bookmarkStart w:id="5" w:name="_Hlk34962818"/>
            <w:r w:rsidRPr="006A1797">
              <w:rPr>
                <w:rFonts w:ascii="Arial" w:hAnsi="Arial" w:cs="Arial"/>
                <w:b/>
                <w:color w:val="000000"/>
                <w:sz w:val="16"/>
                <w:szCs w:val="16"/>
                <w:lang w:val="el-GR"/>
              </w:rPr>
              <w:t>Κύρια Στοιχεία και Δείκτες Ισολογισμού</w:t>
            </w:r>
          </w:p>
        </w:tc>
        <w:tc>
          <w:tcPr>
            <w:tcW w:w="1705" w:type="dxa"/>
            <w:tcBorders>
              <w:top w:val="single" w:sz="4" w:space="0" w:color="auto"/>
              <w:left w:val="nil"/>
              <w:bottom w:val="single" w:sz="4" w:space="0" w:color="A6A6A6" w:themeColor="background1" w:themeShade="A6"/>
              <w:right w:val="nil"/>
            </w:tcBorders>
          </w:tcPr>
          <w:p w14:paraId="37F89617" w14:textId="77777777" w:rsidR="003868FF" w:rsidRPr="006B5511" w:rsidRDefault="003868FF" w:rsidP="003868FF">
            <w:pPr>
              <w:spacing w:line="360" w:lineRule="auto"/>
              <w:rPr>
                <w:rFonts w:ascii="Arial" w:hAnsi="Arial" w:cs="Arial"/>
                <w:b/>
                <w:bCs/>
                <w:color w:val="FF9900"/>
                <w:sz w:val="16"/>
                <w:szCs w:val="16"/>
                <w:highlight w:val="yellow"/>
                <w:lang w:val="el-GR"/>
              </w:rPr>
            </w:pPr>
          </w:p>
        </w:tc>
        <w:tc>
          <w:tcPr>
            <w:tcW w:w="1984" w:type="dxa"/>
            <w:tcBorders>
              <w:top w:val="single" w:sz="4" w:space="0" w:color="auto"/>
              <w:left w:val="nil"/>
              <w:bottom w:val="single" w:sz="4" w:space="0" w:color="A6A6A6" w:themeColor="background1" w:themeShade="A6"/>
              <w:right w:val="nil"/>
            </w:tcBorders>
            <w:vAlign w:val="center"/>
          </w:tcPr>
          <w:p w14:paraId="53812C28" w14:textId="7B74B078" w:rsidR="003868FF" w:rsidRPr="006B5511" w:rsidRDefault="003868FF" w:rsidP="003868FF">
            <w:pPr>
              <w:jc w:val="right"/>
              <w:rPr>
                <w:rFonts w:ascii="Arial" w:hAnsi="Arial" w:cs="Arial"/>
                <w:b/>
                <w:bCs/>
                <w:sz w:val="16"/>
                <w:szCs w:val="16"/>
                <w:highlight w:val="yellow"/>
                <w:lang w:val="el-GR"/>
              </w:rPr>
            </w:pPr>
            <w:r w:rsidRPr="00944CC0">
              <w:rPr>
                <w:rFonts w:ascii="Arial" w:hAnsi="Arial" w:cs="Arial"/>
                <w:b/>
                <w:bCs/>
                <w:sz w:val="16"/>
                <w:szCs w:val="16"/>
              </w:rPr>
              <w:t>30.06.2024</w:t>
            </w:r>
          </w:p>
        </w:tc>
        <w:tc>
          <w:tcPr>
            <w:tcW w:w="1700" w:type="dxa"/>
            <w:tcBorders>
              <w:top w:val="single" w:sz="4" w:space="0" w:color="auto"/>
              <w:left w:val="nil"/>
              <w:bottom w:val="single" w:sz="4" w:space="0" w:color="A6A6A6" w:themeColor="background1" w:themeShade="A6"/>
              <w:right w:val="nil"/>
            </w:tcBorders>
            <w:vAlign w:val="center"/>
          </w:tcPr>
          <w:p w14:paraId="56A2B0A5" w14:textId="74425729" w:rsidR="003868FF" w:rsidRPr="00CB38F0" w:rsidRDefault="003868FF" w:rsidP="003868FF">
            <w:pPr>
              <w:jc w:val="right"/>
              <w:rPr>
                <w:rFonts w:ascii="Arial" w:hAnsi="Arial" w:cs="Arial"/>
                <w:b/>
                <w:bCs/>
                <w:sz w:val="16"/>
                <w:szCs w:val="16"/>
                <w:lang w:val="el-GR"/>
              </w:rPr>
            </w:pPr>
            <w:r w:rsidRPr="00013E5F">
              <w:rPr>
                <w:rFonts w:ascii="Arial" w:hAnsi="Arial" w:cs="Arial"/>
                <w:b/>
                <w:bCs/>
                <w:sz w:val="16"/>
                <w:szCs w:val="16"/>
              </w:rPr>
              <w:t>31.12.20</w:t>
            </w:r>
            <w:r w:rsidRPr="00013E5F">
              <w:rPr>
                <w:rFonts w:ascii="Arial Bold" w:hAnsi="Arial Bold" w:cs="Arial"/>
                <w:b/>
                <w:bCs/>
                <w:sz w:val="16"/>
                <w:szCs w:val="16"/>
              </w:rPr>
              <w:t>23</w:t>
            </w:r>
            <w:r w:rsidRPr="00013E5F">
              <w:rPr>
                <w:rFonts w:ascii="Arial" w:hAnsi="Arial" w:cs="Arial"/>
                <w:sz w:val="16"/>
                <w:szCs w:val="16"/>
              </w:rPr>
              <w:t xml:space="preserve">   </w:t>
            </w:r>
          </w:p>
        </w:tc>
        <w:tc>
          <w:tcPr>
            <w:tcW w:w="1274" w:type="dxa"/>
            <w:tcBorders>
              <w:top w:val="single" w:sz="4" w:space="0" w:color="auto"/>
              <w:left w:val="nil"/>
              <w:bottom w:val="single" w:sz="4" w:space="0" w:color="A6A6A6" w:themeColor="background1" w:themeShade="A6"/>
              <w:right w:val="single" w:sz="4" w:space="0" w:color="auto"/>
            </w:tcBorders>
            <w:vAlign w:val="center"/>
          </w:tcPr>
          <w:p w14:paraId="3A5F7DF0" w14:textId="3210F127" w:rsidR="003868FF" w:rsidRPr="006A1797" w:rsidRDefault="003868FF" w:rsidP="003868FF">
            <w:pPr>
              <w:jc w:val="right"/>
              <w:rPr>
                <w:rFonts w:ascii="Arial" w:hAnsi="Arial" w:cs="Arial"/>
                <w:b/>
                <w:bCs/>
                <w:color w:val="FF9900"/>
                <w:sz w:val="16"/>
                <w:szCs w:val="16"/>
                <w:lang w:val="el-GR"/>
              </w:rPr>
            </w:pPr>
            <w:r w:rsidRPr="006A1797">
              <w:rPr>
                <w:rFonts w:ascii="Arial" w:hAnsi="Arial" w:cs="Arial"/>
                <w:b/>
                <w:bCs/>
                <w:sz w:val="16"/>
                <w:szCs w:val="16"/>
                <w:u w:val="single"/>
              </w:rPr>
              <w:t>+</w:t>
            </w:r>
          </w:p>
        </w:tc>
      </w:tr>
      <w:tr w:rsidR="008E7D1C" w:rsidRPr="006B5511" w14:paraId="541B2AEE" w14:textId="77777777" w:rsidTr="003868FF">
        <w:trPr>
          <w:trHeight w:val="96"/>
        </w:trPr>
        <w:tc>
          <w:tcPr>
            <w:tcW w:w="3538" w:type="dxa"/>
            <w:tcBorders>
              <w:top w:val="single" w:sz="4" w:space="0" w:color="A6A6A6" w:themeColor="background1" w:themeShade="A6"/>
              <w:left w:val="single" w:sz="4" w:space="0" w:color="auto"/>
              <w:bottom w:val="single" w:sz="4" w:space="0" w:color="A6A6A6" w:themeColor="background1" w:themeShade="A6"/>
              <w:right w:val="nil"/>
            </w:tcBorders>
            <w:vAlign w:val="center"/>
          </w:tcPr>
          <w:p w14:paraId="4FE1696F" w14:textId="6A235530" w:rsidR="008E7D1C" w:rsidRPr="006A1797" w:rsidRDefault="008E7D1C" w:rsidP="008E7D1C">
            <w:pPr>
              <w:rPr>
                <w:rFonts w:ascii="Arial" w:eastAsia="Batang" w:hAnsi="Arial" w:cs="Arial"/>
                <w:bCs/>
                <w:color w:val="262626"/>
                <w:sz w:val="16"/>
                <w:szCs w:val="16"/>
                <w:lang w:val="el-GR"/>
              </w:rPr>
            </w:pPr>
            <w:r w:rsidRPr="006A1797">
              <w:rPr>
                <w:rFonts w:ascii="Arial" w:eastAsia="Batang" w:hAnsi="Arial" w:cs="Arial"/>
                <w:bCs/>
                <w:color w:val="262626"/>
                <w:sz w:val="16"/>
                <w:szCs w:val="16"/>
                <w:lang w:val="el-GR"/>
              </w:rPr>
              <w:t>Δάνεια (€ εκατ.)</w:t>
            </w:r>
          </w:p>
        </w:tc>
        <w:tc>
          <w:tcPr>
            <w:tcW w:w="1705" w:type="dxa"/>
            <w:tcBorders>
              <w:top w:val="single" w:sz="4" w:space="0" w:color="A6A6A6" w:themeColor="background1" w:themeShade="A6"/>
              <w:left w:val="nil"/>
              <w:bottom w:val="single" w:sz="4" w:space="0" w:color="A6A6A6" w:themeColor="background1" w:themeShade="A6"/>
              <w:right w:val="nil"/>
            </w:tcBorders>
          </w:tcPr>
          <w:p w14:paraId="15969EC5" w14:textId="77777777" w:rsidR="008E7D1C" w:rsidRPr="006B5511" w:rsidRDefault="008E7D1C" w:rsidP="008E7D1C">
            <w:pPr>
              <w:spacing w:line="360" w:lineRule="auto"/>
              <w:rPr>
                <w:rFonts w:ascii="Arial" w:hAnsi="Arial" w:cs="Arial"/>
                <w:b/>
                <w:bCs/>
                <w:color w:val="FF9900"/>
                <w:sz w:val="16"/>
                <w:szCs w:val="16"/>
                <w:highlight w:val="yellow"/>
                <w:lang w:val="el-GR"/>
              </w:rPr>
            </w:pPr>
          </w:p>
        </w:tc>
        <w:tc>
          <w:tcPr>
            <w:tcW w:w="1984" w:type="dxa"/>
            <w:tcBorders>
              <w:top w:val="single" w:sz="4" w:space="0" w:color="A6A6A6" w:themeColor="background1" w:themeShade="A6"/>
              <w:left w:val="nil"/>
              <w:bottom w:val="single" w:sz="4" w:space="0" w:color="A6A6A6" w:themeColor="background1" w:themeShade="A6"/>
              <w:right w:val="nil"/>
            </w:tcBorders>
            <w:vAlign w:val="center"/>
          </w:tcPr>
          <w:p w14:paraId="02E3205A" w14:textId="71648CF7" w:rsidR="008E7D1C" w:rsidRPr="006B5511" w:rsidRDefault="008E7D1C" w:rsidP="008E7D1C">
            <w:pPr>
              <w:jc w:val="right"/>
              <w:rPr>
                <w:rFonts w:ascii="Arial" w:hAnsi="Arial" w:cs="Arial"/>
                <w:b/>
                <w:bCs/>
                <w:sz w:val="16"/>
                <w:szCs w:val="16"/>
                <w:highlight w:val="yellow"/>
              </w:rPr>
            </w:pPr>
            <w:r w:rsidRPr="00236469">
              <w:rPr>
                <w:rFonts w:ascii="Arial" w:hAnsi="Arial" w:cs="Arial"/>
                <w:b/>
                <w:bCs/>
                <w:sz w:val="16"/>
                <w:szCs w:val="16"/>
              </w:rPr>
              <w:t>10,318</w:t>
            </w:r>
          </w:p>
        </w:tc>
        <w:tc>
          <w:tcPr>
            <w:tcW w:w="1700" w:type="dxa"/>
            <w:tcBorders>
              <w:top w:val="single" w:sz="4" w:space="0" w:color="A6A6A6" w:themeColor="background1" w:themeShade="A6"/>
              <w:left w:val="nil"/>
              <w:bottom w:val="single" w:sz="4" w:space="0" w:color="A6A6A6" w:themeColor="background1" w:themeShade="A6"/>
              <w:right w:val="nil"/>
            </w:tcBorders>
            <w:vAlign w:val="center"/>
          </w:tcPr>
          <w:p w14:paraId="4E559E11" w14:textId="1E2A5C06" w:rsidR="008E7D1C" w:rsidRPr="00CB38F0" w:rsidRDefault="008E7D1C" w:rsidP="008E7D1C">
            <w:pPr>
              <w:jc w:val="right"/>
              <w:rPr>
                <w:rFonts w:ascii="Arial" w:hAnsi="Arial" w:cs="Arial"/>
                <w:b/>
                <w:bCs/>
                <w:sz w:val="16"/>
                <w:szCs w:val="16"/>
              </w:rPr>
            </w:pPr>
            <w:r w:rsidRPr="00013E5F">
              <w:rPr>
                <w:rFonts w:ascii="Arial" w:hAnsi="Arial" w:cs="Arial"/>
                <w:b/>
                <w:bCs/>
                <w:sz w:val="16"/>
                <w:szCs w:val="16"/>
              </w:rPr>
              <w:t>10,070</w:t>
            </w:r>
          </w:p>
        </w:tc>
        <w:tc>
          <w:tcPr>
            <w:tcW w:w="1274" w:type="dxa"/>
            <w:tcBorders>
              <w:top w:val="single" w:sz="4" w:space="0" w:color="A6A6A6" w:themeColor="background1" w:themeShade="A6"/>
              <w:left w:val="nil"/>
              <w:bottom w:val="single" w:sz="4" w:space="0" w:color="A6A6A6" w:themeColor="background1" w:themeShade="A6"/>
              <w:right w:val="single" w:sz="4" w:space="0" w:color="auto"/>
            </w:tcBorders>
            <w:vAlign w:val="center"/>
          </w:tcPr>
          <w:p w14:paraId="459DDC59" w14:textId="0C9BF3F9" w:rsidR="008E7D1C" w:rsidRPr="006B5511" w:rsidRDefault="008E7D1C" w:rsidP="008E7D1C">
            <w:pPr>
              <w:jc w:val="right"/>
              <w:rPr>
                <w:rFonts w:ascii="Arial" w:hAnsi="Arial" w:cs="Arial"/>
                <w:sz w:val="16"/>
                <w:szCs w:val="16"/>
                <w:highlight w:val="yellow"/>
              </w:rPr>
            </w:pPr>
            <w:r w:rsidRPr="00236469">
              <w:rPr>
                <w:rFonts w:ascii="Arial" w:hAnsi="Arial" w:cs="Arial"/>
                <w:sz w:val="16"/>
                <w:szCs w:val="16"/>
              </w:rPr>
              <w:t>2%</w:t>
            </w:r>
          </w:p>
        </w:tc>
      </w:tr>
      <w:tr w:rsidR="008E7D1C" w:rsidRPr="006B5511" w14:paraId="2BBED64F" w14:textId="77777777" w:rsidTr="003868FF">
        <w:trPr>
          <w:trHeight w:val="206"/>
        </w:trPr>
        <w:tc>
          <w:tcPr>
            <w:tcW w:w="3538" w:type="dxa"/>
            <w:tcBorders>
              <w:top w:val="single" w:sz="4" w:space="0" w:color="A6A6A6" w:themeColor="background1" w:themeShade="A6"/>
              <w:left w:val="single" w:sz="4" w:space="0" w:color="auto"/>
              <w:bottom w:val="single" w:sz="4" w:space="0" w:color="A6A6A6" w:themeColor="background1" w:themeShade="A6"/>
              <w:right w:val="nil"/>
            </w:tcBorders>
            <w:vAlign w:val="center"/>
          </w:tcPr>
          <w:p w14:paraId="314ADC2E" w14:textId="6887EF1F" w:rsidR="008E7D1C" w:rsidRPr="006A1797" w:rsidRDefault="008E7D1C" w:rsidP="008E7D1C">
            <w:pPr>
              <w:rPr>
                <w:rFonts w:ascii="Arial" w:eastAsia="Batang" w:hAnsi="Arial" w:cs="Arial"/>
                <w:bCs/>
                <w:color w:val="262626"/>
                <w:sz w:val="16"/>
                <w:szCs w:val="16"/>
                <w:lang w:val="el-GR"/>
              </w:rPr>
            </w:pPr>
            <w:r w:rsidRPr="006A1797">
              <w:rPr>
                <w:rFonts w:ascii="Arial" w:eastAsia="Batang" w:hAnsi="Arial" w:cs="Arial"/>
                <w:bCs/>
                <w:color w:val="262626"/>
                <w:sz w:val="16"/>
                <w:szCs w:val="16"/>
                <w:lang w:val="el-GR"/>
              </w:rPr>
              <w:t xml:space="preserve">Συσσωρευμένες αναμενόμενες πιστωτικές ζημιές δανείων (€ εκατ)  </w:t>
            </w:r>
          </w:p>
        </w:tc>
        <w:tc>
          <w:tcPr>
            <w:tcW w:w="1705" w:type="dxa"/>
            <w:tcBorders>
              <w:top w:val="single" w:sz="4" w:space="0" w:color="A6A6A6" w:themeColor="background1" w:themeShade="A6"/>
              <w:left w:val="nil"/>
              <w:bottom w:val="single" w:sz="4" w:space="0" w:color="A6A6A6" w:themeColor="background1" w:themeShade="A6"/>
              <w:right w:val="nil"/>
            </w:tcBorders>
          </w:tcPr>
          <w:p w14:paraId="1FEDA3E2" w14:textId="77777777" w:rsidR="008E7D1C" w:rsidRPr="006B5511" w:rsidRDefault="008E7D1C" w:rsidP="008E7D1C">
            <w:pPr>
              <w:spacing w:line="360" w:lineRule="auto"/>
              <w:rPr>
                <w:rFonts w:ascii="Arial" w:hAnsi="Arial" w:cs="Arial"/>
                <w:b/>
                <w:bCs/>
                <w:color w:val="FF9900"/>
                <w:sz w:val="16"/>
                <w:szCs w:val="16"/>
                <w:highlight w:val="yellow"/>
                <w:lang w:val="el-GR"/>
              </w:rPr>
            </w:pPr>
          </w:p>
        </w:tc>
        <w:tc>
          <w:tcPr>
            <w:tcW w:w="1984" w:type="dxa"/>
            <w:tcBorders>
              <w:top w:val="single" w:sz="4" w:space="0" w:color="A6A6A6" w:themeColor="background1" w:themeShade="A6"/>
              <w:left w:val="nil"/>
              <w:bottom w:val="single" w:sz="4" w:space="0" w:color="A6A6A6" w:themeColor="background1" w:themeShade="A6"/>
              <w:right w:val="nil"/>
            </w:tcBorders>
            <w:vAlign w:val="center"/>
          </w:tcPr>
          <w:p w14:paraId="2B12497F" w14:textId="41B74131" w:rsidR="008E7D1C" w:rsidRPr="006B5511" w:rsidRDefault="008E7D1C" w:rsidP="008E7D1C">
            <w:pPr>
              <w:jc w:val="right"/>
              <w:rPr>
                <w:rFonts w:ascii="Arial" w:hAnsi="Arial" w:cs="Arial"/>
                <w:b/>
                <w:bCs/>
                <w:sz w:val="16"/>
                <w:szCs w:val="16"/>
                <w:highlight w:val="yellow"/>
              </w:rPr>
            </w:pPr>
            <w:r w:rsidRPr="00236469">
              <w:rPr>
                <w:rFonts w:ascii="Arial" w:hAnsi="Arial" w:cs="Arial"/>
                <w:b/>
                <w:bCs/>
                <w:sz w:val="16"/>
                <w:szCs w:val="16"/>
              </w:rPr>
              <w:t>251</w:t>
            </w:r>
          </w:p>
        </w:tc>
        <w:tc>
          <w:tcPr>
            <w:tcW w:w="1700" w:type="dxa"/>
            <w:tcBorders>
              <w:top w:val="single" w:sz="4" w:space="0" w:color="A6A6A6" w:themeColor="background1" w:themeShade="A6"/>
              <w:left w:val="nil"/>
              <w:bottom w:val="single" w:sz="4" w:space="0" w:color="A6A6A6" w:themeColor="background1" w:themeShade="A6"/>
              <w:right w:val="nil"/>
            </w:tcBorders>
            <w:vAlign w:val="center"/>
          </w:tcPr>
          <w:p w14:paraId="7AB4E067" w14:textId="51AEF19F" w:rsidR="008E7D1C" w:rsidRPr="00CB38F0" w:rsidRDefault="008E7D1C" w:rsidP="008E7D1C">
            <w:pPr>
              <w:jc w:val="right"/>
              <w:rPr>
                <w:rFonts w:ascii="Arial" w:hAnsi="Arial" w:cs="Arial"/>
                <w:b/>
                <w:bCs/>
                <w:sz w:val="16"/>
                <w:szCs w:val="16"/>
              </w:rPr>
            </w:pPr>
            <w:r w:rsidRPr="00236469">
              <w:rPr>
                <w:rFonts w:ascii="Arial" w:hAnsi="Arial" w:cs="Arial"/>
                <w:b/>
                <w:bCs/>
                <w:sz w:val="16"/>
                <w:szCs w:val="16"/>
              </w:rPr>
              <w:t>267</w:t>
            </w:r>
          </w:p>
        </w:tc>
        <w:tc>
          <w:tcPr>
            <w:tcW w:w="1274" w:type="dxa"/>
            <w:tcBorders>
              <w:top w:val="single" w:sz="4" w:space="0" w:color="A6A6A6" w:themeColor="background1" w:themeShade="A6"/>
              <w:left w:val="nil"/>
              <w:bottom w:val="single" w:sz="4" w:space="0" w:color="A6A6A6" w:themeColor="background1" w:themeShade="A6"/>
              <w:right w:val="single" w:sz="4" w:space="0" w:color="auto"/>
            </w:tcBorders>
            <w:vAlign w:val="center"/>
          </w:tcPr>
          <w:p w14:paraId="0811BE51" w14:textId="05B731BB" w:rsidR="008E7D1C" w:rsidRPr="006B5511" w:rsidRDefault="008E7D1C" w:rsidP="008E7D1C">
            <w:pPr>
              <w:jc w:val="right"/>
              <w:rPr>
                <w:rFonts w:ascii="Arial" w:hAnsi="Arial" w:cs="Arial"/>
                <w:sz w:val="16"/>
                <w:szCs w:val="16"/>
                <w:highlight w:val="yellow"/>
              </w:rPr>
            </w:pPr>
            <w:r w:rsidRPr="00236469">
              <w:rPr>
                <w:rFonts w:ascii="Arial" w:hAnsi="Arial" w:cs="Arial"/>
                <w:sz w:val="16"/>
                <w:szCs w:val="16"/>
              </w:rPr>
              <w:t>-6%</w:t>
            </w:r>
          </w:p>
        </w:tc>
      </w:tr>
      <w:tr w:rsidR="008E7D1C" w:rsidRPr="006B5511" w14:paraId="70233218" w14:textId="77777777" w:rsidTr="003868FF">
        <w:trPr>
          <w:trHeight w:val="340"/>
        </w:trPr>
        <w:tc>
          <w:tcPr>
            <w:tcW w:w="3538" w:type="dxa"/>
            <w:tcBorders>
              <w:top w:val="single" w:sz="4" w:space="0" w:color="A6A6A6" w:themeColor="background1" w:themeShade="A6"/>
              <w:left w:val="single" w:sz="4" w:space="0" w:color="auto"/>
              <w:bottom w:val="single" w:sz="4" w:space="0" w:color="A6A6A6" w:themeColor="background1" w:themeShade="A6"/>
              <w:right w:val="nil"/>
            </w:tcBorders>
            <w:vAlign w:val="center"/>
          </w:tcPr>
          <w:p w14:paraId="533066F8" w14:textId="41ED6C8D" w:rsidR="008E7D1C" w:rsidRPr="006A1797" w:rsidRDefault="008E7D1C" w:rsidP="008E7D1C">
            <w:pPr>
              <w:rPr>
                <w:rFonts w:ascii="Arial" w:eastAsia="Batang" w:hAnsi="Arial" w:cs="Arial"/>
                <w:bCs/>
                <w:color w:val="262626"/>
                <w:sz w:val="16"/>
                <w:szCs w:val="16"/>
                <w:lang w:val="el-GR"/>
              </w:rPr>
            </w:pPr>
            <w:r w:rsidRPr="006A1797">
              <w:rPr>
                <w:rFonts w:ascii="Arial" w:eastAsia="Batang" w:hAnsi="Arial" w:cs="Arial"/>
                <w:bCs/>
                <w:color w:val="262626"/>
                <w:sz w:val="16"/>
                <w:szCs w:val="16"/>
                <w:lang w:val="el-GR"/>
              </w:rPr>
              <w:t xml:space="preserve">Καταθέσεις πελατών (€ εκατ.)  </w:t>
            </w:r>
          </w:p>
        </w:tc>
        <w:tc>
          <w:tcPr>
            <w:tcW w:w="1705" w:type="dxa"/>
            <w:tcBorders>
              <w:top w:val="single" w:sz="4" w:space="0" w:color="A6A6A6" w:themeColor="background1" w:themeShade="A6"/>
              <w:left w:val="nil"/>
              <w:bottom w:val="single" w:sz="4" w:space="0" w:color="A6A6A6" w:themeColor="background1" w:themeShade="A6"/>
              <w:right w:val="nil"/>
            </w:tcBorders>
          </w:tcPr>
          <w:p w14:paraId="02EB22DF" w14:textId="77777777" w:rsidR="008E7D1C" w:rsidRPr="006B5511" w:rsidRDefault="008E7D1C" w:rsidP="008E7D1C">
            <w:pPr>
              <w:spacing w:line="360" w:lineRule="auto"/>
              <w:rPr>
                <w:rFonts w:ascii="Arial" w:hAnsi="Arial" w:cs="Arial"/>
                <w:b/>
                <w:bCs/>
                <w:color w:val="FF9900"/>
                <w:sz w:val="16"/>
                <w:szCs w:val="16"/>
                <w:highlight w:val="yellow"/>
                <w:lang w:val="el-GR"/>
              </w:rPr>
            </w:pPr>
          </w:p>
        </w:tc>
        <w:tc>
          <w:tcPr>
            <w:tcW w:w="1984" w:type="dxa"/>
            <w:tcBorders>
              <w:top w:val="single" w:sz="4" w:space="0" w:color="A6A6A6" w:themeColor="background1" w:themeShade="A6"/>
              <w:left w:val="nil"/>
              <w:bottom w:val="single" w:sz="4" w:space="0" w:color="A6A6A6" w:themeColor="background1" w:themeShade="A6"/>
              <w:right w:val="nil"/>
            </w:tcBorders>
            <w:vAlign w:val="center"/>
          </w:tcPr>
          <w:p w14:paraId="74994E19" w14:textId="77669B89" w:rsidR="008E7D1C" w:rsidRPr="006B5511" w:rsidRDefault="008E7D1C" w:rsidP="008E7D1C">
            <w:pPr>
              <w:jc w:val="right"/>
              <w:rPr>
                <w:rFonts w:ascii="Arial" w:hAnsi="Arial" w:cs="Arial"/>
                <w:b/>
                <w:bCs/>
                <w:sz w:val="16"/>
                <w:szCs w:val="16"/>
                <w:highlight w:val="yellow"/>
              </w:rPr>
            </w:pPr>
            <w:r w:rsidRPr="00460F46">
              <w:rPr>
                <w:rFonts w:ascii="Arial" w:hAnsi="Arial" w:cs="Arial"/>
                <w:b/>
                <w:bCs/>
                <w:sz w:val="16"/>
                <w:szCs w:val="16"/>
              </w:rPr>
              <w:t>19,7</w:t>
            </w:r>
            <w:r>
              <w:rPr>
                <w:rFonts w:ascii="Arial" w:hAnsi="Arial" w:cs="Arial"/>
                <w:b/>
                <w:bCs/>
                <w:sz w:val="16"/>
                <w:szCs w:val="16"/>
              </w:rPr>
              <w:t>23</w:t>
            </w:r>
          </w:p>
        </w:tc>
        <w:tc>
          <w:tcPr>
            <w:tcW w:w="1700" w:type="dxa"/>
            <w:tcBorders>
              <w:top w:val="single" w:sz="4" w:space="0" w:color="A6A6A6" w:themeColor="background1" w:themeShade="A6"/>
              <w:left w:val="nil"/>
              <w:bottom w:val="single" w:sz="4" w:space="0" w:color="A6A6A6" w:themeColor="background1" w:themeShade="A6"/>
              <w:right w:val="nil"/>
            </w:tcBorders>
            <w:vAlign w:val="center"/>
          </w:tcPr>
          <w:p w14:paraId="11A57246" w14:textId="16EFCE9E" w:rsidR="008E7D1C" w:rsidRPr="00CB38F0" w:rsidRDefault="008E7D1C" w:rsidP="008E7D1C">
            <w:pPr>
              <w:jc w:val="right"/>
              <w:rPr>
                <w:rFonts w:ascii="Arial" w:hAnsi="Arial" w:cs="Arial"/>
                <w:b/>
                <w:bCs/>
                <w:sz w:val="16"/>
                <w:szCs w:val="16"/>
              </w:rPr>
            </w:pPr>
            <w:r w:rsidRPr="00460F46">
              <w:rPr>
                <w:rFonts w:ascii="Arial" w:hAnsi="Arial" w:cs="Arial"/>
                <w:b/>
                <w:bCs/>
                <w:sz w:val="16"/>
                <w:szCs w:val="16"/>
              </w:rPr>
              <w:t>19,337</w:t>
            </w:r>
          </w:p>
        </w:tc>
        <w:tc>
          <w:tcPr>
            <w:tcW w:w="1274" w:type="dxa"/>
            <w:tcBorders>
              <w:top w:val="single" w:sz="4" w:space="0" w:color="A6A6A6" w:themeColor="background1" w:themeShade="A6"/>
              <w:left w:val="nil"/>
              <w:bottom w:val="single" w:sz="4" w:space="0" w:color="A6A6A6" w:themeColor="background1" w:themeShade="A6"/>
              <w:right w:val="single" w:sz="4" w:space="0" w:color="auto"/>
            </w:tcBorders>
            <w:vAlign w:val="center"/>
          </w:tcPr>
          <w:p w14:paraId="131D8FD2" w14:textId="203CFBEF" w:rsidR="008E7D1C" w:rsidRPr="006B5511" w:rsidRDefault="008E7D1C" w:rsidP="008E7D1C">
            <w:pPr>
              <w:jc w:val="right"/>
              <w:rPr>
                <w:rFonts w:ascii="Arial" w:hAnsi="Arial" w:cs="Arial"/>
                <w:sz w:val="16"/>
                <w:szCs w:val="16"/>
                <w:highlight w:val="yellow"/>
              </w:rPr>
            </w:pPr>
            <w:r w:rsidRPr="00460F46">
              <w:rPr>
                <w:rFonts w:ascii="Arial" w:hAnsi="Arial" w:cs="Arial"/>
                <w:sz w:val="16"/>
                <w:szCs w:val="16"/>
              </w:rPr>
              <w:t>2%</w:t>
            </w:r>
          </w:p>
        </w:tc>
      </w:tr>
      <w:tr w:rsidR="008E7D1C" w:rsidRPr="006B5511" w14:paraId="1CBECE52" w14:textId="77777777" w:rsidTr="003868FF">
        <w:trPr>
          <w:trHeight w:val="112"/>
        </w:trPr>
        <w:tc>
          <w:tcPr>
            <w:tcW w:w="3538" w:type="dxa"/>
            <w:tcBorders>
              <w:top w:val="single" w:sz="4" w:space="0" w:color="A6A6A6" w:themeColor="background1" w:themeShade="A6"/>
              <w:left w:val="single" w:sz="4" w:space="0" w:color="auto"/>
              <w:bottom w:val="single" w:sz="4" w:space="0" w:color="A6A6A6" w:themeColor="background1" w:themeShade="A6"/>
              <w:right w:val="nil"/>
            </w:tcBorders>
            <w:vAlign w:val="center"/>
          </w:tcPr>
          <w:p w14:paraId="1145B583" w14:textId="4C6A3377" w:rsidR="008E7D1C" w:rsidRPr="006A1797" w:rsidRDefault="008E7D1C" w:rsidP="008E7D1C">
            <w:pPr>
              <w:rPr>
                <w:rFonts w:ascii="Arial" w:eastAsia="Batang" w:hAnsi="Arial" w:cs="Arial"/>
                <w:bCs/>
                <w:color w:val="262626"/>
                <w:sz w:val="16"/>
                <w:szCs w:val="16"/>
                <w:lang w:val="el-GR"/>
              </w:rPr>
            </w:pPr>
            <w:r w:rsidRPr="006A1797">
              <w:rPr>
                <w:rFonts w:ascii="Arial" w:eastAsia="Batang" w:hAnsi="Arial" w:cs="Arial"/>
                <w:bCs/>
                <w:color w:val="262626"/>
                <w:sz w:val="16"/>
                <w:szCs w:val="16"/>
                <w:lang w:val="el-GR"/>
              </w:rPr>
              <w:t xml:space="preserve">Δείκτης δανείων (μετά τις προβλέψεις) προς καταθέσεις </w:t>
            </w:r>
          </w:p>
        </w:tc>
        <w:tc>
          <w:tcPr>
            <w:tcW w:w="1705" w:type="dxa"/>
            <w:tcBorders>
              <w:top w:val="single" w:sz="4" w:space="0" w:color="A6A6A6" w:themeColor="background1" w:themeShade="A6"/>
              <w:left w:val="nil"/>
              <w:bottom w:val="single" w:sz="4" w:space="0" w:color="A6A6A6" w:themeColor="background1" w:themeShade="A6"/>
              <w:right w:val="nil"/>
            </w:tcBorders>
          </w:tcPr>
          <w:p w14:paraId="3A51208E" w14:textId="77777777" w:rsidR="008E7D1C" w:rsidRPr="006B5511" w:rsidRDefault="008E7D1C" w:rsidP="008E7D1C">
            <w:pPr>
              <w:spacing w:line="360" w:lineRule="auto"/>
              <w:rPr>
                <w:rFonts w:ascii="Arial" w:hAnsi="Arial" w:cs="Arial"/>
                <w:b/>
                <w:bCs/>
                <w:color w:val="FF9900"/>
                <w:sz w:val="16"/>
                <w:szCs w:val="16"/>
                <w:highlight w:val="yellow"/>
                <w:lang w:val="el-GR"/>
              </w:rPr>
            </w:pPr>
          </w:p>
        </w:tc>
        <w:tc>
          <w:tcPr>
            <w:tcW w:w="1984" w:type="dxa"/>
            <w:tcBorders>
              <w:top w:val="single" w:sz="4" w:space="0" w:color="A6A6A6" w:themeColor="background1" w:themeShade="A6"/>
              <w:left w:val="nil"/>
              <w:bottom w:val="single" w:sz="4" w:space="0" w:color="A6A6A6" w:themeColor="background1" w:themeShade="A6"/>
              <w:right w:val="nil"/>
            </w:tcBorders>
            <w:vAlign w:val="center"/>
          </w:tcPr>
          <w:p w14:paraId="5A83D75E" w14:textId="4A69382B" w:rsidR="008E7D1C" w:rsidRPr="006B5511" w:rsidRDefault="008E7D1C" w:rsidP="008E7D1C">
            <w:pPr>
              <w:jc w:val="right"/>
              <w:rPr>
                <w:rFonts w:ascii="Arial" w:hAnsi="Arial" w:cs="Arial"/>
                <w:b/>
                <w:bCs/>
                <w:sz w:val="16"/>
                <w:szCs w:val="16"/>
                <w:highlight w:val="yellow"/>
              </w:rPr>
            </w:pPr>
            <w:r w:rsidRPr="00236469">
              <w:rPr>
                <w:rFonts w:ascii="Arial" w:hAnsi="Arial" w:cs="Arial"/>
                <w:b/>
                <w:bCs/>
                <w:sz w:val="16"/>
                <w:szCs w:val="16"/>
              </w:rPr>
              <w:t>51%</w:t>
            </w:r>
          </w:p>
        </w:tc>
        <w:tc>
          <w:tcPr>
            <w:tcW w:w="1700" w:type="dxa"/>
            <w:tcBorders>
              <w:top w:val="single" w:sz="4" w:space="0" w:color="A6A6A6" w:themeColor="background1" w:themeShade="A6"/>
              <w:left w:val="nil"/>
              <w:bottom w:val="single" w:sz="4" w:space="0" w:color="A6A6A6" w:themeColor="background1" w:themeShade="A6"/>
              <w:right w:val="nil"/>
            </w:tcBorders>
            <w:vAlign w:val="center"/>
          </w:tcPr>
          <w:p w14:paraId="555AC9BE" w14:textId="32DE4487" w:rsidR="008E7D1C" w:rsidRPr="00CB38F0" w:rsidRDefault="008E7D1C" w:rsidP="008E7D1C">
            <w:pPr>
              <w:jc w:val="right"/>
              <w:rPr>
                <w:rFonts w:ascii="Arial" w:hAnsi="Arial" w:cs="Arial"/>
                <w:b/>
                <w:bCs/>
                <w:sz w:val="16"/>
                <w:szCs w:val="16"/>
              </w:rPr>
            </w:pPr>
            <w:r w:rsidRPr="00236469">
              <w:rPr>
                <w:rFonts w:ascii="Arial" w:hAnsi="Arial" w:cs="Arial"/>
                <w:b/>
                <w:bCs/>
                <w:sz w:val="16"/>
                <w:szCs w:val="16"/>
              </w:rPr>
              <w:t>51%</w:t>
            </w:r>
          </w:p>
        </w:tc>
        <w:tc>
          <w:tcPr>
            <w:tcW w:w="1274" w:type="dxa"/>
            <w:tcBorders>
              <w:top w:val="single" w:sz="4" w:space="0" w:color="A6A6A6" w:themeColor="background1" w:themeShade="A6"/>
              <w:left w:val="nil"/>
              <w:bottom w:val="single" w:sz="4" w:space="0" w:color="A6A6A6" w:themeColor="background1" w:themeShade="A6"/>
              <w:right w:val="single" w:sz="4" w:space="0" w:color="auto"/>
            </w:tcBorders>
            <w:vAlign w:val="center"/>
          </w:tcPr>
          <w:p w14:paraId="16FA55EB" w14:textId="4D3B4BC8" w:rsidR="008E7D1C" w:rsidRPr="006B5511" w:rsidRDefault="008E7D1C" w:rsidP="008E7D1C">
            <w:pPr>
              <w:jc w:val="right"/>
              <w:rPr>
                <w:rFonts w:ascii="Arial" w:hAnsi="Arial" w:cs="Arial"/>
                <w:sz w:val="16"/>
                <w:szCs w:val="16"/>
                <w:highlight w:val="yellow"/>
              </w:rPr>
            </w:pPr>
            <w:r w:rsidRPr="00236469">
              <w:rPr>
                <w:rFonts w:ascii="Arial" w:hAnsi="Arial" w:cs="Arial"/>
                <w:sz w:val="16"/>
                <w:szCs w:val="16"/>
              </w:rPr>
              <w:t>-</w:t>
            </w:r>
          </w:p>
        </w:tc>
      </w:tr>
      <w:tr w:rsidR="008E7D1C" w:rsidRPr="006B5511" w14:paraId="135EA8D1" w14:textId="77777777" w:rsidTr="003868FF">
        <w:trPr>
          <w:trHeight w:val="280"/>
        </w:trPr>
        <w:tc>
          <w:tcPr>
            <w:tcW w:w="3538" w:type="dxa"/>
            <w:tcBorders>
              <w:top w:val="single" w:sz="4" w:space="0" w:color="A6A6A6" w:themeColor="background1" w:themeShade="A6"/>
              <w:left w:val="single" w:sz="4" w:space="0" w:color="auto"/>
              <w:bottom w:val="single" w:sz="4" w:space="0" w:color="A6A6A6" w:themeColor="background1" w:themeShade="A6"/>
              <w:right w:val="nil"/>
            </w:tcBorders>
            <w:vAlign w:val="center"/>
          </w:tcPr>
          <w:p w14:paraId="5EFDF13C" w14:textId="214538B2" w:rsidR="008E7D1C" w:rsidRPr="006A1797" w:rsidRDefault="008E7D1C" w:rsidP="008E7D1C">
            <w:pPr>
              <w:rPr>
                <w:rFonts w:ascii="Arial" w:eastAsia="Batang" w:hAnsi="Arial" w:cs="Arial"/>
                <w:bCs/>
                <w:color w:val="262626"/>
                <w:sz w:val="16"/>
                <w:szCs w:val="16"/>
                <w:lang w:val="el-GR"/>
              </w:rPr>
            </w:pPr>
            <w:r w:rsidRPr="006A1797">
              <w:rPr>
                <w:rFonts w:ascii="Arial" w:eastAsia="Batang" w:hAnsi="Arial" w:cs="Arial"/>
                <w:bCs/>
                <w:color w:val="262626"/>
                <w:sz w:val="16"/>
                <w:szCs w:val="16"/>
                <w:lang w:val="el-GR"/>
              </w:rPr>
              <w:t>Ποσοστό ΜΕΔ προς δάνεια</w:t>
            </w:r>
          </w:p>
        </w:tc>
        <w:tc>
          <w:tcPr>
            <w:tcW w:w="1705" w:type="dxa"/>
            <w:tcBorders>
              <w:top w:val="single" w:sz="4" w:space="0" w:color="A6A6A6" w:themeColor="background1" w:themeShade="A6"/>
              <w:left w:val="nil"/>
              <w:bottom w:val="single" w:sz="4" w:space="0" w:color="A6A6A6" w:themeColor="background1" w:themeShade="A6"/>
              <w:right w:val="nil"/>
            </w:tcBorders>
          </w:tcPr>
          <w:p w14:paraId="4F1C75A5" w14:textId="77777777" w:rsidR="008E7D1C" w:rsidRPr="006B5511" w:rsidRDefault="008E7D1C" w:rsidP="008E7D1C">
            <w:pPr>
              <w:spacing w:line="360" w:lineRule="auto"/>
              <w:rPr>
                <w:rFonts w:ascii="Arial" w:hAnsi="Arial" w:cs="Arial"/>
                <w:b/>
                <w:bCs/>
                <w:color w:val="FF9900"/>
                <w:sz w:val="16"/>
                <w:szCs w:val="16"/>
                <w:highlight w:val="yellow"/>
                <w:lang w:val="el-GR"/>
              </w:rPr>
            </w:pPr>
          </w:p>
        </w:tc>
        <w:tc>
          <w:tcPr>
            <w:tcW w:w="1984" w:type="dxa"/>
            <w:tcBorders>
              <w:top w:val="single" w:sz="4" w:space="0" w:color="A6A6A6" w:themeColor="background1" w:themeShade="A6"/>
              <w:left w:val="nil"/>
              <w:bottom w:val="single" w:sz="4" w:space="0" w:color="A6A6A6" w:themeColor="background1" w:themeShade="A6"/>
              <w:right w:val="nil"/>
            </w:tcBorders>
            <w:vAlign w:val="center"/>
          </w:tcPr>
          <w:p w14:paraId="455AEA92" w14:textId="34737F0D" w:rsidR="008E7D1C" w:rsidRPr="006B5511" w:rsidRDefault="008E7D1C" w:rsidP="008E7D1C">
            <w:pPr>
              <w:jc w:val="right"/>
              <w:rPr>
                <w:rFonts w:ascii="Arial" w:hAnsi="Arial" w:cs="Arial"/>
                <w:b/>
                <w:bCs/>
                <w:sz w:val="16"/>
                <w:szCs w:val="16"/>
                <w:highlight w:val="yellow"/>
              </w:rPr>
            </w:pPr>
            <w:r w:rsidRPr="005737A3">
              <w:rPr>
                <w:rFonts w:ascii="Arial" w:hAnsi="Arial" w:cs="Arial"/>
                <w:b/>
                <w:bCs/>
                <w:sz w:val="16"/>
                <w:szCs w:val="16"/>
              </w:rPr>
              <w:t>2.8%</w:t>
            </w:r>
          </w:p>
        </w:tc>
        <w:tc>
          <w:tcPr>
            <w:tcW w:w="1700" w:type="dxa"/>
            <w:tcBorders>
              <w:top w:val="single" w:sz="4" w:space="0" w:color="A6A6A6" w:themeColor="background1" w:themeShade="A6"/>
              <w:left w:val="nil"/>
              <w:bottom w:val="single" w:sz="4" w:space="0" w:color="A6A6A6" w:themeColor="background1" w:themeShade="A6"/>
              <w:right w:val="nil"/>
            </w:tcBorders>
            <w:vAlign w:val="center"/>
          </w:tcPr>
          <w:p w14:paraId="11DA1588" w14:textId="53A156FD" w:rsidR="008E7D1C" w:rsidRPr="00CB38F0" w:rsidRDefault="008E7D1C" w:rsidP="008E7D1C">
            <w:pPr>
              <w:jc w:val="right"/>
              <w:rPr>
                <w:rFonts w:ascii="Arial" w:hAnsi="Arial" w:cs="Arial"/>
                <w:b/>
                <w:bCs/>
                <w:sz w:val="16"/>
                <w:szCs w:val="16"/>
              </w:rPr>
            </w:pPr>
            <w:r w:rsidRPr="005737A3">
              <w:rPr>
                <w:rFonts w:ascii="Arial" w:hAnsi="Arial" w:cs="Arial"/>
                <w:b/>
                <w:bCs/>
                <w:sz w:val="16"/>
                <w:szCs w:val="16"/>
              </w:rPr>
              <w:t>3.6%</w:t>
            </w:r>
          </w:p>
        </w:tc>
        <w:tc>
          <w:tcPr>
            <w:tcW w:w="1274" w:type="dxa"/>
            <w:tcBorders>
              <w:top w:val="single" w:sz="4" w:space="0" w:color="A6A6A6" w:themeColor="background1" w:themeShade="A6"/>
              <w:left w:val="nil"/>
              <w:bottom w:val="single" w:sz="4" w:space="0" w:color="A6A6A6" w:themeColor="background1" w:themeShade="A6"/>
              <w:right w:val="single" w:sz="4" w:space="0" w:color="auto"/>
            </w:tcBorders>
            <w:vAlign w:val="center"/>
          </w:tcPr>
          <w:p w14:paraId="7678CD08" w14:textId="36F3DB19" w:rsidR="008E7D1C" w:rsidRPr="006B5511" w:rsidRDefault="008E7D1C" w:rsidP="008E7D1C">
            <w:pPr>
              <w:jc w:val="right"/>
              <w:rPr>
                <w:rFonts w:ascii="Arial" w:hAnsi="Arial" w:cs="Arial"/>
                <w:sz w:val="16"/>
                <w:szCs w:val="16"/>
                <w:highlight w:val="yellow"/>
              </w:rPr>
            </w:pPr>
            <w:r w:rsidRPr="005737A3">
              <w:rPr>
                <w:rFonts w:ascii="Arial" w:hAnsi="Arial" w:cs="Arial"/>
                <w:sz w:val="16"/>
                <w:szCs w:val="16"/>
              </w:rPr>
              <w:t xml:space="preserve">-80 </w:t>
            </w:r>
            <w:r>
              <w:rPr>
                <w:rFonts w:ascii="Arial" w:hAnsi="Arial" w:cs="Arial"/>
                <w:sz w:val="16"/>
                <w:szCs w:val="16"/>
                <w:lang w:val="el-GR"/>
              </w:rPr>
              <w:t>μ.β.</w:t>
            </w:r>
          </w:p>
        </w:tc>
      </w:tr>
      <w:tr w:rsidR="008E7D1C" w:rsidRPr="006B5511" w14:paraId="7E7E1248" w14:textId="77777777" w:rsidTr="003868FF">
        <w:trPr>
          <w:trHeight w:val="228"/>
        </w:trPr>
        <w:tc>
          <w:tcPr>
            <w:tcW w:w="3538" w:type="dxa"/>
            <w:tcBorders>
              <w:top w:val="single" w:sz="4" w:space="0" w:color="A6A6A6" w:themeColor="background1" w:themeShade="A6"/>
              <w:left w:val="single" w:sz="4" w:space="0" w:color="auto"/>
              <w:bottom w:val="single" w:sz="4" w:space="0" w:color="A6A6A6" w:themeColor="background1" w:themeShade="A6"/>
              <w:right w:val="nil"/>
            </w:tcBorders>
            <w:vAlign w:val="center"/>
          </w:tcPr>
          <w:p w14:paraId="317F059C" w14:textId="779CBDAE" w:rsidR="008E7D1C" w:rsidRPr="006A1797" w:rsidRDefault="008E7D1C" w:rsidP="008E7D1C">
            <w:pPr>
              <w:rPr>
                <w:rFonts w:ascii="Arial" w:eastAsia="Batang" w:hAnsi="Arial" w:cs="Arial"/>
                <w:bCs/>
                <w:color w:val="262626"/>
                <w:sz w:val="16"/>
                <w:szCs w:val="16"/>
                <w:lang w:val="el-GR"/>
              </w:rPr>
            </w:pPr>
            <w:r w:rsidRPr="006A1797">
              <w:rPr>
                <w:rFonts w:ascii="Arial" w:eastAsia="Batang" w:hAnsi="Arial" w:cs="Arial"/>
                <w:bCs/>
                <w:color w:val="262626"/>
                <w:sz w:val="16"/>
                <w:szCs w:val="16"/>
                <w:lang w:val="el-GR"/>
              </w:rPr>
              <w:t xml:space="preserve">Δείκτης κάλυψης ΜΕΔ </w:t>
            </w:r>
          </w:p>
        </w:tc>
        <w:tc>
          <w:tcPr>
            <w:tcW w:w="1705" w:type="dxa"/>
            <w:tcBorders>
              <w:top w:val="single" w:sz="4" w:space="0" w:color="A6A6A6" w:themeColor="background1" w:themeShade="A6"/>
              <w:left w:val="nil"/>
              <w:bottom w:val="single" w:sz="4" w:space="0" w:color="A6A6A6" w:themeColor="background1" w:themeShade="A6"/>
              <w:right w:val="nil"/>
            </w:tcBorders>
          </w:tcPr>
          <w:p w14:paraId="71070789" w14:textId="77777777" w:rsidR="008E7D1C" w:rsidRPr="006B5511" w:rsidRDefault="008E7D1C" w:rsidP="008E7D1C">
            <w:pPr>
              <w:spacing w:line="360" w:lineRule="auto"/>
              <w:rPr>
                <w:rFonts w:ascii="Arial" w:hAnsi="Arial" w:cs="Arial"/>
                <w:b/>
                <w:bCs/>
                <w:color w:val="FF9900"/>
                <w:sz w:val="16"/>
                <w:szCs w:val="16"/>
                <w:highlight w:val="yellow"/>
                <w:lang w:val="el-GR"/>
              </w:rPr>
            </w:pPr>
          </w:p>
        </w:tc>
        <w:tc>
          <w:tcPr>
            <w:tcW w:w="1984" w:type="dxa"/>
            <w:tcBorders>
              <w:top w:val="single" w:sz="4" w:space="0" w:color="A6A6A6" w:themeColor="background1" w:themeShade="A6"/>
              <w:left w:val="nil"/>
              <w:bottom w:val="single" w:sz="4" w:space="0" w:color="A6A6A6" w:themeColor="background1" w:themeShade="A6"/>
              <w:right w:val="nil"/>
            </w:tcBorders>
            <w:vAlign w:val="center"/>
          </w:tcPr>
          <w:p w14:paraId="48AE2859" w14:textId="7A23F7F2" w:rsidR="008E7D1C" w:rsidRPr="006B5511" w:rsidRDefault="008E7D1C" w:rsidP="008E7D1C">
            <w:pPr>
              <w:jc w:val="right"/>
              <w:rPr>
                <w:rFonts w:ascii="Arial" w:hAnsi="Arial" w:cs="Arial"/>
                <w:b/>
                <w:bCs/>
                <w:sz w:val="16"/>
                <w:szCs w:val="16"/>
                <w:highlight w:val="yellow"/>
              </w:rPr>
            </w:pPr>
            <w:r w:rsidRPr="005737A3">
              <w:rPr>
                <w:rFonts w:ascii="Arial" w:hAnsi="Arial" w:cs="Arial"/>
                <w:b/>
                <w:bCs/>
                <w:sz w:val="16"/>
                <w:szCs w:val="16"/>
              </w:rPr>
              <w:t>85%</w:t>
            </w:r>
          </w:p>
        </w:tc>
        <w:tc>
          <w:tcPr>
            <w:tcW w:w="1700" w:type="dxa"/>
            <w:tcBorders>
              <w:top w:val="single" w:sz="4" w:space="0" w:color="A6A6A6" w:themeColor="background1" w:themeShade="A6"/>
              <w:left w:val="nil"/>
              <w:bottom w:val="single" w:sz="4" w:space="0" w:color="A6A6A6" w:themeColor="background1" w:themeShade="A6"/>
              <w:right w:val="nil"/>
            </w:tcBorders>
            <w:vAlign w:val="center"/>
          </w:tcPr>
          <w:p w14:paraId="35B9191E" w14:textId="08595711" w:rsidR="008E7D1C" w:rsidRPr="00CB38F0" w:rsidRDefault="008E7D1C" w:rsidP="008E7D1C">
            <w:pPr>
              <w:jc w:val="right"/>
              <w:rPr>
                <w:rFonts w:ascii="Arial" w:hAnsi="Arial" w:cs="Arial"/>
                <w:b/>
                <w:bCs/>
                <w:sz w:val="16"/>
                <w:szCs w:val="16"/>
              </w:rPr>
            </w:pPr>
            <w:r w:rsidRPr="005737A3">
              <w:rPr>
                <w:rFonts w:ascii="Arial" w:hAnsi="Arial" w:cs="Arial"/>
                <w:b/>
                <w:bCs/>
                <w:sz w:val="16"/>
                <w:szCs w:val="16"/>
              </w:rPr>
              <w:t>73%</w:t>
            </w:r>
          </w:p>
        </w:tc>
        <w:tc>
          <w:tcPr>
            <w:tcW w:w="1274" w:type="dxa"/>
            <w:tcBorders>
              <w:top w:val="single" w:sz="4" w:space="0" w:color="A6A6A6" w:themeColor="background1" w:themeShade="A6"/>
              <w:left w:val="nil"/>
              <w:bottom w:val="single" w:sz="4" w:space="0" w:color="A6A6A6" w:themeColor="background1" w:themeShade="A6"/>
              <w:right w:val="single" w:sz="4" w:space="0" w:color="auto"/>
            </w:tcBorders>
            <w:vAlign w:val="center"/>
          </w:tcPr>
          <w:p w14:paraId="1905619A" w14:textId="335F097E" w:rsidR="008E7D1C" w:rsidRPr="006B5511" w:rsidRDefault="008E7D1C" w:rsidP="008E7D1C">
            <w:pPr>
              <w:jc w:val="right"/>
              <w:rPr>
                <w:rFonts w:ascii="Arial" w:hAnsi="Arial" w:cs="Arial"/>
                <w:sz w:val="16"/>
                <w:szCs w:val="16"/>
                <w:highlight w:val="yellow"/>
              </w:rPr>
            </w:pPr>
            <w:r w:rsidRPr="00EB0EAD">
              <w:rPr>
                <w:rFonts w:ascii="Arial" w:hAnsi="Arial" w:cs="Arial"/>
                <w:sz w:val="16"/>
                <w:szCs w:val="16"/>
              </w:rPr>
              <w:t xml:space="preserve">+12 </w:t>
            </w:r>
            <w:r>
              <w:rPr>
                <w:rFonts w:ascii="Arial" w:hAnsi="Arial" w:cs="Arial"/>
                <w:sz w:val="16"/>
                <w:szCs w:val="16"/>
                <w:lang w:val="el-GR"/>
              </w:rPr>
              <w:t>ε.μ.</w:t>
            </w:r>
          </w:p>
        </w:tc>
      </w:tr>
      <w:tr w:rsidR="008E7D1C" w:rsidRPr="006B5511" w14:paraId="45E006E2" w14:textId="77777777" w:rsidTr="003868FF">
        <w:trPr>
          <w:trHeight w:val="239"/>
        </w:trPr>
        <w:tc>
          <w:tcPr>
            <w:tcW w:w="3538" w:type="dxa"/>
            <w:tcBorders>
              <w:top w:val="single" w:sz="4" w:space="0" w:color="A6A6A6" w:themeColor="background1" w:themeShade="A6"/>
              <w:left w:val="single" w:sz="4" w:space="0" w:color="auto"/>
              <w:bottom w:val="single" w:sz="4" w:space="0" w:color="A6A6A6" w:themeColor="background1" w:themeShade="A6"/>
              <w:right w:val="nil"/>
            </w:tcBorders>
            <w:vAlign w:val="center"/>
          </w:tcPr>
          <w:p w14:paraId="45903CFB" w14:textId="5325C52E" w:rsidR="008E7D1C" w:rsidRPr="006A1797" w:rsidRDefault="008E7D1C" w:rsidP="008E7D1C">
            <w:pPr>
              <w:rPr>
                <w:rFonts w:ascii="Arial" w:eastAsia="Batang" w:hAnsi="Arial" w:cs="Arial"/>
                <w:bCs/>
                <w:color w:val="262626"/>
                <w:sz w:val="16"/>
                <w:szCs w:val="16"/>
                <w:lang w:val="el-GR"/>
              </w:rPr>
            </w:pPr>
            <w:r w:rsidRPr="006A1797">
              <w:rPr>
                <w:rFonts w:ascii="Arial" w:eastAsia="Batang" w:hAnsi="Arial" w:cs="Arial"/>
                <w:bCs/>
                <w:color w:val="262626"/>
                <w:sz w:val="16"/>
                <w:szCs w:val="16"/>
                <w:lang w:val="el-GR"/>
              </w:rPr>
              <w:t>Δείκτης μόχλευσης</w:t>
            </w:r>
          </w:p>
        </w:tc>
        <w:tc>
          <w:tcPr>
            <w:tcW w:w="1705" w:type="dxa"/>
            <w:tcBorders>
              <w:top w:val="single" w:sz="4" w:space="0" w:color="A6A6A6" w:themeColor="background1" w:themeShade="A6"/>
              <w:left w:val="nil"/>
              <w:bottom w:val="single" w:sz="4" w:space="0" w:color="A6A6A6" w:themeColor="background1" w:themeShade="A6"/>
              <w:right w:val="nil"/>
            </w:tcBorders>
          </w:tcPr>
          <w:p w14:paraId="49804785" w14:textId="77777777" w:rsidR="008E7D1C" w:rsidRPr="006B5511" w:rsidRDefault="008E7D1C" w:rsidP="008E7D1C">
            <w:pPr>
              <w:spacing w:line="360" w:lineRule="auto"/>
              <w:rPr>
                <w:rFonts w:ascii="Arial" w:hAnsi="Arial" w:cs="Arial"/>
                <w:b/>
                <w:bCs/>
                <w:color w:val="FF9900"/>
                <w:sz w:val="16"/>
                <w:szCs w:val="16"/>
                <w:highlight w:val="yellow"/>
                <w:lang w:val="el-GR"/>
              </w:rPr>
            </w:pPr>
          </w:p>
        </w:tc>
        <w:tc>
          <w:tcPr>
            <w:tcW w:w="1984" w:type="dxa"/>
            <w:tcBorders>
              <w:top w:val="single" w:sz="4" w:space="0" w:color="A6A6A6" w:themeColor="background1" w:themeShade="A6"/>
              <w:left w:val="nil"/>
              <w:bottom w:val="single" w:sz="4" w:space="0" w:color="A6A6A6" w:themeColor="background1" w:themeShade="A6"/>
              <w:right w:val="nil"/>
            </w:tcBorders>
            <w:vAlign w:val="center"/>
          </w:tcPr>
          <w:p w14:paraId="53C85879" w14:textId="6096A561" w:rsidR="008E7D1C" w:rsidRPr="006B5511" w:rsidRDefault="008E7D1C" w:rsidP="008E7D1C">
            <w:pPr>
              <w:jc w:val="right"/>
              <w:rPr>
                <w:rFonts w:ascii="Arial" w:hAnsi="Arial" w:cs="Arial"/>
                <w:b/>
                <w:bCs/>
                <w:sz w:val="16"/>
                <w:szCs w:val="16"/>
                <w:highlight w:val="yellow"/>
              </w:rPr>
            </w:pPr>
            <w:r w:rsidRPr="005737A3">
              <w:rPr>
                <w:rFonts w:ascii="Arial" w:hAnsi="Arial" w:cs="Arial"/>
                <w:b/>
                <w:bCs/>
                <w:sz w:val="16"/>
                <w:szCs w:val="16"/>
              </w:rPr>
              <w:t>10.</w:t>
            </w:r>
            <w:r>
              <w:rPr>
                <w:rFonts w:ascii="Arial" w:hAnsi="Arial" w:cs="Arial"/>
                <w:b/>
                <w:bCs/>
                <w:sz w:val="16"/>
                <w:szCs w:val="16"/>
              </w:rPr>
              <w:t>1</w:t>
            </w:r>
            <w:r w:rsidRPr="005737A3">
              <w:rPr>
                <w:rFonts w:ascii="Arial" w:hAnsi="Arial" w:cs="Arial"/>
                <w:b/>
                <w:bCs/>
                <w:sz w:val="16"/>
                <w:szCs w:val="16"/>
              </w:rPr>
              <w:t>%</w:t>
            </w:r>
          </w:p>
        </w:tc>
        <w:tc>
          <w:tcPr>
            <w:tcW w:w="1700" w:type="dxa"/>
            <w:tcBorders>
              <w:top w:val="single" w:sz="4" w:space="0" w:color="A6A6A6" w:themeColor="background1" w:themeShade="A6"/>
              <w:left w:val="nil"/>
              <w:bottom w:val="single" w:sz="4" w:space="0" w:color="A6A6A6" w:themeColor="background1" w:themeShade="A6"/>
              <w:right w:val="nil"/>
            </w:tcBorders>
            <w:vAlign w:val="center"/>
          </w:tcPr>
          <w:p w14:paraId="59448717" w14:textId="30C432CC" w:rsidR="008E7D1C" w:rsidRPr="00CB38F0" w:rsidRDefault="008E7D1C" w:rsidP="008E7D1C">
            <w:pPr>
              <w:jc w:val="right"/>
              <w:rPr>
                <w:rFonts w:ascii="Arial" w:hAnsi="Arial" w:cs="Arial"/>
                <w:b/>
                <w:bCs/>
                <w:sz w:val="16"/>
                <w:szCs w:val="16"/>
              </w:rPr>
            </w:pPr>
            <w:r w:rsidRPr="005737A3">
              <w:rPr>
                <w:rFonts w:ascii="Arial" w:hAnsi="Arial" w:cs="Arial"/>
                <w:b/>
                <w:bCs/>
                <w:sz w:val="16"/>
                <w:szCs w:val="16"/>
              </w:rPr>
              <w:t>9.1%</w:t>
            </w:r>
          </w:p>
        </w:tc>
        <w:tc>
          <w:tcPr>
            <w:tcW w:w="1274" w:type="dxa"/>
            <w:tcBorders>
              <w:top w:val="single" w:sz="4" w:space="0" w:color="A6A6A6" w:themeColor="background1" w:themeShade="A6"/>
              <w:left w:val="nil"/>
              <w:bottom w:val="single" w:sz="4" w:space="0" w:color="A6A6A6" w:themeColor="background1" w:themeShade="A6"/>
              <w:right w:val="single" w:sz="4" w:space="0" w:color="auto"/>
            </w:tcBorders>
            <w:vAlign w:val="center"/>
          </w:tcPr>
          <w:p w14:paraId="34FF6C07" w14:textId="63E292BE" w:rsidR="008E7D1C" w:rsidRPr="006B5511" w:rsidRDefault="008E7D1C" w:rsidP="008E7D1C">
            <w:pPr>
              <w:jc w:val="right"/>
              <w:rPr>
                <w:rFonts w:ascii="Arial" w:hAnsi="Arial" w:cs="Arial"/>
                <w:sz w:val="16"/>
                <w:szCs w:val="16"/>
                <w:highlight w:val="yellow"/>
              </w:rPr>
            </w:pPr>
            <w:r>
              <w:rPr>
                <w:rFonts w:ascii="Arial" w:hAnsi="Arial" w:cs="Arial"/>
                <w:sz w:val="16"/>
                <w:szCs w:val="16"/>
                <w:lang w:val="el-GR"/>
              </w:rPr>
              <w:t xml:space="preserve"> </w:t>
            </w:r>
            <w:r w:rsidRPr="005737A3">
              <w:rPr>
                <w:rFonts w:ascii="Arial" w:hAnsi="Arial" w:cs="Arial"/>
                <w:sz w:val="16"/>
                <w:szCs w:val="16"/>
              </w:rPr>
              <w:t>+</w:t>
            </w:r>
            <w:r>
              <w:rPr>
                <w:rFonts w:ascii="Arial" w:hAnsi="Arial" w:cs="Arial"/>
                <w:sz w:val="16"/>
                <w:szCs w:val="16"/>
              </w:rPr>
              <w:t>100</w:t>
            </w:r>
            <w:r>
              <w:rPr>
                <w:rFonts w:ascii="Arial" w:hAnsi="Arial" w:cs="Arial"/>
                <w:sz w:val="16"/>
                <w:szCs w:val="16"/>
                <w:lang w:val="el-GR"/>
              </w:rPr>
              <w:t xml:space="preserve"> μ.β.</w:t>
            </w:r>
            <w:r w:rsidRPr="005737A3">
              <w:rPr>
                <w:rFonts w:ascii="Arial" w:hAnsi="Arial" w:cs="Arial"/>
                <w:sz w:val="16"/>
                <w:szCs w:val="16"/>
              </w:rPr>
              <w:t xml:space="preserve"> </w:t>
            </w:r>
          </w:p>
        </w:tc>
      </w:tr>
      <w:tr w:rsidR="00234F05" w:rsidRPr="006B5511" w14:paraId="1D1DD712" w14:textId="77777777" w:rsidTr="003868FF">
        <w:trPr>
          <w:trHeight w:val="571"/>
        </w:trPr>
        <w:tc>
          <w:tcPr>
            <w:tcW w:w="3538" w:type="dxa"/>
            <w:tcBorders>
              <w:top w:val="single" w:sz="4" w:space="0" w:color="A6A6A6" w:themeColor="background1" w:themeShade="A6"/>
              <w:left w:val="single" w:sz="4" w:space="0" w:color="auto"/>
              <w:bottom w:val="single" w:sz="4" w:space="0" w:color="A6A6A6" w:themeColor="background1" w:themeShade="A6"/>
              <w:right w:val="nil"/>
            </w:tcBorders>
            <w:vAlign w:val="center"/>
          </w:tcPr>
          <w:p w14:paraId="3E74EABD" w14:textId="19DB3F40" w:rsidR="00ED1C58" w:rsidRPr="006A1797" w:rsidRDefault="00ED1C58" w:rsidP="00ED1C58">
            <w:pPr>
              <w:rPr>
                <w:rFonts w:ascii="Arial" w:hAnsi="Arial" w:cs="Arial"/>
                <w:b/>
                <w:bCs/>
                <w:color w:val="FF9900"/>
                <w:sz w:val="16"/>
                <w:szCs w:val="16"/>
                <w:lang w:val="el-GR"/>
              </w:rPr>
            </w:pPr>
            <w:r w:rsidRPr="006A1797">
              <w:rPr>
                <w:rFonts w:ascii="Arial" w:hAnsi="Arial" w:cs="Arial"/>
                <w:b/>
                <w:sz w:val="16"/>
                <w:szCs w:val="16"/>
                <w:lang w:val="el-GR"/>
              </w:rPr>
              <w:t>Δείκτες Κεφαλαίου και σταθμισμένα περιουσιακά στοιχεία</w:t>
            </w:r>
          </w:p>
        </w:tc>
        <w:tc>
          <w:tcPr>
            <w:tcW w:w="1705"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265E17F3" w14:textId="1EA24E78" w:rsidR="00ED1C58" w:rsidRPr="006B5511" w:rsidRDefault="00ED1C58" w:rsidP="004009CD">
            <w:pPr>
              <w:jc w:val="center"/>
              <w:rPr>
                <w:rFonts w:ascii="Arial" w:hAnsi="Arial" w:cs="Arial"/>
                <w:b/>
                <w:bCs/>
                <w:sz w:val="16"/>
                <w:szCs w:val="16"/>
                <w:highlight w:val="yellow"/>
                <w:lang w:val="el-GR"/>
              </w:rPr>
            </w:pPr>
          </w:p>
        </w:tc>
        <w:tc>
          <w:tcPr>
            <w:tcW w:w="1984"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2EE1ECFF" w14:textId="17D52276" w:rsidR="00ED1C58" w:rsidRPr="00CB38F0" w:rsidRDefault="00B6499F" w:rsidP="00ED1C58">
            <w:pPr>
              <w:jc w:val="center"/>
              <w:rPr>
                <w:rFonts w:ascii="Arial" w:hAnsi="Arial" w:cs="Arial"/>
                <w:b/>
                <w:bCs/>
                <w:sz w:val="16"/>
                <w:szCs w:val="16"/>
                <w:lang w:val="el-GR"/>
              </w:rPr>
            </w:pPr>
            <w:r w:rsidRPr="00CB38F0">
              <w:rPr>
                <w:rFonts w:ascii="Arial" w:hAnsi="Arial" w:cs="Arial"/>
                <w:b/>
                <w:bCs/>
                <w:sz w:val="16"/>
                <w:szCs w:val="16"/>
              </w:rPr>
              <w:t>30</w:t>
            </w:r>
            <w:r w:rsidR="00ED1C58" w:rsidRPr="00CB38F0">
              <w:rPr>
                <w:rFonts w:ascii="Arial" w:hAnsi="Arial" w:cs="Arial"/>
                <w:b/>
                <w:bCs/>
                <w:sz w:val="16"/>
                <w:szCs w:val="16"/>
                <w:lang w:val="el-GR"/>
              </w:rPr>
              <w:t>.</w:t>
            </w:r>
            <w:r w:rsidR="004009CD" w:rsidRPr="00CB38F0">
              <w:rPr>
                <w:rFonts w:ascii="Arial" w:hAnsi="Arial" w:cs="Arial"/>
                <w:b/>
                <w:bCs/>
                <w:sz w:val="16"/>
                <w:szCs w:val="16"/>
                <w:lang w:val="el-GR"/>
              </w:rPr>
              <w:t>0</w:t>
            </w:r>
            <w:r w:rsidRPr="00CB38F0">
              <w:rPr>
                <w:rFonts w:ascii="Arial" w:hAnsi="Arial" w:cs="Arial"/>
                <w:b/>
                <w:bCs/>
                <w:sz w:val="16"/>
                <w:szCs w:val="16"/>
              </w:rPr>
              <w:t>6</w:t>
            </w:r>
            <w:r w:rsidR="00ED1C58" w:rsidRPr="00CB38F0">
              <w:rPr>
                <w:rFonts w:ascii="Arial" w:hAnsi="Arial" w:cs="Arial"/>
                <w:b/>
                <w:bCs/>
                <w:sz w:val="16"/>
                <w:szCs w:val="16"/>
                <w:lang w:val="el-GR"/>
              </w:rPr>
              <w:t>.202</w:t>
            </w:r>
            <w:r w:rsidR="004009CD" w:rsidRPr="00CB38F0">
              <w:rPr>
                <w:rFonts w:ascii="Arial" w:hAnsi="Arial" w:cs="Arial"/>
                <w:b/>
                <w:bCs/>
                <w:sz w:val="16"/>
                <w:szCs w:val="16"/>
                <w:lang w:val="el-GR"/>
              </w:rPr>
              <w:t>4</w:t>
            </w:r>
          </w:p>
          <w:p w14:paraId="6A0772DB" w14:textId="4E3F17E2" w:rsidR="00ED1C58" w:rsidRPr="00CB38F0" w:rsidRDefault="00B6499F" w:rsidP="00ED1C58">
            <w:pPr>
              <w:jc w:val="center"/>
              <w:rPr>
                <w:rFonts w:ascii="Arial" w:hAnsi="Arial" w:cs="Arial"/>
                <w:b/>
                <w:bCs/>
                <w:sz w:val="16"/>
                <w:szCs w:val="16"/>
                <w:lang w:val="el-GR"/>
              </w:rPr>
            </w:pPr>
            <w:r w:rsidRPr="00CB38F0">
              <w:rPr>
                <w:rFonts w:ascii="Arial" w:hAnsi="Arial" w:cs="Arial"/>
                <w:b/>
                <w:bCs/>
                <w:sz w:val="16"/>
                <w:szCs w:val="16"/>
                <w:lang w:val="el-GR"/>
              </w:rPr>
              <w:t>(για εποπτικούς σκοπούς)</w:t>
            </w:r>
            <w:r w:rsidR="00527349">
              <w:rPr>
                <w:rFonts w:asciiTheme="minorHAnsi" w:hAnsiTheme="minorHAnsi" w:cs="Arial"/>
                <w:b/>
                <w:bCs/>
                <w:sz w:val="16"/>
                <w:szCs w:val="16"/>
                <w:vertAlign w:val="superscript"/>
                <w:lang w:val="el-GR"/>
              </w:rPr>
              <w:t>1</w:t>
            </w:r>
          </w:p>
        </w:tc>
        <w:tc>
          <w:tcPr>
            <w:tcW w:w="1700"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7D88F62" w14:textId="77777777" w:rsidR="00234F05" w:rsidRPr="00CB38F0" w:rsidRDefault="00ED1C58" w:rsidP="00ED1C58">
            <w:pPr>
              <w:jc w:val="center"/>
              <w:rPr>
                <w:rFonts w:ascii="Arial" w:hAnsi="Arial" w:cs="Arial"/>
                <w:b/>
                <w:bCs/>
                <w:sz w:val="16"/>
                <w:szCs w:val="16"/>
                <w:lang w:val="el-GR"/>
              </w:rPr>
            </w:pPr>
            <w:r w:rsidRPr="00CB38F0">
              <w:rPr>
                <w:rFonts w:ascii="Arial" w:hAnsi="Arial" w:cs="Arial"/>
                <w:b/>
                <w:bCs/>
                <w:sz w:val="16"/>
                <w:szCs w:val="16"/>
                <w:lang w:val="el-GR"/>
              </w:rPr>
              <w:t>31.12.202</w:t>
            </w:r>
            <w:r w:rsidR="004009CD" w:rsidRPr="00CB38F0">
              <w:rPr>
                <w:rFonts w:ascii="Arial" w:hAnsi="Arial" w:cs="Arial"/>
                <w:b/>
                <w:bCs/>
                <w:sz w:val="16"/>
                <w:szCs w:val="16"/>
                <w:lang w:val="el-GR"/>
              </w:rPr>
              <w:t>3</w:t>
            </w:r>
          </w:p>
          <w:p w14:paraId="02C97D1A" w14:textId="523D17CC" w:rsidR="00ED1C58" w:rsidRPr="00CB38F0" w:rsidRDefault="00234F05" w:rsidP="00ED1C58">
            <w:pPr>
              <w:jc w:val="center"/>
              <w:rPr>
                <w:rFonts w:ascii="Arial" w:hAnsi="Arial" w:cs="Arial"/>
                <w:b/>
                <w:bCs/>
                <w:sz w:val="16"/>
                <w:szCs w:val="16"/>
                <w:lang w:val="el-GR"/>
              </w:rPr>
            </w:pPr>
            <w:r w:rsidRPr="00CB38F0">
              <w:rPr>
                <w:rFonts w:ascii="Arial" w:hAnsi="Arial" w:cs="Arial"/>
                <w:b/>
                <w:bCs/>
                <w:sz w:val="16"/>
                <w:szCs w:val="16"/>
                <w:lang w:val="el-GR"/>
              </w:rPr>
              <w:t>(για εποπτικούς σκοπούς)</w:t>
            </w:r>
            <w:r w:rsidR="00ED1C58" w:rsidRPr="00CB38F0">
              <w:rPr>
                <w:rFonts w:ascii="Arial Bold" w:hAnsi="Arial Bold" w:cs="Arial"/>
                <w:b/>
                <w:bCs/>
                <w:sz w:val="16"/>
                <w:szCs w:val="16"/>
                <w:vertAlign w:val="superscript"/>
              </w:rPr>
              <w:t>2</w:t>
            </w:r>
          </w:p>
        </w:tc>
        <w:tc>
          <w:tcPr>
            <w:tcW w:w="1274" w:type="dxa"/>
            <w:tcBorders>
              <w:top w:val="single" w:sz="4" w:space="0" w:color="A6A6A6" w:themeColor="background1" w:themeShade="A6"/>
              <w:left w:val="nil"/>
              <w:bottom w:val="single" w:sz="4" w:space="0" w:color="A6A6A6" w:themeColor="background1" w:themeShade="A6"/>
              <w:right w:val="single" w:sz="4" w:space="0" w:color="auto"/>
            </w:tcBorders>
            <w:vAlign w:val="center"/>
          </w:tcPr>
          <w:p w14:paraId="19F519CB" w14:textId="77777777" w:rsidR="00ED1C58" w:rsidRPr="00CB38F0" w:rsidRDefault="00ED1C58" w:rsidP="00ED1C58">
            <w:pPr>
              <w:jc w:val="center"/>
              <w:rPr>
                <w:rFonts w:ascii="Arial" w:hAnsi="Arial" w:cs="Arial"/>
                <w:b/>
                <w:bCs/>
                <w:sz w:val="16"/>
                <w:szCs w:val="16"/>
                <w:lang w:val="el-GR"/>
              </w:rPr>
            </w:pPr>
          </w:p>
          <w:p w14:paraId="65531918" w14:textId="3799D703" w:rsidR="00ED1C58" w:rsidRPr="00CB38F0" w:rsidRDefault="00ED1C58" w:rsidP="006A1797">
            <w:pPr>
              <w:jc w:val="right"/>
              <w:rPr>
                <w:rFonts w:ascii="Arial" w:hAnsi="Arial" w:cs="Arial"/>
                <w:b/>
                <w:bCs/>
                <w:sz w:val="16"/>
                <w:szCs w:val="16"/>
                <w:lang w:val="el-GR"/>
              </w:rPr>
            </w:pPr>
            <w:r w:rsidRPr="00CB38F0">
              <w:rPr>
                <w:rFonts w:ascii="Arial" w:hAnsi="Arial" w:cs="Arial"/>
                <w:b/>
                <w:bCs/>
                <w:sz w:val="16"/>
                <w:szCs w:val="16"/>
                <w:u w:val="single"/>
              </w:rPr>
              <w:t>+</w:t>
            </w:r>
          </w:p>
          <w:p w14:paraId="06D10E4A" w14:textId="71C0B357" w:rsidR="00ED1C58" w:rsidRPr="00CB38F0" w:rsidRDefault="00ED1C58" w:rsidP="00ED1C58">
            <w:pPr>
              <w:jc w:val="center"/>
              <w:rPr>
                <w:rFonts w:ascii="Arial" w:hAnsi="Arial" w:cs="Arial"/>
                <w:b/>
                <w:bCs/>
                <w:sz w:val="16"/>
                <w:szCs w:val="16"/>
                <w:lang w:val="el-GR"/>
              </w:rPr>
            </w:pPr>
          </w:p>
        </w:tc>
      </w:tr>
      <w:tr w:rsidR="003868FF" w:rsidRPr="006B5511" w14:paraId="6E3F8729" w14:textId="77777777" w:rsidTr="003868FF">
        <w:trPr>
          <w:trHeight w:val="157"/>
        </w:trPr>
        <w:tc>
          <w:tcPr>
            <w:tcW w:w="3538" w:type="dxa"/>
            <w:tcBorders>
              <w:top w:val="single" w:sz="4" w:space="0" w:color="A6A6A6" w:themeColor="background1" w:themeShade="A6"/>
              <w:left w:val="single" w:sz="4" w:space="0" w:color="auto"/>
              <w:bottom w:val="single" w:sz="4" w:space="0" w:color="A6A6A6" w:themeColor="background1" w:themeShade="A6"/>
              <w:right w:val="nil"/>
            </w:tcBorders>
            <w:vAlign w:val="center"/>
          </w:tcPr>
          <w:p w14:paraId="1CD0A220" w14:textId="58A5B556" w:rsidR="003868FF" w:rsidRPr="006A1797" w:rsidRDefault="003868FF" w:rsidP="003868FF">
            <w:pPr>
              <w:rPr>
                <w:rFonts w:ascii="Arial" w:hAnsi="Arial" w:cs="Arial"/>
                <w:b/>
                <w:bCs/>
                <w:color w:val="FF9900"/>
                <w:sz w:val="16"/>
                <w:szCs w:val="16"/>
                <w:lang w:val="el-GR"/>
              </w:rPr>
            </w:pPr>
            <w:r w:rsidRPr="006A1797">
              <w:rPr>
                <w:rFonts w:ascii="Arial" w:hAnsi="Arial" w:cs="Arial"/>
                <w:sz w:val="16"/>
                <w:szCs w:val="16"/>
                <w:lang w:val="el-GR"/>
              </w:rPr>
              <w:t>Δείκτης Κεφαλαίου Κοινών Μετοχών Κατηγορίας 1 (</w:t>
            </w:r>
            <w:r w:rsidRPr="006A1797">
              <w:rPr>
                <w:rFonts w:ascii="Arial" w:hAnsi="Arial" w:cs="Arial"/>
                <w:sz w:val="16"/>
                <w:szCs w:val="16"/>
              </w:rPr>
              <w:t>CET</w:t>
            </w:r>
            <w:r w:rsidRPr="006A1797">
              <w:rPr>
                <w:rFonts w:ascii="Arial" w:hAnsi="Arial" w:cs="Arial"/>
                <w:sz w:val="16"/>
                <w:szCs w:val="16"/>
                <w:lang w:val="el-GR"/>
              </w:rPr>
              <w:t>1) (με μεταβατικές διατάξεις)</w:t>
            </w:r>
          </w:p>
        </w:tc>
        <w:tc>
          <w:tcPr>
            <w:tcW w:w="1705"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AE872FE" w14:textId="65840D2B" w:rsidR="003868FF" w:rsidRPr="006B5511" w:rsidRDefault="003868FF" w:rsidP="003868FF">
            <w:pPr>
              <w:jc w:val="right"/>
              <w:rPr>
                <w:rFonts w:ascii="Arial" w:hAnsi="Arial" w:cs="Arial"/>
                <w:b/>
                <w:bCs/>
                <w:sz w:val="16"/>
                <w:szCs w:val="16"/>
                <w:highlight w:val="yellow"/>
                <w:lang w:val="el-GR"/>
              </w:rPr>
            </w:pPr>
          </w:p>
        </w:tc>
        <w:tc>
          <w:tcPr>
            <w:tcW w:w="1984"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FC15419" w14:textId="06247FA2" w:rsidR="003868FF" w:rsidRPr="006B5511" w:rsidRDefault="003868FF" w:rsidP="003868FF">
            <w:pPr>
              <w:jc w:val="right"/>
              <w:rPr>
                <w:rFonts w:ascii="Arial" w:hAnsi="Arial" w:cs="Arial"/>
                <w:b/>
                <w:bCs/>
                <w:sz w:val="16"/>
                <w:szCs w:val="16"/>
                <w:highlight w:val="yellow"/>
              </w:rPr>
            </w:pPr>
            <w:r>
              <w:rPr>
                <w:rFonts w:ascii="Arial" w:hAnsi="Arial" w:cs="Arial"/>
                <w:b/>
                <w:sz w:val="16"/>
                <w:szCs w:val="16"/>
              </w:rPr>
              <w:t>18.3</w:t>
            </w:r>
            <w:r w:rsidRPr="00091F6A">
              <w:rPr>
                <w:rFonts w:ascii="Arial" w:hAnsi="Arial" w:cs="Arial"/>
                <w:b/>
                <w:sz w:val="16"/>
                <w:szCs w:val="16"/>
              </w:rPr>
              <w:t>%</w:t>
            </w:r>
          </w:p>
        </w:tc>
        <w:tc>
          <w:tcPr>
            <w:tcW w:w="1700"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2902F70" w14:textId="41411FF3" w:rsidR="003868FF" w:rsidRPr="00CB38F0" w:rsidRDefault="003868FF" w:rsidP="003868FF">
            <w:pPr>
              <w:jc w:val="right"/>
              <w:rPr>
                <w:rFonts w:ascii="Arial" w:hAnsi="Arial"/>
                <w:b/>
                <w:sz w:val="16"/>
                <w:szCs w:val="16"/>
              </w:rPr>
            </w:pPr>
            <w:r w:rsidRPr="00013E5F">
              <w:rPr>
                <w:rFonts w:ascii="Arial" w:hAnsi="Arial" w:cs="Arial"/>
                <w:b/>
                <w:sz w:val="16"/>
                <w:szCs w:val="16"/>
              </w:rPr>
              <w:t>17.4%</w:t>
            </w:r>
          </w:p>
        </w:tc>
        <w:tc>
          <w:tcPr>
            <w:tcW w:w="1274" w:type="dxa"/>
            <w:tcBorders>
              <w:top w:val="single" w:sz="4" w:space="0" w:color="A6A6A6" w:themeColor="background1" w:themeShade="A6"/>
              <w:left w:val="nil"/>
              <w:bottom w:val="single" w:sz="4" w:space="0" w:color="A6A6A6" w:themeColor="background1" w:themeShade="A6"/>
              <w:right w:val="single" w:sz="4" w:space="0" w:color="auto"/>
            </w:tcBorders>
            <w:shd w:val="clear" w:color="auto" w:fill="auto"/>
            <w:vAlign w:val="center"/>
          </w:tcPr>
          <w:p w14:paraId="40789D83" w14:textId="3DE81200" w:rsidR="003868FF" w:rsidRPr="006B5511" w:rsidRDefault="003868FF" w:rsidP="003868FF">
            <w:pPr>
              <w:jc w:val="right"/>
              <w:rPr>
                <w:rFonts w:ascii="Arial" w:hAnsi="Arial" w:cs="Arial"/>
                <w:sz w:val="16"/>
                <w:szCs w:val="16"/>
                <w:highlight w:val="yellow"/>
                <w:lang w:val="el-GR"/>
              </w:rPr>
            </w:pPr>
            <w:r w:rsidRPr="00091F6A">
              <w:rPr>
                <w:rFonts w:ascii="Arial" w:hAnsi="Arial" w:cs="Arial"/>
                <w:sz w:val="16"/>
                <w:szCs w:val="16"/>
              </w:rPr>
              <w:t>+</w:t>
            </w:r>
            <w:r>
              <w:rPr>
                <w:rFonts w:ascii="Arial" w:hAnsi="Arial" w:cs="Arial"/>
                <w:sz w:val="16"/>
                <w:szCs w:val="16"/>
              </w:rPr>
              <w:t>80</w:t>
            </w:r>
            <w:r w:rsidRPr="00091F6A">
              <w:rPr>
                <w:rFonts w:ascii="Arial" w:hAnsi="Arial" w:cs="Arial"/>
                <w:sz w:val="16"/>
                <w:szCs w:val="16"/>
              </w:rPr>
              <w:t xml:space="preserve"> </w:t>
            </w:r>
            <w:r>
              <w:rPr>
                <w:rFonts w:ascii="Arial" w:hAnsi="Arial" w:cs="Arial"/>
                <w:sz w:val="16"/>
                <w:szCs w:val="16"/>
                <w:lang w:val="el-GR"/>
              </w:rPr>
              <w:t>μ.β.</w:t>
            </w:r>
          </w:p>
        </w:tc>
      </w:tr>
      <w:tr w:rsidR="003868FF" w:rsidRPr="006B5511" w14:paraId="0BA9DEC1" w14:textId="77777777" w:rsidTr="003868FF">
        <w:trPr>
          <w:trHeight w:val="107"/>
        </w:trPr>
        <w:tc>
          <w:tcPr>
            <w:tcW w:w="3538" w:type="dxa"/>
            <w:tcBorders>
              <w:top w:val="single" w:sz="4" w:space="0" w:color="A6A6A6" w:themeColor="background1" w:themeShade="A6"/>
              <w:left w:val="single" w:sz="4" w:space="0" w:color="auto"/>
              <w:bottom w:val="single" w:sz="4" w:space="0" w:color="A6A6A6" w:themeColor="background1" w:themeShade="A6"/>
              <w:right w:val="nil"/>
            </w:tcBorders>
            <w:vAlign w:val="center"/>
          </w:tcPr>
          <w:p w14:paraId="53A456DC" w14:textId="6498890B" w:rsidR="003868FF" w:rsidRPr="006A1797" w:rsidRDefault="003868FF" w:rsidP="003868FF">
            <w:pPr>
              <w:rPr>
                <w:rFonts w:ascii="Arial" w:hAnsi="Arial" w:cs="Arial"/>
                <w:sz w:val="16"/>
                <w:szCs w:val="16"/>
                <w:lang w:val="el-GR"/>
              </w:rPr>
            </w:pPr>
            <w:r w:rsidRPr="006A1797">
              <w:rPr>
                <w:rFonts w:ascii="Arial" w:hAnsi="Arial" w:cs="Arial"/>
                <w:sz w:val="16"/>
                <w:szCs w:val="16"/>
                <w:lang w:val="el-GR"/>
              </w:rPr>
              <w:t>Συνολικός δείκτης κεφαλαιακής επάρκειας (με μεταβατικές διατάξεις)</w:t>
            </w:r>
          </w:p>
        </w:tc>
        <w:tc>
          <w:tcPr>
            <w:tcW w:w="1705"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2A5069E" w14:textId="15FA232F" w:rsidR="003868FF" w:rsidRPr="006B5511" w:rsidRDefault="003868FF" w:rsidP="003868FF">
            <w:pPr>
              <w:jc w:val="right"/>
              <w:rPr>
                <w:rFonts w:ascii="Arial" w:hAnsi="Arial" w:cs="Arial"/>
                <w:b/>
                <w:bCs/>
                <w:sz w:val="16"/>
                <w:szCs w:val="16"/>
                <w:highlight w:val="yellow"/>
                <w:lang w:val="el-GR"/>
              </w:rPr>
            </w:pPr>
          </w:p>
        </w:tc>
        <w:tc>
          <w:tcPr>
            <w:tcW w:w="1984"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FFBCD49" w14:textId="0B076557" w:rsidR="003868FF" w:rsidRPr="006B5511" w:rsidRDefault="003868FF" w:rsidP="003868FF">
            <w:pPr>
              <w:jc w:val="right"/>
              <w:rPr>
                <w:rFonts w:ascii="Arial" w:hAnsi="Arial" w:cs="Arial"/>
                <w:b/>
                <w:bCs/>
                <w:sz w:val="16"/>
                <w:szCs w:val="16"/>
                <w:highlight w:val="yellow"/>
              </w:rPr>
            </w:pPr>
            <w:r>
              <w:rPr>
                <w:rFonts w:ascii="Arial" w:hAnsi="Arial" w:cs="Arial"/>
                <w:b/>
                <w:bCs/>
                <w:sz w:val="16"/>
                <w:szCs w:val="16"/>
              </w:rPr>
              <w:t>23.3</w:t>
            </w:r>
            <w:r w:rsidRPr="00091F6A">
              <w:rPr>
                <w:rFonts w:ascii="Arial" w:hAnsi="Arial" w:cs="Arial"/>
                <w:b/>
                <w:bCs/>
                <w:sz w:val="16"/>
                <w:szCs w:val="16"/>
              </w:rPr>
              <w:t>%</w:t>
            </w:r>
          </w:p>
        </w:tc>
        <w:tc>
          <w:tcPr>
            <w:tcW w:w="1700"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29FF6D52" w14:textId="35C77E31" w:rsidR="003868FF" w:rsidRPr="00CB38F0" w:rsidRDefault="003868FF" w:rsidP="003868FF">
            <w:pPr>
              <w:jc w:val="right"/>
              <w:rPr>
                <w:rFonts w:ascii="Arial" w:hAnsi="Arial"/>
                <w:b/>
                <w:sz w:val="16"/>
                <w:szCs w:val="16"/>
              </w:rPr>
            </w:pPr>
            <w:r w:rsidRPr="00013E5F">
              <w:rPr>
                <w:rFonts w:ascii="Arial" w:hAnsi="Arial" w:cs="Arial"/>
                <w:b/>
                <w:bCs/>
                <w:sz w:val="16"/>
                <w:szCs w:val="16"/>
              </w:rPr>
              <w:t>22.4%</w:t>
            </w:r>
          </w:p>
        </w:tc>
        <w:tc>
          <w:tcPr>
            <w:tcW w:w="1274" w:type="dxa"/>
            <w:tcBorders>
              <w:top w:val="single" w:sz="4" w:space="0" w:color="A6A6A6" w:themeColor="background1" w:themeShade="A6"/>
              <w:left w:val="nil"/>
              <w:bottom w:val="single" w:sz="4" w:space="0" w:color="A6A6A6" w:themeColor="background1" w:themeShade="A6"/>
              <w:right w:val="single" w:sz="4" w:space="0" w:color="auto"/>
            </w:tcBorders>
            <w:shd w:val="clear" w:color="auto" w:fill="auto"/>
            <w:vAlign w:val="center"/>
          </w:tcPr>
          <w:p w14:paraId="4711A9BF" w14:textId="737D6ADA" w:rsidR="003868FF" w:rsidRPr="006B5511" w:rsidRDefault="003868FF" w:rsidP="003868FF">
            <w:pPr>
              <w:jc w:val="right"/>
              <w:rPr>
                <w:rFonts w:ascii="Arial" w:hAnsi="Arial" w:cs="Arial"/>
                <w:sz w:val="16"/>
                <w:szCs w:val="16"/>
                <w:highlight w:val="yellow"/>
                <w:lang w:val="el-GR"/>
              </w:rPr>
            </w:pPr>
            <w:r w:rsidRPr="00091F6A">
              <w:rPr>
                <w:rFonts w:ascii="Arial" w:hAnsi="Arial" w:cs="Arial"/>
                <w:sz w:val="16"/>
                <w:szCs w:val="16"/>
              </w:rPr>
              <w:t>+</w:t>
            </w:r>
            <w:r>
              <w:rPr>
                <w:rFonts w:ascii="Arial" w:hAnsi="Arial" w:cs="Arial"/>
                <w:sz w:val="16"/>
                <w:szCs w:val="16"/>
              </w:rPr>
              <w:t>90</w:t>
            </w:r>
            <w:r w:rsidRPr="00091F6A">
              <w:rPr>
                <w:rFonts w:ascii="Arial" w:hAnsi="Arial" w:cs="Arial"/>
                <w:sz w:val="16"/>
                <w:szCs w:val="16"/>
              </w:rPr>
              <w:t xml:space="preserve"> </w:t>
            </w:r>
            <w:r>
              <w:rPr>
                <w:rFonts w:ascii="Arial" w:hAnsi="Arial" w:cs="Arial"/>
                <w:sz w:val="16"/>
                <w:szCs w:val="16"/>
                <w:lang w:val="el-GR"/>
              </w:rPr>
              <w:t>μ.β.</w:t>
            </w:r>
          </w:p>
        </w:tc>
      </w:tr>
      <w:tr w:rsidR="003868FF" w:rsidRPr="006B5511" w14:paraId="61946382" w14:textId="77777777" w:rsidTr="003868FF">
        <w:trPr>
          <w:trHeight w:val="278"/>
        </w:trPr>
        <w:tc>
          <w:tcPr>
            <w:tcW w:w="3538" w:type="dxa"/>
            <w:tcBorders>
              <w:top w:val="single" w:sz="4" w:space="0" w:color="A6A6A6" w:themeColor="background1" w:themeShade="A6"/>
              <w:left w:val="single" w:sz="4" w:space="0" w:color="auto"/>
              <w:bottom w:val="single" w:sz="4" w:space="0" w:color="auto"/>
              <w:right w:val="nil"/>
            </w:tcBorders>
            <w:vAlign w:val="center"/>
          </w:tcPr>
          <w:p w14:paraId="796B3883" w14:textId="6A426B0B" w:rsidR="003868FF" w:rsidRPr="006A1797" w:rsidRDefault="003868FF" w:rsidP="003868FF">
            <w:pPr>
              <w:rPr>
                <w:rFonts w:ascii="Arial" w:hAnsi="Arial" w:cs="Arial"/>
                <w:sz w:val="16"/>
                <w:szCs w:val="16"/>
                <w:lang w:val="el-GR"/>
              </w:rPr>
            </w:pPr>
            <w:r w:rsidRPr="006A1797">
              <w:rPr>
                <w:rFonts w:ascii="Arial" w:hAnsi="Arial" w:cs="Arial"/>
                <w:sz w:val="16"/>
                <w:szCs w:val="16"/>
              </w:rPr>
              <w:t>Σταθμισμένα περιουσιακά στοιχεία (€ εκατ.)</w:t>
            </w:r>
          </w:p>
        </w:tc>
        <w:tc>
          <w:tcPr>
            <w:tcW w:w="1705" w:type="dxa"/>
            <w:tcBorders>
              <w:top w:val="single" w:sz="4" w:space="0" w:color="A6A6A6" w:themeColor="background1" w:themeShade="A6"/>
              <w:left w:val="nil"/>
              <w:bottom w:val="single" w:sz="4" w:space="0" w:color="auto"/>
              <w:right w:val="nil"/>
            </w:tcBorders>
            <w:shd w:val="clear" w:color="auto" w:fill="auto"/>
            <w:vAlign w:val="center"/>
          </w:tcPr>
          <w:p w14:paraId="2163FE71" w14:textId="38247F84" w:rsidR="003868FF" w:rsidRPr="006B5511" w:rsidRDefault="003868FF" w:rsidP="003868FF">
            <w:pPr>
              <w:jc w:val="right"/>
              <w:rPr>
                <w:rFonts w:ascii="Arial" w:hAnsi="Arial" w:cs="Arial"/>
                <w:b/>
                <w:bCs/>
                <w:sz w:val="16"/>
                <w:szCs w:val="16"/>
                <w:highlight w:val="yellow"/>
                <w:lang w:val="el-GR"/>
              </w:rPr>
            </w:pPr>
          </w:p>
        </w:tc>
        <w:tc>
          <w:tcPr>
            <w:tcW w:w="1984" w:type="dxa"/>
            <w:tcBorders>
              <w:top w:val="single" w:sz="4" w:space="0" w:color="A6A6A6" w:themeColor="background1" w:themeShade="A6"/>
              <w:left w:val="nil"/>
              <w:bottom w:val="single" w:sz="4" w:space="0" w:color="auto"/>
              <w:right w:val="nil"/>
            </w:tcBorders>
            <w:shd w:val="clear" w:color="auto" w:fill="auto"/>
            <w:vAlign w:val="center"/>
          </w:tcPr>
          <w:p w14:paraId="1424EA7A" w14:textId="2D79259B" w:rsidR="003868FF" w:rsidRPr="006B5511" w:rsidRDefault="003868FF" w:rsidP="003868FF">
            <w:pPr>
              <w:jc w:val="right"/>
              <w:rPr>
                <w:rFonts w:ascii="Arial" w:hAnsi="Arial" w:cs="Arial"/>
                <w:b/>
                <w:bCs/>
                <w:sz w:val="16"/>
                <w:szCs w:val="16"/>
                <w:highlight w:val="yellow"/>
                <w:lang w:val="el-GR"/>
              </w:rPr>
            </w:pPr>
            <w:r>
              <w:rPr>
                <w:rFonts w:ascii="Arial" w:hAnsi="Arial" w:cs="Arial"/>
                <w:b/>
                <w:bCs/>
                <w:sz w:val="16"/>
                <w:szCs w:val="16"/>
              </w:rPr>
              <w:t>10,580</w:t>
            </w:r>
          </w:p>
        </w:tc>
        <w:tc>
          <w:tcPr>
            <w:tcW w:w="1700" w:type="dxa"/>
            <w:tcBorders>
              <w:top w:val="single" w:sz="4" w:space="0" w:color="A6A6A6" w:themeColor="background1" w:themeShade="A6"/>
              <w:left w:val="nil"/>
              <w:bottom w:val="single" w:sz="4" w:space="0" w:color="auto"/>
              <w:right w:val="nil"/>
            </w:tcBorders>
            <w:shd w:val="clear" w:color="auto" w:fill="auto"/>
            <w:vAlign w:val="center"/>
          </w:tcPr>
          <w:p w14:paraId="6744115A" w14:textId="1BA48141" w:rsidR="003868FF" w:rsidRPr="00CB38F0" w:rsidRDefault="003868FF" w:rsidP="003868FF">
            <w:pPr>
              <w:jc w:val="right"/>
              <w:rPr>
                <w:rFonts w:ascii="Arial" w:hAnsi="Arial"/>
                <w:b/>
                <w:sz w:val="16"/>
                <w:szCs w:val="16"/>
              </w:rPr>
            </w:pPr>
            <w:r w:rsidRPr="00013E5F">
              <w:rPr>
                <w:rFonts w:ascii="Arial" w:hAnsi="Arial" w:cs="Arial"/>
                <w:b/>
                <w:bCs/>
                <w:sz w:val="16"/>
                <w:szCs w:val="16"/>
              </w:rPr>
              <w:t>10,341</w:t>
            </w:r>
          </w:p>
        </w:tc>
        <w:tc>
          <w:tcPr>
            <w:tcW w:w="1274" w:type="dxa"/>
            <w:tcBorders>
              <w:top w:val="single" w:sz="4" w:space="0" w:color="A6A6A6" w:themeColor="background1" w:themeShade="A6"/>
              <w:left w:val="nil"/>
              <w:bottom w:val="single" w:sz="4" w:space="0" w:color="auto"/>
              <w:right w:val="single" w:sz="4" w:space="0" w:color="auto"/>
            </w:tcBorders>
            <w:shd w:val="clear" w:color="auto" w:fill="auto"/>
            <w:vAlign w:val="center"/>
          </w:tcPr>
          <w:p w14:paraId="395A8B07" w14:textId="10FF5B34" w:rsidR="003868FF" w:rsidRPr="006B5511" w:rsidRDefault="003868FF" w:rsidP="003868FF">
            <w:pPr>
              <w:jc w:val="right"/>
              <w:rPr>
                <w:rFonts w:ascii="Arial" w:hAnsi="Arial" w:cs="Arial"/>
                <w:sz w:val="16"/>
                <w:szCs w:val="16"/>
                <w:highlight w:val="yellow"/>
              </w:rPr>
            </w:pPr>
            <w:r w:rsidRPr="00091F6A">
              <w:rPr>
                <w:rFonts w:ascii="Arial" w:hAnsi="Arial" w:cs="Arial"/>
                <w:sz w:val="16"/>
                <w:szCs w:val="16"/>
              </w:rPr>
              <w:t>+</w:t>
            </w:r>
            <w:r>
              <w:rPr>
                <w:rFonts w:ascii="Arial" w:hAnsi="Arial" w:cs="Arial"/>
                <w:sz w:val="16"/>
                <w:szCs w:val="16"/>
              </w:rPr>
              <w:t>2</w:t>
            </w:r>
            <w:r w:rsidRPr="00091F6A">
              <w:rPr>
                <w:rFonts w:ascii="Arial" w:hAnsi="Arial" w:cs="Arial"/>
                <w:sz w:val="16"/>
                <w:szCs w:val="16"/>
              </w:rPr>
              <w:t>%</w:t>
            </w:r>
          </w:p>
        </w:tc>
      </w:tr>
      <w:tr w:rsidR="00085DAB" w:rsidRPr="00F931DF" w14:paraId="5CAC0A8D" w14:textId="77777777" w:rsidTr="00C64AA8">
        <w:trPr>
          <w:trHeight w:val="70"/>
        </w:trPr>
        <w:tc>
          <w:tcPr>
            <w:tcW w:w="10201" w:type="dxa"/>
            <w:gridSpan w:val="5"/>
            <w:tcBorders>
              <w:top w:val="single" w:sz="4" w:space="0" w:color="auto"/>
            </w:tcBorders>
            <w:shd w:val="clear" w:color="auto" w:fill="auto"/>
          </w:tcPr>
          <w:p w14:paraId="0FD2DC98" w14:textId="20965A79" w:rsidR="00781FC0" w:rsidRPr="00CB38F0" w:rsidRDefault="00B67469" w:rsidP="00AB0ABA">
            <w:pPr>
              <w:pStyle w:val="BodyText3"/>
              <w:tabs>
                <w:tab w:val="clear" w:pos="0"/>
                <w:tab w:val="left" w:pos="142"/>
              </w:tabs>
              <w:ind w:right="20"/>
              <w:jc w:val="both"/>
              <w:rPr>
                <w:rFonts w:ascii="Arial" w:hAnsi="Arial" w:cs="Arial"/>
                <w:color w:val="000000" w:themeColor="text1"/>
                <w:sz w:val="14"/>
                <w:szCs w:val="14"/>
                <w:lang w:val="el-GR"/>
              </w:rPr>
            </w:pPr>
            <w:r w:rsidRPr="00CB38F0">
              <w:rPr>
                <w:rFonts w:ascii="Arial" w:hAnsi="Arial" w:cs="Arial"/>
                <w:color w:val="000000" w:themeColor="text1"/>
                <w:sz w:val="14"/>
                <w:szCs w:val="14"/>
                <w:lang w:val="el-GR"/>
              </w:rPr>
              <w:t>1.</w:t>
            </w:r>
            <w:r w:rsidRPr="00CB38F0">
              <w:rPr>
                <w:rFonts w:ascii="Arial" w:hAnsi="Arial" w:cs="Arial"/>
                <w:color w:val="000000" w:themeColor="text1"/>
                <w:sz w:val="14"/>
                <w:szCs w:val="14"/>
                <w:lang w:val="el-GR"/>
              </w:rPr>
              <w:tab/>
            </w:r>
            <w:r w:rsidR="00781FC0" w:rsidRPr="00CB38F0">
              <w:rPr>
                <w:rFonts w:ascii="Arial" w:hAnsi="Arial" w:cs="Arial"/>
                <w:color w:val="000000" w:themeColor="text1"/>
                <w:sz w:val="14"/>
                <w:szCs w:val="14"/>
                <w:lang w:val="el-GR"/>
              </w:rPr>
              <w:t>Περιλαμβάνουν</w:t>
            </w:r>
            <w:r w:rsidR="00527349" w:rsidRPr="00CB38F0">
              <w:rPr>
                <w:rFonts w:ascii="Arial" w:hAnsi="Arial" w:cs="Arial"/>
                <w:color w:val="000000" w:themeColor="text1"/>
                <w:sz w:val="14"/>
                <w:szCs w:val="14"/>
                <w:lang w:val="el-GR"/>
              </w:rPr>
              <w:t xml:space="preserve"> </w:t>
            </w:r>
            <w:r w:rsidR="00781FC0" w:rsidRPr="00CB38F0">
              <w:rPr>
                <w:rFonts w:ascii="Arial" w:hAnsi="Arial" w:cs="Arial"/>
                <w:color w:val="000000" w:themeColor="text1"/>
                <w:sz w:val="14"/>
                <w:szCs w:val="14"/>
                <w:lang w:val="el-GR"/>
              </w:rPr>
              <w:t xml:space="preserve">επισκοπημένα κέρδη για το α΄ </w:t>
            </w:r>
            <w:r w:rsidR="00527349" w:rsidRPr="00CB38F0">
              <w:rPr>
                <w:rFonts w:ascii="Arial" w:hAnsi="Arial" w:cs="Arial"/>
                <w:color w:val="000000" w:themeColor="text1"/>
                <w:sz w:val="14"/>
                <w:szCs w:val="14"/>
                <w:lang w:val="el-GR"/>
              </w:rPr>
              <w:t xml:space="preserve">εξάμηνο </w:t>
            </w:r>
            <w:r w:rsidR="00781FC0" w:rsidRPr="00CB38F0">
              <w:rPr>
                <w:rFonts w:ascii="Arial" w:hAnsi="Arial" w:cs="Arial"/>
                <w:color w:val="000000" w:themeColor="text1"/>
                <w:sz w:val="14"/>
                <w:szCs w:val="14"/>
                <w:lang w:val="el-GR"/>
              </w:rPr>
              <w:t xml:space="preserve">2024 μειωμένα για σχετική πρόβλεψη για </w:t>
            </w:r>
            <w:r w:rsidR="00150F75" w:rsidRPr="00CB38F0">
              <w:rPr>
                <w:rFonts w:ascii="Arial" w:hAnsi="Arial" w:cs="Arial"/>
                <w:color w:val="000000" w:themeColor="text1"/>
                <w:sz w:val="14"/>
                <w:szCs w:val="14"/>
                <w:lang w:val="el-GR"/>
              </w:rPr>
              <w:t>διανομή</w:t>
            </w:r>
            <w:r w:rsidR="00781FC0" w:rsidRPr="00CB38F0">
              <w:rPr>
                <w:rFonts w:ascii="Arial" w:hAnsi="Arial" w:cs="Arial"/>
                <w:color w:val="000000" w:themeColor="text1"/>
                <w:sz w:val="14"/>
                <w:szCs w:val="14"/>
                <w:lang w:val="el-GR"/>
              </w:rPr>
              <w:t xml:space="preserve"> (βλέπε μέρος </w:t>
            </w:r>
            <w:r w:rsidR="00527349" w:rsidRPr="00CB38F0">
              <w:rPr>
                <w:rFonts w:ascii="Arial" w:hAnsi="Arial" w:cs="Arial"/>
                <w:color w:val="000000" w:themeColor="text1"/>
                <w:sz w:val="14"/>
                <w:szCs w:val="14"/>
                <w:lang w:val="el-GR"/>
              </w:rPr>
              <w:t>Β</w:t>
            </w:r>
            <w:r w:rsidR="00781FC0" w:rsidRPr="00CB38F0">
              <w:rPr>
                <w:rFonts w:ascii="Arial" w:hAnsi="Arial" w:cs="Arial"/>
                <w:color w:val="000000" w:themeColor="text1"/>
                <w:sz w:val="14"/>
                <w:szCs w:val="14"/>
                <w:lang w:val="el-GR"/>
              </w:rPr>
              <w:t>.</w:t>
            </w:r>
            <w:r w:rsidR="00150F75" w:rsidRPr="00CB38F0">
              <w:rPr>
                <w:rFonts w:ascii="Arial" w:hAnsi="Arial" w:cs="Arial"/>
                <w:color w:val="000000" w:themeColor="text1"/>
                <w:sz w:val="14"/>
                <w:szCs w:val="14"/>
                <w:lang w:val="el-GR"/>
              </w:rPr>
              <w:t>2</w:t>
            </w:r>
            <w:r w:rsidR="00781FC0" w:rsidRPr="00CB38F0">
              <w:rPr>
                <w:rFonts w:ascii="Arial" w:hAnsi="Arial" w:cs="Arial"/>
                <w:color w:val="000000" w:themeColor="text1"/>
                <w:sz w:val="14"/>
                <w:szCs w:val="14"/>
                <w:lang w:val="el-GR"/>
              </w:rPr>
              <w:t xml:space="preserve">.1 ‘Κεφαλαιακή Βάση’). Η οποιαδήποτε διανομή υπόκειται υπό τη λήψη εποπτικής έγκρισης. </w:t>
            </w:r>
          </w:p>
          <w:p w14:paraId="3E4435DB" w14:textId="4319A5A1" w:rsidR="004E5012" w:rsidRPr="00CB38F0" w:rsidRDefault="00150F75" w:rsidP="00AB0ABA">
            <w:pPr>
              <w:pStyle w:val="BodyText3"/>
              <w:tabs>
                <w:tab w:val="clear" w:pos="0"/>
                <w:tab w:val="left" w:pos="142"/>
              </w:tabs>
              <w:ind w:right="20"/>
              <w:jc w:val="both"/>
              <w:rPr>
                <w:rFonts w:ascii="Arial" w:hAnsi="Arial" w:cs="Arial"/>
                <w:color w:val="000000" w:themeColor="text1"/>
                <w:sz w:val="14"/>
                <w:szCs w:val="14"/>
                <w:lang w:val="el-GR"/>
              </w:rPr>
            </w:pPr>
            <w:r w:rsidRPr="00CB38F0">
              <w:rPr>
                <w:rFonts w:ascii="Arial" w:hAnsi="Arial" w:cs="Arial"/>
                <w:color w:val="000000" w:themeColor="text1"/>
                <w:sz w:val="14"/>
                <w:szCs w:val="14"/>
                <w:lang w:val="el-GR"/>
              </w:rPr>
              <w:t xml:space="preserve">2. </w:t>
            </w:r>
            <w:r w:rsidR="00085DAB" w:rsidRPr="00CB38F0">
              <w:rPr>
                <w:rFonts w:ascii="Arial" w:hAnsi="Arial" w:cs="Arial"/>
                <w:color w:val="000000" w:themeColor="text1"/>
                <w:sz w:val="14"/>
                <w:szCs w:val="14"/>
                <w:lang w:val="el-GR"/>
              </w:rPr>
              <w:t>Περιλαμβάνουν</w:t>
            </w:r>
            <w:r w:rsidR="004E5012" w:rsidRPr="00CB38F0">
              <w:rPr>
                <w:rFonts w:ascii="Arial" w:hAnsi="Arial" w:cs="Arial"/>
                <w:color w:val="000000" w:themeColor="text1"/>
                <w:sz w:val="14"/>
                <w:szCs w:val="14"/>
                <w:lang w:val="el-GR"/>
              </w:rPr>
              <w:t xml:space="preserve"> </w:t>
            </w:r>
            <w:r w:rsidR="00085DAB" w:rsidRPr="00CB38F0">
              <w:rPr>
                <w:rFonts w:ascii="Arial" w:hAnsi="Arial" w:cs="Arial"/>
                <w:color w:val="000000" w:themeColor="text1"/>
                <w:sz w:val="14"/>
                <w:szCs w:val="14"/>
                <w:lang w:val="el-GR"/>
              </w:rPr>
              <w:t>κέρδη για το</w:t>
            </w:r>
            <w:r w:rsidR="00B67469" w:rsidRPr="00CB38F0">
              <w:rPr>
                <w:rFonts w:ascii="Arial" w:hAnsi="Arial" w:cs="Arial"/>
                <w:color w:val="000000" w:themeColor="text1"/>
                <w:sz w:val="14"/>
                <w:szCs w:val="14"/>
                <w:lang w:val="el-GR"/>
              </w:rPr>
              <w:t xml:space="preserve"> έτος πού έληξε στις 31 Δεκεμβρίου </w:t>
            </w:r>
            <w:r w:rsidR="00085DAB" w:rsidRPr="00CB38F0">
              <w:rPr>
                <w:rFonts w:ascii="Arial" w:hAnsi="Arial" w:cs="Arial"/>
                <w:color w:val="000000" w:themeColor="text1"/>
                <w:sz w:val="14"/>
                <w:szCs w:val="14"/>
                <w:lang w:val="el-GR"/>
              </w:rPr>
              <w:t>2023</w:t>
            </w:r>
            <w:r w:rsidR="00B67469" w:rsidRPr="00CB38F0">
              <w:rPr>
                <w:rFonts w:ascii="Arial" w:hAnsi="Arial" w:cs="Arial"/>
                <w:color w:val="000000" w:themeColor="text1"/>
                <w:sz w:val="14"/>
                <w:szCs w:val="14"/>
                <w:lang w:val="el-GR"/>
              </w:rPr>
              <w:t>,</w:t>
            </w:r>
            <w:r w:rsidR="00085DAB" w:rsidRPr="00CB38F0">
              <w:rPr>
                <w:rFonts w:ascii="Arial" w:hAnsi="Arial" w:cs="Arial"/>
                <w:color w:val="000000" w:themeColor="text1"/>
                <w:sz w:val="14"/>
                <w:szCs w:val="14"/>
                <w:lang w:val="el-GR"/>
              </w:rPr>
              <w:t xml:space="preserve"> </w:t>
            </w:r>
            <w:r w:rsidR="00710765" w:rsidRPr="00CB38F0">
              <w:rPr>
                <w:rFonts w:ascii="Arial" w:hAnsi="Arial" w:cs="Arial"/>
                <w:color w:val="000000" w:themeColor="text1"/>
                <w:sz w:val="14"/>
                <w:szCs w:val="14"/>
                <w:lang w:val="el-GR"/>
              </w:rPr>
              <w:t xml:space="preserve">μειωμένα για </w:t>
            </w:r>
            <w:r w:rsidR="004E5012" w:rsidRPr="00CB38F0">
              <w:rPr>
                <w:rFonts w:ascii="Arial" w:hAnsi="Arial" w:cs="Arial"/>
                <w:color w:val="000000" w:themeColor="text1"/>
                <w:sz w:val="14"/>
                <w:szCs w:val="14"/>
                <w:lang w:val="el-GR"/>
              </w:rPr>
              <w:t xml:space="preserve">διανομή με ποσοστό (payout ratio) 30%, μετά τη λήψη σχετικής έγκρισης από την ΕΚΤ τον Μάρτιο 2024 </w:t>
            </w:r>
            <w:r w:rsidR="00085DAB" w:rsidRPr="00CB38F0">
              <w:rPr>
                <w:rFonts w:ascii="Arial" w:hAnsi="Arial" w:cs="Arial"/>
                <w:color w:val="000000" w:themeColor="text1"/>
                <w:sz w:val="14"/>
                <w:szCs w:val="14"/>
                <w:lang w:val="el-GR"/>
              </w:rPr>
              <w:t xml:space="preserve">(βλέπε μέρος </w:t>
            </w:r>
            <w:r w:rsidR="00AF35F3" w:rsidRPr="00CB38F0">
              <w:rPr>
                <w:rFonts w:ascii="Arial" w:hAnsi="Arial" w:cs="Arial"/>
                <w:color w:val="000000" w:themeColor="text1"/>
                <w:sz w:val="14"/>
                <w:szCs w:val="14"/>
                <w:lang w:val="el-GR"/>
              </w:rPr>
              <w:t>Β</w:t>
            </w:r>
            <w:r w:rsidR="00085DAB" w:rsidRPr="00CB38F0">
              <w:rPr>
                <w:rFonts w:ascii="Arial" w:hAnsi="Arial" w:cs="Arial"/>
                <w:color w:val="000000" w:themeColor="text1"/>
                <w:sz w:val="14"/>
                <w:szCs w:val="14"/>
                <w:lang w:val="el-GR"/>
              </w:rPr>
              <w:t>.</w:t>
            </w:r>
            <w:r w:rsidR="00B67469" w:rsidRPr="00CB38F0">
              <w:rPr>
                <w:rFonts w:ascii="Arial" w:hAnsi="Arial" w:cs="Arial"/>
                <w:color w:val="000000" w:themeColor="text1"/>
                <w:sz w:val="14"/>
                <w:szCs w:val="14"/>
                <w:lang w:val="el-GR"/>
              </w:rPr>
              <w:t>2</w:t>
            </w:r>
            <w:r w:rsidR="00085DAB" w:rsidRPr="00CB38F0">
              <w:rPr>
                <w:rFonts w:ascii="Arial" w:hAnsi="Arial" w:cs="Arial"/>
                <w:color w:val="000000" w:themeColor="text1"/>
                <w:sz w:val="14"/>
                <w:szCs w:val="14"/>
                <w:lang w:val="el-GR"/>
              </w:rPr>
              <w:t>.1</w:t>
            </w:r>
            <w:r w:rsidR="00A6303C" w:rsidRPr="00CB38F0">
              <w:rPr>
                <w:rFonts w:ascii="Arial" w:hAnsi="Arial" w:cs="Arial"/>
                <w:color w:val="000000" w:themeColor="text1"/>
                <w:sz w:val="14"/>
                <w:szCs w:val="14"/>
                <w:lang w:val="el-GR"/>
              </w:rPr>
              <w:t>)</w:t>
            </w:r>
            <w:r w:rsidR="00085DAB" w:rsidRPr="00CB38F0">
              <w:rPr>
                <w:rFonts w:ascii="Arial" w:hAnsi="Arial" w:cs="Arial"/>
                <w:color w:val="000000" w:themeColor="text1"/>
                <w:sz w:val="14"/>
                <w:szCs w:val="14"/>
                <w:lang w:val="el-GR"/>
              </w:rPr>
              <w:t xml:space="preserve">. </w:t>
            </w:r>
          </w:p>
          <w:p w14:paraId="3949BB87" w14:textId="486C974C" w:rsidR="00085DAB" w:rsidRPr="006B5511" w:rsidRDefault="00085DAB" w:rsidP="00AB0ABA">
            <w:pPr>
              <w:pStyle w:val="BodyText3"/>
              <w:tabs>
                <w:tab w:val="clear" w:pos="0"/>
                <w:tab w:val="left" w:pos="142"/>
              </w:tabs>
              <w:ind w:right="20"/>
              <w:jc w:val="both"/>
              <w:rPr>
                <w:rFonts w:ascii="Arial" w:hAnsi="Arial"/>
                <w:sz w:val="18"/>
                <w:szCs w:val="18"/>
                <w:highlight w:val="yellow"/>
                <w:lang w:val="el-GR"/>
              </w:rPr>
            </w:pPr>
            <w:r w:rsidRPr="00CB38F0">
              <w:rPr>
                <w:rFonts w:ascii="Arial" w:hAnsi="Arial" w:cs="Arial"/>
                <w:color w:val="000000" w:themeColor="text1"/>
                <w:sz w:val="14"/>
                <w:szCs w:val="14"/>
                <w:lang w:val="el-GR"/>
              </w:rPr>
              <w:t>Ε.μ. = εκατοστιαίες μονάδες, μ.β.= μονάδες βάσης, 100 μονάδες βάσης = 1 εκατοστιαία μονάδα</w:t>
            </w:r>
          </w:p>
        </w:tc>
      </w:tr>
    </w:tbl>
    <w:p w14:paraId="349D8E55" w14:textId="77777777" w:rsidR="004E5012" w:rsidRPr="006B5511" w:rsidRDefault="004E5012">
      <w:pPr>
        <w:spacing w:after="0" w:line="240" w:lineRule="auto"/>
        <w:ind w:left="777" w:hanging="777"/>
        <w:rPr>
          <w:rFonts w:ascii="Arial" w:hAnsi="Arial" w:cs="Arial"/>
          <w:b/>
          <w:bCs/>
          <w:color w:val="FF9900"/>
          <w:sz w:val="24"/>
          <w:highlight w:val="yellow"/>
          <w:lang w:val="el-GR"/>
        </w:rPr>
      </w:pPr>
    </w:p>
    <w:p w14:paraId="70A14845" w14:textId="77777777" w:rsidR="008D10DD" w:rsidRPr="006B5511" w:rsidRDefault="008D10DD" w:rsidP="00B043BD">
      <w:pPr>
        <w:rPr>
          <w:rFonts w:ascii="Arial" w:hAnsi="Arial" w:cs="Arial"/>
          <w:b/>
          <w:bCs/>
          <w:color w:val="FF9900"/>
          <w:sz w:val="24"/>
          <w:highlight w:val="yellow"/>
          <w:lang w:val="el-GR"/>
        </w:rPr>
      </w:pPr>
    </w:p>
    <w:p w14:paraId="305464D8" w14:textId="7CCD3F53" w:rsidR="00273A9B" w:rsidRPr="00CB38F0" w:rsidRDefault="00273A9B" w:rsidP="00CB38F0">
      <w:pPr>
        <w:ind w:left="777" w:hanging="777"/>
        <w:jc w:val="both"/>
        <w:rPr>
          <w:rFonts w:ascii="Arial" w:hAnsi="Arial" w:cs="Arial"/>
          <w:b/>
          <w:bCs/>
          <w:color w:val="FF9900"/>
          <w:sz w:val="24"/>
          <w:lang w:val="el-GR"/>
        </w:rPr>
      </w:pPr>
      <w:r w:rsidRPr="00DD7572">
        <w:rPr>
          <w:rFonts w:ascii="Arial" w:hAnsi="Arial" w:cs="Arial"/>
          <w:b/>
          <w:bCs/>
          <w:color w:val="FF9900"/>
          <w:sz w:val="24"/>
          <w:lang w:val="el-GR"/>
        </w:rPr>
        <w:lastRenderedPageBreak/>
        <w:t xml:space="preserve">Β. Οικονομικά Αποτελέσματα Συγκροτήματος – Υποκείμενη Βάση </w:t>
      </w:r>
      <w:r w:rsidRPr="00DD7572">
        <w:rPr>
          <w:rFonts w:ascii="Arial" w:hAnsi="Arial" w:cs="Arial"/>
          <w:color w:val="FF9900"/>
          <w:sz w:val="24"/>
          <w:lang w:val="el-GR"/>
        </w:rPr>
        <w:t>(συνέχεια)</w:t>
      </w:r>
    </w:p>
    <w:p w14:paraId="3E6B68B9" w14:textId="2F5AA366" w:rsidR="00273A9B" w:rsidRPr="00DD7572" w:rsidRDefault="00273A9B" w:rsidP="00273A9B">
      <w:pPr>
        <w:spacing w:after="120" w:line="240" w:lineRule="auto"/>
        <w:ind w:left="993" w:hanging="993"/>
        <w:jc w:val="both"/>
        <w:rPr>
          <w:rFonts w:ascii="Arial" w:hAnsi="Arial" w:cs="Arial"/>
          <w:b/>
          <w:color w:val="FF9900"/>
          <w:lang w:val="el-GR"/>
        </w:rPr>
      </w:pPr>
      <w:r w:rsidRPr="00DD7572">
        <w:rPr>
          <w:rFonts w:ascii="Arial" w:hAnsi="Arial" w:cs="Arial"/>
          <w:b/>
          <w:color w:val="FF9900"/>
          <w:lang w:val="en-US"/>
        </w:rPr>
        <w:t>B</w:t>
      </w:r>
      <w:r w:rsidRPr="00DD7572">
        <w:rPr>
          <w:rFonts w:ascii="Arial" w:hAnsi="Arial" w:cs="Arial"/>
          <w:b/>
          <w:color w:val="FF9900"/>
          <w:lang w:val="el-GR"/>
        </w:rPr>
        <w:t>.1</w:t>
      </w:r>
      <w:r>
        <w:rPr>
          <w:rFonts w:ascii="Arial" w:hAnsi="Arial" w:cs="Arial"/>
          <w:b/>
          <w:color w:val="FF9900"/>
          <w:lang w:val="el-GR"/>
        </w:rPr>
        <w:t>.</w:t>
      </w:r>
      <w:r w:rsidRPr="00DD7572">
        <w:rPr>
          <w:rFonts w:ascii="Arial" w:hAnsi="Arial" w:cs="Arial"/>
          <w:b/>
          <w:color w:val="FF9900"/>
          <w:lang w:val="el-GR"/>
        </w:rPr>
        <w:t xml:space="preserve"> </w:t>
      </w:r>
      <w:r w:rsidRPr="00DD7572">
        <w:rPr>
          <w:rFonts w:ascii="Arial" w:hAnsi="Arial" w:cs="Arial"/>
          <w:b/>
          <w:color w:val="FF9900"/>
          <w:lang w:val="el-GR"/>
        </w:rPr>
        <w:tab/>
        <w:t xml:space="preserve">Συμφιλίωση της Ενδιάμεσης Ενοποιημένης Κατάστασης Λογαριασμού Αποτελεσμάτων για το εξάμηνο που έληξε στις 30 Ιουνίου </w:t>
      </w:r>
      <w:r>
        <w:rPr>
          <w:rFonts w:ascii="Arial" w:hAnsi="Arial" w:cs="Arial"/>
          <w:b/>
          <w:color w:val="FF9900"/>
          <w:lang w:val="el-GR"/>
        </w:rPr>
        <w:t>2024</w:t>
      </w:r>
      <w:r w:rsidRPr="00DD7572">
        <w:rPr>
          <w:rFonts w:ascii="Arial" w:hAnsi="Arial" w:cs="Arial"/>
          <w:b/>
          <w:color w:val="FF9900"/>
          <w:lang w:val="el-GR"/>
        </w:rPr>
        <w:t xml:space="preserve"> μεταξύ της απαιτούμενης από τη νομοθεσία βάσης και της υποκείμενης βάσης</w:t>
      </w:r>
    </w:p>
    <w:tbl>
      <w:tblPr>
        <w:tblStyle w:val="TableGrid"/>
        <w:tblW w:w="9859"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776"/>
        <w:gridCol w:w="1361"/>
        <w:gridCol w:w="1361"/>
        <w:gridCol w:w="1361"/>
      </w:tblGrid>
      <w:tr w:rsidR="00273A9B" w:rsidRPr="00F931DF" w14:paraId="2040A544" w14:textId="77777777" w:rsidTr="00A21CB9">
        <w:trPr>
          <w:trHeight w:val="428"/>
          <w:jc w:val="center"/>
        </w:trPr>
        <w:tc>
          <w:tcPr>
            <w:tcW w:w="5776" w:type="dxa"/>
            <w:vAlign w:val="center"/>
          </w:tcPr>
          <w:p w14:paraId="43028D00" w14:textId="77777777" w:rsidR="00273A9B" w:rsidRPr="006A1797" w:rsidRDefault="00273A9B" w:rsidP="00A21CB9">
            <w:pPr>
              <w:autoSpaceDE w:val="0"/>
              <w:autoSpaceDN w:val="0"/>
              <w:adjustRightInd w:val="0"/>
              <w:spacing w:before="40" w:after="40"/>
              <w:rPr>
                <w:rFonts w:ascii="Arial" w:hAnsi="Arial" w:cs="Arial"/>
                <w:b/>
                <w:color w:val="000000"/>
                <w:sz w:val="18"/>
                <w:szCs w:val="18"/>
                <w:lang w:val="el-GR"/>
              </w:rPr>
            </w:pPr>
            <w:r w:rsidRPr="006A1797">
              <w:rPr>
                <w:rFonts w:ascii="Arial" w:hAnsi="Arial" w:cs="Arial"/>
                <w:b/>
                <w:color w:val="000000"/>
                <w:sz w:val="18"/>
                <w:szCs w:val="18"/>
              </w:rPr>
              <w:t>€</w:t>
            </w:r>
            <w:r w:rsidRPr="006A1797">
              <w:rPr>
                <w:rFonts w:ascii="Arial" w:hAnsi="Arial" w:cs="Arial"/>
                <w:b/>
                <w:color w:val="000000"/>
                <w:sz w:val="18"/>
                <w:szCs w:val="18"/>
                <w:lang w:val="el-GR"/>
              </w:rPr>
              <w:t xml:space="preserve"> εκατ.</w:t>
            </w:r>
          </w:p>
        </w:tc>
        <w:tc>
          <w:tcPr>
            <w:tcW w:w="1361" w:type="dxa"/>
            <w:vAlign w:val="center"/>
          </w:tcPr>
          <w:p w14:paraId="53E81A08" w14:textId="77777777" w:rsidR="00273A9B" w:rsidRPr="006A1797" w:rsidRDefault="00273A9B" w:rsidP="00A21CB9">
            <w:pPr>
              <w:autoSpaceDE w:val="0"/>
              <w:autoSpaceDN w:val="0"/>
              <w:adjustRightInd w:val="0"/>
              <w:jc w:val="center"/>
              <w:rPr>
                <w:rFonts w:ascii="Arial" w:hAnsi="Arial" w:cs="Arial"/>
                <w:b/>
                <w:color w:val="000000"/>
                <w:sz w:val="18"/>
                <w:szCs w:val="18"/>
              </w:rPr>
            </w:pPr>
            <w:r w:rsidRPr="006A1797">
              <w:rPr>
                <w:rFonts w:ascii="Arial" w:hAnsi="Arial" w:cs="Arial"/>
                <w:b/>
                <w:color w:val="000000"/>
                <w:sz w:val="18"/>
                <w:szCs w:val="18"/>
                <w:lang w:val="el-GR"/>
              </w:rPr>
              <w:t>Υποκείμενη βάση</w:t>
            </w:r>
          </w:p>
        </w:tc>
        <w:tc>
          <w:tcPr>
            <w:tcW w:w="1361" w:type="dxa"/>
            <w:vAlign w:val="center"/>
          </w:tcPr>
          <w:p w14:paraId="0A3B875E" w14:textId="77777777" w:rsidR="00273A9B" w:rsidRPr="006A1797" w:rsidRDefault="00273A9B" w:rsidP="00A21CB9">
            <w:pPr>
              <w:autoSpaceDE w:val="0"/>
              <w:autoSpaceDN w:val="0"/>
              <w:adjustRightInd w:val="0"/>
              <w:jc w:val="center"/>
              <w:rPr>
                <w:rFonts w:ascii="Arial" w:hAnsi="Arial" w:cs="Arial"/>
                <w:b/>
                <w:color w:val="000000"/>
                <w:sz w:val="18"/>
                <w:szCs w:val="18"/>
                <w:lang w:val="el-GR"/>
              </w:rPr>
            </w:pPr>
            <w:r w:rsidRPr="006A1797">
              <w:rPr>
                <w:rFonts w:ascii="Arial" w:hAnsi="Arial" w:cs="Arial"/>
                <w:b/>
                <w:color w:val="000000"/>
                <w:sz w:val="18"/>
                <w:szCs w:val="18"/>
                <w:lang w:val="el-GR"/>
              </w:rPr>
              <w:t>Άλλα</w:t>
            </w:r>
          </w:p>
        </w:tc>
        <w:tc>
          <w:tcPr>
            <w:tcW w:w="1361" w:type="dxa"/>
            <w:vAlign w:val="center"/>
          </w:tcPr>
          <w:p w14:paraId="28C4C830" w14:textId="77777777" w:rsidR="00273A9B" w:rsidRPr="006A1797" w:rsidRDefault="00273A9B" w:rsidP="00A21CB9">
            <w:pPr>
              <w:autoSpaceDE w:val="0"/>
              <w:autoSpaceDN w:val="0"/>
              <w:adjustRightInd w:val="0"/>
              <w:jc w:val="center"/>
              <w:rPr>
                <w:rFonts w:ascii="Arial" w:hAnsi="Arial" w:cs="Arial"/>
                <w:b/>
                <w:color w:val="000000"/>
                <w:sz w:val="18"/>
                <w:szCs w:val="18"/>
                <w:lang w:val="el-GR"/>
              </w:rPr>
            </w:pPr>
            <w:r w:rsidRPr="006A1797">
              <w:rPr>
                <w:rFonts w:ascii="Arial" w:hAnsi="Arial" w:cs="Arial"/>
                <w:b/>
                <w:color w:val="000000"/>
                <w:sz w:val="18"/>
                <w:szCs w:val="18"/>
                <w:lang w:val="el-GR"/>
              </w:rPr>
              <w:t>Απαιτούμενη από τη νομοθεσία βάση</w:t>
            </w:r>
          </w:p>
        </w:tc>
      </w:tr>
      <w:tr w:rsidR="008E7D1C" w:rsidRPr="006B5511" w14:paraId="18060604" w14:textId="77777777" w:rsidTr="00A21CB9">
        <w:trPr>
          <w:trHeight w:val="255"/>
          <w:jc w:val="center"/>
        </w:trPr>
        <w:tc>
          <w:tcPr>
            <w:tcW w:w="5776" w:type="dxa"/>
            <w:shd w:val="clear" w:color="auto" w:fill="auto"/>
            <w:vAlign w:val="center"/>
          </w:tcPr>
          <w:p w14:paraId="6B10F4A5" w14:textId="77777777" w:rsidR="008E7D1C" w:rsidRPr="006A1797" w:rsidRDefault="008E7D1C" w:rsidP="008E7D1C">
            <w:pPr>
              <w:autoSpaceDE w:val="0"/>
              <w:autoSpaceDN w:val="0"/>
              <w:adjustRightInd w:val="0"/>
              <w:rPr>
                <w:rFonts w:ascii="Arial" w:hAnsi="Arial" w:cs="Arial"/>
                <w:color w:val="000000"/>
                <w:sz w:val="18"/>
                <w:szCs w:val="18"/>
              </w:rPr>
            </w:pPr>
            <w:r w:rsidRPr="006A1797">
              <w:rPr>
                <w:rFonts w:ascii="Arial" w:eastAsia="Batang" w:hAnsi="Arial" w:cs="Arial"/>
                <w:color w:val="262626"/>
                <w:sz w:val="18"/>
                <w:szCs w:val="18"/>
                <w:lang w:val="el-GR"/>
              </w:rPr>
              <w:t>Καθαρά έσοδα από τόκους</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04866112" w14:textId="524B8D88" w:rsidR="008E7D1C" w:rsidRPr="006A1797" w:rsidRDefault="008E7D1C" w:rsidP="008E7D1C">
            <w:pPr>
              <w:tabs>
                <w:tab w:val="left" w:pos="0"/>
                <w:tab w:val="left" w:pos="1416"/>
                <w:tab w:val="decimal" w:pos="4962"/>
                <w:tab w:val="decimal" w:pos="6521"/>
                <w:tab w:val="right" w:pos="7560"/>
                <w:tab w:val="decimal" w:pos="8220"/>
                <w:tab w:val="left" w:pos="8640"/>
                <w:tab w:val="right" w:pos="9000"/>
              </w:tabs>
              <w:suppressAutoHyphens/>
              <w:autoSpaceDE w:val="0"/>
              <w:autoSpaceDN w:val="0"/>
              <w:adjustRightInd w:val="0"/>
              <w:jc w:val="right"/>
              <w:rPr>
                <w:rFonts w:ascii="Arial" w:eastAsiaTheme="minorEastAsia" w:hAnsi="Arial" w:cs="Arial"/>
                <w:bCs/>
                <w:color w:val="262626"/>
                <w:sz w:val="18"/>
                <w:szCs w:val="18"/>
                <w:lang w:eastAsia="en-GB"/>
              </w:rPr>
            </w:pPr>
            <w:r w:rsidRPr="00EB0EAD">
              <w:rPr>
                <w:rFonts w:ascii="Arial" w:hAnsi="Arial" w:cs="Arial"/>
                <w:color w:val="000000"/>
                <w:sz w:val="18"/>
                <w:szCs w:val="18"/>
              </w:rPr>
              <w:t>420</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32469E38" w14:textId="7F99E0EC" w:rsidR="008E7D1C" w:rsidRPr="006A1797" w:rsidRDefault="008E7D1C" w:rsidP="008E7D1C">
            <w:pPr>
              <w:autoSpaceDE w:val="0"/>
              <w:autoSpaceDN w:val="0"/>
              <w:adjustRightInd w:val="0"/>
              <w:jc w:val="right"/>
              <w:rPr>
                <w:rFonts w:ascii="Arial" w:eastAsiaTheme="minorEastAsia" w:hAnsi="Arial" w:cs="Arial"/>
                <w:bCs/>
                <w:color w:val="262626"/>
                <w:sz w:val="18"/>
                <w:szCs w:val="18"/>
                <w:lang w:eastAsia="en-GB"/>
              </w:rPr>
            </w:pPr>
            <w:r w:rsidRPr="005A1AAB">
              <w:rPr>
                <w:rFonts w:ascii="Arial" w:hAnsi="Arial" w:cs="Arial"/>
                <w:color w:val="000000"/>
                <w:sz w:val="18"/>
                <w:szCs w:val="18"/>
              </w:rPr>
              <w:t>-</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5A30AA67" w14:textId="1231E3D7" w:rsidR="008E7D1C" w:rsidRPr="006A1797" w:rsidRDefault="008E7D1C" w:rsidP="008E7D1C">
            <w:pPr>
              <w:autoSpaceDE w:val="0"/>
              <w:autoSpaceDN w:val="0"/>
              <w:adjustRightInd w:val="0"/>
              <w:jc w:val="right"/>
              <w:rPr>
                <w:rFonts w:ascii="Arial" w:eastAsiaTheme="minorEastAsia" w:hAnsi="Arial" w:cs="Arial"/>
                <w:bCs/>
                <w:color w:val="262626"/>
                <w:sz w:val="18"/>
                <w:szCs w:val="18"/>
                <w:lang w:eastAsia="en-GB"/>
              </w:rPr>
            </w:pPr>
            <w:r w:rsidRPr="005A1AAB">
              <w:rPr>
                <w:rFonts w:ascii="Arial" w:hAnsi="Arial" w:cs="Arial"/>
                <w:color w:val="000000"/>
                <w:sz w:val="18"/>
                <w:szCs w:val="18"/>
              </w:rPr>
              <w:t>420</w:t>
            </w:r>
          </w:p>
        </w:tc>
      </w:tr>
      <w:tr w:rsidR="008E7D1C" w:rsidRPr="006B5511" w14:paraId="281E8DBB" w14:textId="77777777" w:rsidTr="00A21CB9">
        <w:trPr>
          <w:trHeight w:val="255"/>
          <w:jc w:val="center"/>
        </w:trPr>
        <w:tc>
          <w:tcPr>
            <w:tcW w:w="5776" w:type="dxa"/>
            <w:vAlign w:val="center"/>
          </w:tcPr>
          <w:p w14:paraId="3A217DB4" w14:textId="77777777" w:rsidR="008E7D1C" w:rsidRPr="006A1797" w:rsidRDefault="008E7D1C" w:rsidP="008E7D1C">
            <w:pPr>
              <w:autoSpaceDE w:val="0"/>
              <w:autoSpaceDN w:val="0"/>
              <w:adjustRightInd w:val="0"/>
              <w:ind w:left="-985" w:firstLine="985"/>
              <w:rPr>
                <w:rFonts w:ascii="Arial" w:hAnsi="Arial" w:cs="Arial"/>
                <w:color w:val="000000"/>
                <w:sz w:val="18"/>
                <w:szCs w:val="18"/>
                <w:lang w:val="el-GR"/>
              </w:rPr>
            </w:pPr>
            <w:r w:rsidRPr="006A1797">
              <w:rPr>
                <w:rFonts w:ascii="Arial" w:eastAsia="Batang" w:hAnsi="Arial" w:cs="Arial"/>
                <w:color w:val="262626"/>
                <w:sz w:val="18"/>
                <w:szCs w:val="18"/>
                <w:lang w:val="el-GR"/>
              </w:rPr>
              <w:t>Καθαρά έσοδα από αμοιβές και προμήθειες</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31E02959" w14:textId="1FA2E51B" w:rsidR="008E7D1C" w:rsidRPr="006A1797" w:rsidRDefault="008E7D1C" w:rsidP="008E7D1C">
            <w:pPr>
              <w:autoSpaceDE w:val="0"/>
              <w:autoSpaceDN w:val="0"/>
              <w:adjustRightInd w:val="0"/>
              <w:jc w:val="right"/>
              <w:rPr>
                <w:rFonts w:ascii="Arial" w:eastAsiaTheme="minorEastAsia" w:hAnsi="Arial" w:cs="Arial"/>
                <w:bCs/>
                <w:color w:val="262626"/>
                <w:sz w:val="18"/>
                <w:szCs w:val="18"/>
                <w:lang w:val="el-GR" w:eastAsia="en-GB"/>
              </w:rPr>
            </w:pPr>
            <w:r w:rsidRPr="00EB0EAD">
              <w:rPr>
                <w:rFonts w:ascii="Arial" w:hAnsi="Arial" w:cs="Arial"/>
                <w:color w:val="000000"/>
                <w:sz w:val="18"/>
                <w:szCs w:val="18"/>
              </w:rPr>
              <w:t>86</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7F9F15B1" w14:textId="63BFB832" w:rsidR="008E7D1C" w:rsidRPr="006A1797" w:rsidRDefault="008E7D1C" w:rsidP="008E7D1C">
            <w:pPr>
              <w:autoSpaceDE w:val="0"/>
              <w:autoSpaceDN w:val="0"/>
              <w:adjustRightInd w:val="0"/>
              <w:jc w:val="right"/>
              <w:rPr>
                <w:rFonts w:ascii="Arial" w:eastAsiaTheme="minorEastAsia" w:hAnsi="Arial" w:cs="Arial"/>
                <w:bCs/>
                <w:color w:val="262626"/>
                <w:sz w:val="18"/>
                <w:szCs w:val="18"/>
                <w:lang w:val="el-GR" w:eastAsia="en-GB"/>
              </w:rPr>
            </w:pPr>
            <w:r w:rsidRPr="005A1AAB">
              <w:rPr>
                <w:rFonts w:ascii="Arial" w:hAnsi="Arial" w:cs="Arial"/>
                <w:color w:val="000000"/>
                <w:sz w:val="18"/>
                <w:szCs w:val="18"/>
              </w:rPr>
              <w:t>-</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151029C1" w14:textId="1D27EDC9" w:rsidR="008E7D1C" w:rsidRPr="006A1797" w:rsidRDefault="008E7D1C" w:rsidP="008E7D1C">
            <w:pPr>
              <w:autoSpaceDE w:val="0"/>
              <w:autoSpaceDN w:val="0"/>
              <w:adjustRightInd w:val="0"/>
              <w:jc w:val="right"/>
              <w:rPr>
                <w:rFonts w:ascii="Arial" w:eastAsiaTheme="minorEastAsia" w:hAnsi="Arial" w:cs="Arial"/>
                <w:bCs/>
                <w:color w:val="262626"/>
                <w:sz w:val="18"/>
                <w:szCs w:val="18"/>
                <w:lang w:val="el-GR" w:eastAsia="en-GB"/>
              </w:rPr>
            </w:pPr>
            <w:r w:rsidRPr="005A1AAB">
              <w:rPr>
                <w:rFonts w:ascii="Arial" w:hAnsi="Arial" w:cs="Arial"/>
                <w:color w:val="000000"/>
                <w:sz w:val="18"/>
                <w:szCs w:val="18"/>
              </w:rPr>
              <w:t>86</w:t>
            </w:r>
          </w:p>
        </w:tc>
      </w:tr>
      <w:tr w:rsidR="008E7D1C" w:rsidRPr="006B5511" w14:paraId="61597B62" w14:textId="77777777" w:rsidTr="00A21CB9">
        <w:trPr>
          <w:trHeight w:val="227"/>
          <w:jc w:val="center"/>
        </w:trPr>
        <w:tc>
          <w:tcPr>
            <w:tcW w:w="5776" w:type="dxa"/>
            <w:vAlign w:val="center"/>
          </w:tcPr>
          <w:p w14:paraId="373016C0" w14:textId="77777777" w:rsidR="008E7D1C" w:rsidRPr="006A1797" w:rsidRDefault="008E7D1C" w:rsidP="008E7D1C">
            <w:pPr>
              <w:autoSpaceDE w:val="0"/>
              <w:autoSpaceDN w:val="0"/>
              <w:adjustRightInd w:val="0"/>
              <w:rPr>
                <w:rFonts w:ascii="Arial" w:hAnsi="Arial" w:cs="Arial"/>
                <w:color w:val="000000"/>
                <w:sz w:val="18"/>
                <w:szCs w:val="18"/>
                <w:lang w:val="el-GR"/>
              </w:rPr>
            </w:pPr>
            <w:r w:rsidRPr="006A1797">
              <w:rPr>
                <w:rFonts w:ascii="Arial" w:eastAsia="Batang" w:hAnsi="Arial" w:cs="Arial"/>
                <w:color w:val="262626"/>
                <w:sz w:val="18"/>
                <w:szCs w:val="18"/>
                <w:lang w:val="el-GR"/>
              </w:rPr>
              <w:t xml:space="preserve">Καθαρά κέρδη από διαπραγμάτευση συναλλάγματος και καθαρά κέρδη από χρηματοοικονομικά μέσα </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4AE59918" w14:textId="07378CC9" w:rsidR="008E7D1C" w:rsidRPr="006A1797" w:rsidRDefault="008E7D1C" w:rsidP="008E7D1C">
            <w:pPr>
              <w:autoSpaceDE w:val="0"/>
              <w:autoSpaceDN w:val="0"/>
              <w:adjustRightInd w:val="0"/>
              <w:jc w:val="right"/>
              <w:rPr>
                <w:rFonts w:ascii="Arial" w:eastAsiaTheme="minorEastAsia" w:hAnsi="Arial" w:cs="Arial"/>
                <w:bCs/>
                <w:color w:val="262626"/>
                <w:sz w:val="18"/>
                <w:szCs w:val="18"/>
                <w:lang w:val="el-GR" w:eastAsia="en-GB"/>
              </w:rPr>
            </w:pPr>
            <w:r w:rsidRPr="00EB0EAD">
              <w:rPr>
                <w:rFonts w:ascii="Arial" w:hAnsi="Arial" w:cs="Arial"/>
                <w:color w:val="000000"/>
                <w:sz w:val="18"/>
                <w:szCs w:val="18"/>
              </w:rPr>
              <w:t>13</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652F0349" w14:textId="75D02FEF" w:rsidR="008E7D1C" w:rsidRPr="006A1797" w:rsidRDefault="008E7D1C" w:rsidP="008E7D1C">
            <w:pPr>
              <w:autoSpaceDE w:val="0"/>
              <w:autoSpaceDN w:val="0"/>
              <w:adjustRightInd w:val="0"/>
              <w:jc w:val="right"/>
              <w:rPr>
                <w:rFonts w:ascii="Arial" w:eastAsiaTheme="minorEastAsia" w:hAnsi="Arial" w:cs="Arial"/>
                <w:bCs/>
                <w:color w:val="262626"/>
                <w:sz w:val="18"/>
                <w:szCs w:val="18"/>
                <w:lang w:val="el-GR" w:eastAsia="en-GB"/>
              </w:rPr>
            </w:pPr>
            <w:r w:rsidRPr="005A1AAB">
              <w:rPr>
                <w:rFonts w:ascii="Arial" w:hAnsi="Arial" w:cs="Arial"/>
                <w:color w:val="000000"/>
                <w:sz w:val="18"/>
                <w:szCs w:val="18"/>
              </w:rPr>
              <w:t>-</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579DF1FE" w14:textId="7F876BD2" w:rsidR="008E7D1C" w:rsidRPr="006A1797" w:rsidRDefault="008E7D1C" w:rsidP="008E7D1C">
            <w:pPr>
              <w:autoSpaceDE w:val="0"/>
              <w:autoSpaceDN w:val="0"/>
              <w:adjustRightInd w:val="0"/>
              <w:jc w:val="right"/>
              <w:rPr>
                <w:rFonts w:ascii="Arial" w:eastAsiaTheme="minorEastAsia" w:hAnsi="Arial" w:cs="Arial"/>
                <w:bCs/>
                <w:color w:val="262626"/>
                <w:sz w:val="18"/>
                <w:szCs w:val="18"/>
                <w:lang w:val="el-GR" w:eastAsia="en-GB"/>
              </w:rPr>
            </w:pPr>
            <w:r w:rsidRPr="005A1AAB">
              <w:rPr>
                <w:rFonts w:ascii="Arial" w:hAnsi="Arial" w:cs="Arial"/>
                <w:color w:val="000000"/>
                <w:sz w:val="18"/>
                <w:szCs w:val="18"/>
              </w:rPr>
              <w:t>13</w:t>
            </w:r>
          </w:p>
        </w:tc>
      </w:tr>
      <w:tr w:rsidR="008E7D1C" w:rsidRPr="006B5511" w14:paraId="22236C86" w14:textId="77777777" w:rsidTr="00A21CB9">
        <w:trPr>
          <w:trHeight w:val="227"/>
          <w:jc w:val="center"/>
        </w:trPr>
        <w:tc>
          <w:tcPr>
            <w:tcW w:w="5776" w:type="dxa"/>
            <w:vAlign w:val="center"/>
          </w:tcPr>
          <w:p w14:paraId="40DF3DD6" w14:textId="77777777" w:rsidR="008E7D1C" w:rsidRPr="006A1797" w:rsidRDefault="008E7D1C" w:rsidP="008E7D1C">
            <w:pPr>
              <w:autoSpaceDE w:val="0"/>
              <w:autoSpaceDN w:val="0"/>
              <w:adjustRightInd w:val="0"/>
              <w:rPr>
                <w:rFonts w:ascii="Arial" w:eastAsia="Batang" w:hAnsi="Arial" w:cs="Arial"/>
                <w:color w:val="262626"/>
                <w:sz w:val="18"/>
                <w:szCs w:val="18"/>
                <w:lang w:val="el-GR"/>
              </w:rPr>
            </w:pPr>
            <w:r w:rsidRPr="006A1797">
              <w:rPr>
                <w:rFonts w:ascii="Arial" w:eastAsia="Batang" w:hAnsi="Arial" w:cs="Arial"/>
                <w:color w:val="262626"/>
                <w:sz w:val="18"/>
                <w:szCs w:val="18"/>
                <w:lang w:val="el-GR"/>
              </w:rPr>
              <w:t>Καθαρά κέρδη από αποαναγνώριση χρηματοοικονομικών περιουσιακών στοιχείων που επιμετρούνται σε αποσβεσμένο κόστος</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4F540F69" w14:textId="03413BC5" w:rsidR="008E7D1C" w:rsidRPr="006A1797" w:rsidRDefault="008E7D1C" w:rsidP="008E7D1C">
            <w:pPr>
              <w:autoSpaceDE w:val="0"/>
              <w:autoSpaceDN w:val="0"/>
              <w:adjustRightInd w:val="0"/>
              <w:jc w:val="right"/>
              <w:rPr>
                <w:rFonts w:ascii="Arial" w:eastAsiaTheme="minorEastAsia" w:hAnsi="Arial" w:cs="Arial"/>
                <w:bCs/>
                <w:color w:val="262626"/>
                <w:sz w:val="18"/>
                <w:szCs w:val="18"/>
                <w:lang w:val="el-GR" w:eastAsia="en-GB"/>
              </w:rPr>
            </w:pPr>
            <w:r w:rsidRPr="00EB0EAD">
              <w:rPr>
                <w:rFonts w:ascii="Arial" w:hAnsi="Arial" w:cs="Arial"/>
                <w:color w:val="000000"/>
                <w:sz w:val="18"/>
                <w:szCs w:val="18"/>
              </w:rPr>
              <w:t>-</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66E012B9" w14:textId="79EF1C2D" w:rsidR="008E7D1C" w:rsidRPr="006A1797" w:rsidRDefault="008E7D1C" w:rsidP="008E7D1C">
            <w:pPr>
              <w:autoSpaceDE w:val="0"/>
              <w:autoSpaceDN w:val="0"/>
              <w:adjustRightInd w:val="0"/>
              <w:jc w:val="right"/>
              <w:rPr>
                <w:rFonts w:ascii="Arial" w:eastAsiaTheme="minorEastAsia" w:hAnsi="Arial" w:cs="Arial"/>
                <w:bCs/>
                <w:color w:val="262626"/>
                <w:sz w:val="18"/>
                <w:szCs w:val="18"/>
                <w:lang w:val="el-GR" w:eastAsia="en-GB"/>
              </w:rPr>
            </w:pPr>
            <w:r w:rsidRPr="005A1AAB">
              <w:rPr>
                <w:rFonts w:ascii="Arial" w:hAnsi="Arial" w:cs="Arial"/>
                <w:color w:val="000000"/>
                <w:sz w:val="18"/>
                <w:szCs w:val="18"/>
                <w:lang w:val="en-GB"/>
              </w:rPr>
              <w:t>1</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3D3B2C68" w14:textId="061F09AA" w:rsidR="008E7D1C" w:rsidRPr="006A1797" w:rsidRDefault="008E7D1C" w:rsidP="008E7D1C">
            <w:pPr>
              <w:autoSpaceDE w:val="0"/>
              <w:autoSpaceDN w:val="0"/>
              <w:adjustRightInd w:val="0"/>
              <w:jc w:val="right"/>
              <w:rPr>
                <w:rFonts w:ascii="Arial" w:eastAsiaTheme="minorEastAsia" w:hAnsi="Arial" w:cs="Arial"/>
                <w:bCs/>
                <w:color w:val="262626"/>
                <w:sz w:val="18"/>
                <w:szCs w:val="18"/>
                <w:lang w:val="el-GR" w:eastAsia="en-GB"/>
              </w:rPr>
            </w:pPr>
            <w:r w:rsidRPr="005A1AAB">
              <w:rPr>
                <w:rFonts w:ascii="Arial" w:hAnsi="Arial" w:cs="Arial"/>
                <w:color w:val="000000"/>
                <w:sz w:val="18"/>
                <w:szCs w:val="18"/>
              </w:rPr>
              <w:t>1</w:t>
            </w:r>
          </w:p>
        </w:tc>
      </w:tr>
      <w:tr w:rsidR="008E7D1C" w:rsidRPr="006B5511" w14:paraId="650C7E27" w14:textId="77777777" w:rsidTr="00A21CB9">
        <w:trPr>
          <w:trHeight w:val="255"/>
          <w:jc w:val="center"/>
        </w:trPr>
        <w:tc>
          <w:tcPr>
            <w:tcW w:w="5776" w:type="dxa"/>
            <w:vAlign w:val="center"/>
          </w:tcPr>
          <w:p w14:paraId="440702E2" w14:textId="77777777" w:rsidR="008E7D1C" w:rsidRPr="006A1797" w:rsidRDefault="008E7D1C" w:rsidP="008E7D1C">
            <w:pPr>
              <w:autoSpaceDE w:val="0"/>
              <w:autoSpaceDN w:val="0"/>
              <w:adjustRightInd w:val="0"/>
              <w:rPr>
                <w:rFonts w:ascii="Arial" w:hAnsi="Arial" w:cs="Arial"/>
                <w:color w:val="000000"/>
                <w:sz w:val="18"/>
                <w:szCs w:val="18"/>
                <w:lang w:val="el-GR"/>
              </w:rPr>
            </w:pPr>
            <w:r w:rsidRPr="006A1797">
              <w:rPr>
                <w:rFonts w:ascii="Arial" w:eastAsia="Batang" w:hAnsi="Arial" w:cs="Arial"/>
                <w:color w:val="262626"/>
                <w:sz w:val="18"/>
                <w:szCs w:val="18"/>
                <w:lang w:val="el-GR"/>
              </w:rPr>
              <w:t>Καθαρό αποτέλεσμα από ασφαλιστικές εργασίες*</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5C066666" w14:textId="13B341CE" w:rsidR="008E7D1C" w:rsidRPr="006A1797" w:rsidRDefault="008E7D1C" w:rsidP="008E7D1C">
            <w:pPr>
              <w:autoSpaceDE w:val="0"/>
              <w:autoSpaceDN w:val="0"/>
              <w:adjustRightInd w:val="0"/>
              <w:jc w:val="right"/>
              <w:rPr>
                <w:rFonts w:ascii="Arial" w:eastAsiaTheme="minorEastAsia" w:hAnsi="Arial" w:cs="Arial"/>
                <w:bCs/>
                <w:color w:val="262626"/>
                <w:sz w:val="18"/>
                <w:szCs w:val="18"/>
                <w:lang w:val="el-GR" w:eastAsia="en-GB"/>
              </w:rPr>
            </w:pPr>
            <w:r w:rsidRPr="00EB0EAD">
              <w:rPr>
                <w:rFonts w:ascii="Arial" w:hAnsi="Arial" w:cs="Arial"/>
                <w:color w:val="000000"/>
                <w:sz w:val="18"/>
                <w:szCs w:val="18"/>
              </w:rPr>
              <w:t>23</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7C935023" w14:textId="413C8BC0" w:rsidR="008E7D1C" w:rsidRPr="006A1797" w:rsidRDefault="008E7D1C" w:rsidP="008E7D1C">
            <w:pPr>
              <w:autoSpaceDE w:val="0"/>
              <w:autoSpaceDN w:val="0"/>
              <w:adjustRightInd w:val="0"/>
              <w:jc w:val="right"/>
              <w:rPr>
                <w:rFonts w:ascii="Arial" w:eastAsiaTheme="minorEastAsia" w:hAnsi="Arial" w:cs="Arial"/>
                <w:bCs/>
                <w:color w:val="262626"/>
                <w:sz w:val="18"/>
                <w:szCs w:val="18"/>
                <w:lang w:val="el-GR" w:eastAsia="en-GB"/>
              </w:rPr>
            </w:pPr>
            <w:r w:rsidRPr="005A1AAB">
              <w:rPr>
                <w:rFonts w:ascii="Arial" w:hAnsi="Arial" w:cs="Arial"/>
                <w:color w:val="000000"/>
                <w:sz w:val="18"/>
                <w:szCs w:val="18"/>
              </w:rPr>
              <w:t>-</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3A763CEF" w14:textId="4571EAA2" w:rsidR="008E7D1C" w:rsidRPr="006A1797" w:rsidRDefault="008E7D1C" w:rsidP="008E7D1C">
            <w:pPr>
              <w:autoSpaceDE w:val="0"/>
              <w:autoSpaceDN w:val="0"/>
              <w:adjustRightInd w:val="0"/>
              <w:jc w:val="right"/>
              <w:rPr>
                <w:rFonts w:ascii="Arial" w:eastAsiaTheme="minorEastAsia" w:hAnsi="Arial" w:cs="Arial"/>
                <w:bCs/>
                <w:color w:val="262626"/>
                <w:sz w:val="18"/>
                <w:szCs w:val="18"/>
                <w:lang w:val="el-GR" w:eastAsia="en-GB"/>
              </w:rPr>
            </w:pPr>
            <w:r w:rsidRPr="005A1AAB">
              <w:rPr>
                <w:rFonts w:ascii="Arial" w:hAnsi="Arial" w:cs="Arial"/>
                <w:color w:val="000000"/>
                <w:sz w:val="18"/>
                <w:szCs w:val="18"/>
              </w:rPr>
              <w:t>23</w:t>
            </w:r>
          </w:p>
        </w:tc>
      </w:tr>
      <w:tr w:rsidR="008E7D1C" w:rsidRPr="006B5511" w14:paraId="2A88CB08" w14:textId="77777777" w:rsidTr="00A21CB9">
        <w:trPr>
          <w:trHeight w:val="227"/>
          <w:jc w:val="center"/>
        </w:trPr>
        <w:tc>
          <w:tcPr>
            <w:tcW w:w="5776" w:type="dxa"/>
            <w:vAlign w:val="center"/>
          </w:tcPr>
          <w:p w14:paraId="2B509C80" w14:textId="77777777" w:rsidR="008E7D1C" w:rsidRPr="006A1797" w:rsidRDefault="008E7D1C" w:rsidP="008E7D1C">
            <w:pPr>
              <w:autoSpaceDE w:val="0"/>
              <w:autoSpaceDN w:val="0"/>
              <w:adjustRightInd w:val="0"/>
              <w:rPr>
                <w:rFonts w:ascii="Arial" w:hAnsi="Arial" w:cs="Arial"/>
                <w:color w:val="000000"/>
                <w:sz w:val="18"/>
                <w:szCs w:val="18"/>
                <w:lang w:val="el-GR"/>
              </w:rPr>
            </w:pPr>
            <w:r w:rsidRPr="006A1797">
              <w:rPr>
                <w:rFonts w:ascii="Arial" w:eastAsia="Batang" w:hAnsi="Arial" w:cs="Arial"/>
                <w:color w:val="262626"/>
                <w:sz w:val="18"/>
                <w:szCs w:val="18"/>
                <w:lang w:val="el-GR"/>
              </w:rPr>
              <w:t>Καθαρά κέρδη από επανεκτίμηση και πώληση επενδύσεων σε ακίνητα και από πώληση αποθεμάτων ακινήτων</w:t>
            </w:r>
          </w:p>
        </w:tc>
        <w:tc>
          <w:tcPr>
            <w:tcW w:w="1361"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E90976B" w14:textId="30BEF02A" w:rsidR="008E7D1C" w:rsidRPr="006A1797" w:rsidRDefault="008E7D1C" w:rsidP="008E7D1C">
            <w:pPr>
              <w:autoSpaceDE w:val="0"/>
              <w:autoSpaceDN w:val="0"/>
              <w:adjustRightInd w:val="0"/>
              <w:jc w:val="right"/>
              <w:rPr>
                <w:rFonts w:ascii="Arial" w:eastAsiaTheme="minorEastAsia" w:hAnsi="Arial" w:cs="Arial"/>
                <w:bCs/>
                <w:color w:val="262626"/>
                <w:sz w:val="18"/>
                <w:szCs w:val="18"/>
                <w:lang w:val="el-GR" w:eastAsia="en-GB"/>
              </w:rPr>
            </w:pPr>
            <w:r w:rsidRPr="00EB0EAD">
              <w:rPr>
                <w:rFonts w:ascii="Arial" w:hAnsi="Arial" w:cs="Arial"/>
                <w:color w:val="000000"/>
                <w:sz w:val="18"/>
                <w:szCs w:val="18"/>
              </w:rPr>
              <w:t>2</w:t>
            </w:r>
          </w:p>
        </w:tc>
        <w:tc>
          <w:tcPr>
            <w:tcW w:w="1361"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C0DB133" w14:textId="12A693E6" w:rsidR="008E7D1C" w:rsidRPr="006A1797" w:rsidRDefault="008E7D1C" w:rsidP="008E7D1C">
            <w:pPr>
              <w:autoSpaceDE w:val="0"/>
              <w:autoSpaceDN w:val="0"/>
              <w:adjustRightInd w:val="0"/>
              <w:jc w:val="right"/>
              <w:rPr>
                <w:rFonts w:ascii="Arial" w:eastAsiaTheme="minorEastAsia" w:hAnsi="Arial" w:cs="Arial"/>
                <w:bCs/>
                <w:color w:val="262626"/>
                <w:sz w:val="18"/>
                <w:szCs w:val="18"/>
                <w:lang w:val="el-GR" w:eastAsia="en-GB"/>
              </w:rPr>
            </w:pPr>
            <w:r w:rsidRPr="005A1AAB">
              <w:rPr>
                <w:rFonts w:ascii="Arial" w:hAnsi="Arial" w:cs="Arial"/>
                <w:color w:val="000000"/>
                <w:sz w:val="18"/>
                <w:szCs w:val="18"/>
              </w:rPr>
              <w:t>-</w:t>
            </w:r>
          </w:p>
        </w:tc>
        <w:tc>
          <w:tcPr>
            <w:tcW w:w="1361"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453B663" w14:textId="49E2B78F" w:rsidR="008E7D1C" w:rsidRPr="006A1797" w:rsidRDefault="008E7D1C" w:rsidP="008E7D1C">
            <w:pPr>
              <w:autoSpaceDE w:val="0"/>
              <w:autoSpaceDN w:val="0"/>
              <w:adjustRightInd w:val="0"/>
              <w:jc w:val="right"/>
              <w:rPr>
                <w:rFonts w:ascii="Arial" w:eastAsiaTheme="minorEastAsia" w:hAnsi="Arial" w:cs="Arial"/>
                <w:bCs/>
                <w:color w:val="262626"/>
                <w:sz w:val="18"/>
                <w:szCs w:val="18"/>
                <w:lang w:val="el-GR" w:eastAsia="en-GB"/>
              </w:rPr>
            </w:pPr>
            <w:r w:rsidRPr="005A1AAB">
              <w:rPr>
                <w:rFonts w:ascii="Arial" w:hAnsi="Arial" w:cs="Arial"/>
                <w:color w:val="000000"/>
                <w:sz w:val="18"/>
                <w:szCs w:val="18"/>
              </w:rPr>
              <w:t>2</w:t>
            </w:r>
          </w:p>
        </w:tc>
      </w:tr>
      <w:tr w:rsidR="008E7D1C" w:rsidRPr="006B5511" w14:paraId="6E62192D" w14:textId="77777777" w:rsidTr="00A21CB9">
        <w:trPr>
          <w:trHeight w:val="255"/>
          <w:jc w:val="center"/>
        </w:trPr>
        <w:tc>
          <w:tcPr>
            <w:tcW w:w="5776" w:type="dxa"/>
            <w:vAlign w:val="center"/>
          </w:tcPr>
          <w:p w14:paraId="5CE1CE4B" w14:textId="77777777" w:rsidR="008E7D1C" w:rsidRPr="006A1797" w:rsidRDefault="008E7D1C" w:rsidP="008E7D1C">
            <w:pPr>
              <w:autoSpaceDE w:val="0"/>
              <w:autoSpaceDN w:val="0"/>
              <w:adjustRightInd w:val="0"/>
              <w:rPr>
                <w:rFonts w:ascii="Arial" w:hAnsi="Arial" w:cs="Arial"/>
                <w:color w:val="000000"/>
                <w:sz w:val="18"/>
                <w:szCs w:val="18"/>
              </w:rPr>
            </w:pPr>
            <w:r w:rsidRPr="006A1797">
              <w:rPr>
                <w:rFonts w:ascii="Arial" w:eastAsia="Batang" w:hAnsi="Arial" w:cs="Arial"/>
                <w:color w:val="262626"/>
                <w:sz w:val="18"/>
                <w:szCs w:val="18"/>
                <w:lang w:val="el-GR"/>
              </w:rPr>
              <w:t>Λοιπά έσοδα</w:t>
            </w:r>
          </w:p>
        </w:tc>
        <w:tc>
          <w:tcPr>
            <w:tcW w:w="1361" w:type="dxa"/>
            <w:tcBorders>
              <w:left w:val="single" w:sz="4" w:space="0" w:color="D9D9D9" w:themeColor="background1" w:themeShade="D9"/>
              <w:bottom w:val="single" w:sz="6" w:space="0" w:color="000000" w:themeColor="text1"/>
              <w:right w:val="single" w:sz="4" w:space="0" w:color="D9D9D9" w:themeColor="background1" w:themeShade="D9"/>
            </w:tcBorders>
            <w:shd w:val="clear" w:color="auto" w:fill="auto"/>
            <w:vAlign w:val="center"/>
          </w:tcPr>
          <w:p w14:paraId="5DB3EBA9" w14:textId="798219D8" w:rsidR="008E7D1C" w:rsidRPr="006A1797" w:rsidRDefault="008E7D1C" w:rsidP="008E7D1C">
            <w:pPr>
              <w:autoSpaceDE w:val="0"/>
              <w:autoSpaceDN w:val="0"/>
              <w:adjustRightInd w:val="0"/>
              <w:jc w:val="right"/>
              <w:rPr>
                <w:rFonts w:ascii="Arial" w:eastAsiaTheme="minorEastAsia" w:hAnsi="Arial" w:cs="Arial"/>
                <w:bCs/>
                <w:color w:val="262626"/>
                <w:sz w:val="18"/>
                <w:szCs w:val="18"/>
                <w:lang w:eastAsia="en-GB"/>
              </w:rPr>
            </w:pPr>
            <w:r w:rsidRPr="00EB0EAD">
              <w:rPr>
                <w:rFonts w:ascii="Arial" w:hAnsi="Arial" w:cs="Arial"/>
                <w:color w:val="000000"/>
                <w:sz w:val="18"/>
                <w:szCs w:val="18"/>
              </w:rPr>
              <w:t>5</w:t>
            </w:r>
          </w:p>
        </w:tc>
        <w:tc>
          <w:tcPr>
            <w:tcW w:w="1361" w:type="dxa"/>
            <w:tcBorders>
              <w:left w:val="single" w:sz="4" w:space="0" w:color="D9D9D9" w:themeColor="background1" w:themeShade="D9"/>
              <w:bottom w:val="single" w:sz="6" w:space="0" w:color="000000" w:themeColor="text1"/>
              <w:right w:val="single" w:sz="4" w:space="0" w:color="D9D9D9" w:themeColor="background1" w:themeShade="D9"/>
            </w:tcBorders>
            <w:shd w:val="clear" w:color="auto" w:fill="auto"/>
            <w:vAlign w:val="center"/>
          </w:tcPr>
          <w:p w14:paraId="5A64991F" w14:textId="52DF8BD5" w:rsidR="008E7D1C" w:rsidRPr="006A1797" w:rsidRDefault="008E7D1C" w:rsidP="008E7D1C">
            <w:pPr>
              <w:autoSpaceDE w:val="0"/>
              <w:autoSpaceDN w:val="0"/>
              <w:adjustRightInd w:val="0"/>
              <w:jc w:val="right"/>
              <w:rPr>
                <w:rFonts w:ascii="Arial" w:eastAsiaTheme="minorEastAsia" w:hAnsi="Arial" w:cs="Arial"/>
                <w:bCs/>
                <w:color w:val="262626"/>
                <w:sz w:val="18"/>
                <w:szCs w:val="18"/>
                <w:lang w:eastAsia="en-GB"/>
              </w:rPr>
            </w:pPr>
            <w:r w:rsidRPr="005A1AAB">
              <w:rPr>
                <w:rFonts w:ascii="Arial" w:hAnsi="Arial" w:cs="Arial"/>
                <w:color w:val="000000"/>
                <w:sz w:val="18"/>
                <w:szCs w:val="18"/>
              </w:rPr>
              <w:t>-</w:t>
            </w:r>
          </w:p>
        </w:tc>
        <w:tc>
          <w:tcPr>
            <w:tcW w:w="1361" w:type="dxa"/>
            <w:tcBorders>
              <w:left w:val="single" w:sz="4" w:space="0" w:color="D9D9D9" w:themeColor="background1" w:themeShade="D9"/>
              <w:bottom w:val="single" w:sz="6" w:space="0" w:color="000000" w:themeColor="text1"/>
              <w:right w:val="single" w:sz="4" w:space="0" w:color="D9D9D9" w:themeColor="background1" w:themeShade="D9"/>
            </w:tcBorders>
            <w:shd w:val="clear" w:color="auto" w:fill="auto"/>
            <w:vAlign w:val="center"/>
          </w:tcPr>
          <w:p w14:paraId="60531539" w14:textId="700D4643" w:rsidR="008E7D1C" w:rsidRPr="006A1797" w:rsidRDefault="008E7D1C" w:rsidP="008E7D1C">
            <w:pPr>
              <w:autoSpaceDE w:val="0"/>
              <w:autoSpaceDN w:val="0"/>
              <w:adjustRightInd w:val="0"/>
              <w:jc w:val="right"/>
              <w:rPr>
                <w:rFonts w:ascii="Arial" w:eastAsiaTheme="minorEastAsia" w:hAnsi="Arial" w:cs="Arial"/>
                <w:bCs/>
                <w:color w:val="262626"/>
                <w:sz w:val="18"/>
                <w:szCs w:val="18"/>
                <w:lang w:eastAsia="en-GB"/>
              </w:rPr>
            </w:pPr>
            <w:r w:rsidRPr="005A1AAB">
              <w:rPr>
                <w:rFonts w:ascii="Arial" w:hAnsi="Arial" w:cs="Arial"/>
                <w:color w:val="000000"/>
                <w:sz w:val="18"/>
                <w:szCs w:val="18"/>
              </w:rPr>
              <w:t>5</w:t>
            </w:r>
          </w:p>
        </w:tc>
      </w:tr>
      <w:tr w:rsidR="008E7D1C" w:rsidRPr="006B5511" w14:paraId="73FE6119" w14:textId="77777777" w:rsidTr="00A21CB9">
        <w:trPr>
          <w:trHeight w:val="255"/>
          <w:jc w:val="center"/>
        </w:trPr>
        <w:tc>
          <w:tcPr>
            <w:tcW w:w="5776" w:type="dxa"/>
            <w:vAlign w:val="center"/>
          </w:tcPr>
          <w:p w14:paraId="446CBBA6" w14:textId="77777777" w:rsidR="008E7D1C" w:rsidRPr="006A1797" w:rsidRDefault="008E7D1C" w:rsidP="008E7D1C">
            <w:pPr>
              <w:autoSpaceDE w:val="0"/>
              <w:autoSpaceDN w:val="0"/>
              <w:adjustRightInd w:val="0"/>
              <w:rPr>
                <w:rFonts w:ascii="Arial" w:hAnsi="Arial" w:cs="Arial"/>
                <w:color w:val="000000"/>
                <w:sz w:val="18"/>
                <w:szCs w:val="18"/>
              </w:rPr>
            </w:pPr>
            <w:r w:rsidRPr="006A1797">
              <w:rPr>
                <w:rFonts w:ascii="Arial" w:hAnsi="Arial" w:cs="Arial"/>
                <w:b/>
                <w:bCs/>
                <w:color w:val="000000"/>
                <w:sz w:val="18"/>
                <w:szCs w:val="18"/>
                <w:lang w:val="el-GR"/>
              </w:rPr>
              <w:t>Σύνολο εσόδων</w:t>
            </w:r>
          </w:p>
        </w:tc>
        <w:tc>
          <w:tcPr>
            <w:tcW w:w="1361" w:type="dxa"/>
            <w:tcBorders>
              <w:top w:val="single" w:sz="6"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A67A327" w14:textId="5E5B66B9" w:rsidR="008E7D1C" w:rsidRPr="006A1797" w:rsidRDefault="008E7D1C" w:rsidP="008E7D1C">
            <w:pPr>
              <w:tabs>
                <w:tab w:val="left" w:pos="0"/>
                <w:tab w:val="left" w:pos="1416"/>
                <w:tab w:val="decimal" w:pos="4962"/>
                <w:tab w:val="decimal" w:pos="6521"/>
                <w:tab w:val="right" w:pos="7560"/>
                <w:tab w:val="decimal" w:pos="8220"/>
                <w:tab w:val="left" w:pos="8640"/>
                <w:tab w:val="right" w:pos="9000"/>
              </w:tabs>
              <w:suppressAutoHyphens/>
              <w:autoSpaceDE w:val="0"/>
              <w:autoSpaceDN w:val="0"/>
              <w:adjustRightInd w:val="0"/>
              <w:jc w:val="right"/>
              <w:rPr>
                <w:rFonts w:ascii="Arial" w:hAnsi="Arial" w:cs="Arial"/>
                <w:b/>
                <w:color w:val="000000"/>
                <w:sz w:val="18"/>
                <w:szCs w:val="18"/>
                <w:lang w:val="el-GR"/>
              </w:rPr>
            </w:pPr>
            <w:r w:rsidRPr="00EB0EAD">
              <w:rPr>
                <w:rFonts w:ascii="Arial" w:hAnsi="Arial" w:cs="Arial"/>
                <w:b/>
                <w:color w:val="000000"/>
                <w:sz w:val="18"/>
                <w:szCs w:val="18"/>
              </w:rPr>
              <w:t>549</w:t>
            </w:r>
          </w:p>
        </w:tc>
        <w:tc>
          <w:tcPr>
            <w:tcW w:w="1361" w:type="dxa"/>
            <w:tcBorders>
              <w:top w:val="single" w:sz="6"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4EACC76" w14:textId="2A9AA4EB" w:rsidR="008E7D1C" w:rsidRPr="006A1797" w:rsidRDefault="008E7D1C" w:rsidP="008E7D1C">
            <w:pPr>
              <w:autoSpaceDE w:val="0"/>
              <w:autoSpaceDN w:val="0"/>
              <w:adjustRightInd w:val="0"/>
              <w:jc w:val="right"/>
              <w:rPr>
                <w:rFonts w:ascii="Arial" w:hAnsi="Arial" w:cs="Arial"/>
                <w:b/>
                <w:color w:val="000000"/>
                <w:sz w:val="18"/>
                <w:szCs w:val="18"/>
                <w:lang w:val="el-GR"/>
              </w:rPr>
            </w:pPr>
            <w:r w:rsidRPr="005A1AAB">
              <w:rPr>
                <w:rFonts w:ascii="Arial" w:hAnsi="Arial" w:cs="Arial"/>
                <w:b/>
                <w:color w:val="000000"/>
                <w:sz w:val="18"/>
                <w:szCs w:val="18"/>
              </w:rPr>
              <w:t>1</w:t>
            </w:r>
          </w:p>
        </w:tc>
        <w:tc>
          <w:tcPr>
            <w:tcW w:w="1361" w:type="dxa"/>
            <w:tcBorders>
              <w:top w:val="single" w:sz="6"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EB294AD" w14:textId="16623362" w:rsidR="008E7D1C" w:rsidRPr="006A1797" w:rsidRDefault="008E7D1C" w:rsidP="008E7D1C">
            <w:pPr>
              <w:autoSpaceDE w:val="0"/>
              <w:autoSpaceDN w:val="0"/>
              <w:adjustRightInd w:val="0"/>
              <w:jc w:val="right"/>
              <w:rPr>
                <w:rFonts w:ascii="Arial" w:hAnsi="Arial" w:cs="Arial"/>
                <w:b/>
                <w:color w:val="000000"/>
                <w:sz w:val="18"/>
                <w:szCs w:val="18"/>
                <w:lang w:val="el-GR"/>
              </w:rPr>
            </w:pPr>
            <w:r w:rsidRPr="005A1AAB">
              <w:rPr>
                <w:rFonts w:ascii="Arial" w:hAnsi="Arial" w:cs="Arial"/>
                <w:b/>
                <w:color w:val="000000"/>
                <w:sz w:val="18"/>
                <w:szCs w:val="18"/>
              </w:rPr>
              <w:t>550</w:t>
            </w:r>
          </w:p>
        </w:tc>
      </w:tr>
      <w:tr w:rsidR="008E7D1C" w:rsidRPr="006B5511" w14:paraId="30CE1942" w14:textId="77777777" w:rsidTr="00A21CB9">
        <w:trPr>
          <w:trHeight w:val="255"/>
          <w:jc w:val="center"/>
        </w:trPr>
        <w:tc>
          <w:tcPr>
            <w:tcW w:w="5776" w:type="dxa"/>
            <w:vAlign w:val="center"/>
          </w:tcPr>
          <w:p w14:paraId="00DFFB64" w14:textId="77777777" w:rsidR="008E7D1C" w:rsidRPr="006A1797" w:rsidRDefault="008E7D1C" w:rsidP="008E7D1C">
            <w:pPr>
              <w:autoSpaceDE w:val="0"/>
              <w:autoSpaceDN w:val="0"/>
              <w:adjustRightInd w:val="0"/>
              <w:rPr>
                <w:rFonts w:ascii="Arial" w:hAnsi="Arial" w:cs="Arial"/>
                <w:color w:val="000000"/>
                <w:sz w:val="18"/>
                <w:szCs w:val="18"/>
              </w:rPr>
            </w:pPr>
            <w:r w:rsidRPr="006A1797">
              <w:rPr>
                <w:rFonts w:ascii="Arial" w:hAnsi="Arial" w:cs="Arial"/>
                <w:b/>
                <w:bCs/>
                <w:color w:val="000000"/>
                <w:sz w:val="18"/>
                <w:szCs w:val="18"/>
                <w:lang w:val="el-GR"/>
              </w:rPr>
              <w:t>Σύνολο εξόδων</w:t>
            </w:r>
          </w:p>
        </w:tc>
        <w:tc>
          <w:tcPr>
            <w:tcW w:w="1361" w:type="dxa"/>
            <w:tcBorders>
              <w:top w:val="single" w:sz="4" w:space="0" w:color="D9D9D9" w:themeColor="background1" w:themeShade="D9"/>
              <w:left w:val="single" w:sz="4" w:space="0" w:color="D9D9D9" w:themeColor="background1" w:themeShade="D9"/>
              <w:bottom w:val="single" w:sz="6" w:space="0" w:color="000000" w:themeColor="text1"/>
              <w:right w:val="single" w:sz="4" w:space="0" w:color="D9D9D9" w:themeColor="background1" w:themeShade="D9"/>
            </w:tcBorders>
            <w:shd w:val="clear" w:color="auto" w:fill="auto"/>
            <w:vAlign w:val="center"/>
          </w:tcPr>
          <w:p w14:paraId="2BBBCFD2" w14:textId="2378DE52" w:rsidR="008E7D1C" w:rsidRPr="006A1797" w:rsidRDefault="008E7D1C" w:rsidP="008E7D1C">
            <w:pPr>
              <w:tabs>
                <w:tab w:val="left" w:pos="0"/>
                <w:tab w:val="left" w:pos="1416"/>
                <w:tab w:val="decimal" w:pos="4962"/>
                <w:tab w:val="decimal" w:pos="6521"/>
                <w:tab w:val="right" w:pos="7560"/>
                <w:tab w:val="decimal" w:pos="8220"/>
                <w:tab w:val="left" w:pos="8640"/>
                <w:tab w:val="right" w:pos="9000"/>
              </w:tabs>
              <w:suppressAutoHyphens/>
              <w:autoSpaceDE w:val="0"/>
              <w:autoSpaceDN w:val="0"/>
              <w:adjustRightInd w:val="0"/>
              <w:jc w:val="right"/>
              <w:rPr>
                <w:rFonts w:ascii="Arial" w:hAnsi="Arial" w:cs="Arial"/>
                <w:b/>
                <w:color w:val="000000"/>
                <w:sz w:val="18"/>
                <w:szCs w:val="18"/>
                <w:lang w:val="el-GR"/>
              </w:rPr>
            </w:pPr>
            <w:r w:rsidRPr="00EB0EAD">
              <w:rPr>
                <w:rFonts w:ascii="Arial" w:hAnsi="Arial" w:cs="Arial"/>
                <w:b/>
                <w:color w:val="000000"/>
                <w:sz w:val="18"/>
                <w:szCs w:val="18"/>
              </w:rPr>
              <w:t>(18</w:t>
            </w:r>
            <w:r>
              <w:rPr>
                <w:rFonts w:ascii="Arial" w:hAnsi="Arial" w:cs="Arial"/>
                <w:b/>
                <w:color w:val="000000"/>
                <w:sz w:val="18"/>
                <w:szCs w:val="18"/>
              </w:rPr>
              <w:t>6</w:t>
            </w:r>
            <w:r w:rsidRPr="00EB0EAD">
              <w:rPr>
                <w:rFonts w:ascii="Arial" w:hAnsi="Arial" w:cs="Arial"/>
                <w:b/>
                <w:color w:val="000000"/>
                <w:sz w:val="18"/>
                <w:szCs w:val="18"/>
              </w:rPr>
              <w:t>)</w:t>
            </w:r>
          </w:p>
        </w:tc>
        <w:tc>
          <w:tcPr>
            <w:tcW w:w="1361" w:type="dxa"/>
            <w:tcBorders>
              <w:top w:val="single" w:sz="4" w:space="0" w:color="D9D9D9" w:themeColor="background1" w:themeShade="D9"/>
              <w:left w:val="single" w:sz="4" w:space="0" w:color="D9D9D9" w:themeColor="background1" w:themeShade="D9"/>
              <w:bottom w:val="single" w:sz="6" w:space="0" w:color="000000" w:themeColor="text1"/>
              <w:right w:val="single" w:sz="4" w:space="0" w:color="D9D9D9" w:themeColor="background1" w:themeShade="D9"/>
            </w:tcBorders>
            <w:shd w:val="clear" w:color="auto" w:fill="auto"/>
            <w:vAlign w:val="center"/>
          </w:tcPr>
          <w:p w14:paraId="5F20705F" w14:textId="630EDC25" w:rsidR="008E7D1C" w:rsidRPr="006A1797" w:rsidRDefault="008E7D1C" w:rsidP="008E7D1C">
            <w:pPr>
              <w:tabs>
                <w:tab w:val="left" w:pos="0"/>
                <w:tab w:val="left" w:pos="1416"/>
                <w:tab w:val="decimal" w:pos="4962"/>
                <w:tab w:val="decimal" w:pos="6521"/>
                <w:tab w:val="right" w:pos="7560"/>
                <w:tab w:val="decimal" w:pos="8220"/>
                <w:tab w:val="left" w:pos="8640"/>
                <w:tab w:val="right" w:pos="9000"/>
              </w:tabs>
              <w:suppressAutoHyphens/>
              <w:autoSpaceDE w:val="0"/>
              <w:autoSpaceDN w:val="0"/>
              <w:adjustRightInd w:val="0"/>
              <w:jc w:val="right"/>
              <w:rPr>
                <w:rFonts w:ascii="Arial" w:hAnsi="Arial" w:cs="Arial"/>
                <w:b/>
                <w:color w:val="000000"/>
                <w:sz w:val="18"/>
                <w:szCs w:val="18"/>
                <w:lang w:val="el-GR"/>
              </w:rPr>
            </w:pPr>
            <w:r w:rsidRPr="005A1AAB">
              <w:rPr>
                <w:rFonts w:ascii="Arial" w:hAnsi="Arial" w:cs="Arial"/>
                <w:b/>
                <w:color w:val="000000"/>
                <w:sz w:val="18"/>
                <w:szCs w:val="18"/>
              </w:rPr>
              <w:t>(</w:t>
            </w:r>
            <w:r>
              <w:rPr>
                <w:rFonts w:ascii="Arial" w:hAnsi="Arial" w:cs="Arial"/>
                <w:b/>
                <w:color w:val="000000"/>
                <w:sz w:val="18"/>
                <w:szCs w:val="18"/>
              </w:rPr>
              <w:t>3</w:t>
            </w:r>
            <w:r w:rsidRPr="005A1AAB">
              <w:rPr>
                <w:rFonts w:ascii="Arial" w:hAnsi="Arial" w:cs="Arial"/>
                <w:b/>
                <w:color w:val="000000"/>
                <w:sz w:val="18"/>
                <w:szCs w:val="18"/>
              </w:rPr>
              <w:t>)</w:t>
            </w:r>
          </w:p>
        </w:tc>
        <w:tc>
          <w:tcPr>
            <w:tcW w:w="1361" w:type="dxa"/>
            <w:tcBorders>
              <w:top w:val="single" w:sz="4" w:space="0" w:color="D9D9D9" w:themeColor="background1" w:themeShade="D9"/>
              <w:left w:val="single" w:sz="4" w:space="0" w:color="D9D9D9" w:themeColor="background1" w:themeShade="D9"/>
              <w:bottom w:val="single" w:sz="6" w:space="0" w:color="000000" w:themeColor="text1"/>
              <w:right w:val="single" w:sz="4" w:space="0" w:color="D9D9D9" w:themeColor="background1" w:themeShade="D9"/>
            </w:tcBorders>
            <w:shd w:val="clear" w:color="auto" w:fill="auto"/>
            <w:vAlign w:val="center"/>
          </w:tcPr>
          <w:p w14:paraId="7A83E3FB" w14:textId="12F159C2" w:rsidR="008E7D1C" w:rsidRPr="006A1797" w:rsidRDefault="008E7D1C" w:rsidP="008E7D1C">
            <w:pPr>
              <w:tabs>
                <w:tab w:val="left" w:pos="0"/>
                <w:tab w:val="left" w:pos="1416"/>
                <w:tab w:val="decimal" w:pos="4962"/>
                <w:tab w:val="decimal" w:pos="6521"/>
                <w:tab w:val="right" w:pos="7560"/>
                <w:tab w:val="decimal" w:pos="8220"/>
                <w:tab w:val="left" w:pos="8640"/>
                <w:tab w:val="right" w:pos="9000"/>
              </w:tabs>
              <w:suppressAutoHyphens/>
              <w:autoSpaceDE w:val="0"/>
              <w:autoSpaceDN w:val="0"/>
              <w:adjustRightInd w:val="0"/>
              <w:jc w:val="right"/>
              <w:rPr>
                <w:rFonts w:ascii="Arial" w:hAnsi="Arial" w:cs="Arial"/>
                <w:b/>
                <w:color w:val="000000"/>
                <w:sz w:val="18"/>
                <w:szCs w:val="18"/>
                <w:lang w:val="el-GR"/>
              </w:rPr>
            </w:pPr>
            <w:r w:rsidRPr="005A1AAB">
              <w:rPr>
                <w:rFonts w:ascii="Arial" w:hAnsi="Arial" w:cs="Arial"/>
                <w:b/>
                <w:color w:val="000000"/>
                <w:sz w:val="18"/>
                <w:szCs w:val="18"/>
              </w:rPr>
              <w:t>(</w:t>
            </w:r>
            <w:r>
              <w:rPr>
                <w:rFonts w:ascii="Arial" w:hAnsi="Arial" w:cs="Arial"/>
                <w:b/>
                <w:color w:val="000000"/>
                <w:sz w:val="18"/>
                <w:szCs w:val="18"/>
              </w:rPr>
              <w:t>189</w:t>
            </w:r>
            <w:r w:rsidRPr="005A1AAB">
              <w:rPr>
                <w:rFonts w:ascii="Arial" w:hAnsi="Arial" w:cs="Arial"/>
                <w:b/>
                <w:color w:val="000000"/>
                <w:sz w:val="18"/>
                <w:szCs w:val="18"/>
              </w:rPr>
              <w:t>)</w:t>
            </w:r>
          </w:p>
        </w:tc>
      </w:tr>
      <w:tr w:rsidR="008E7D1C" w:rsidRPr="006B5511" w14:paraId="1FEE393B" w14:textId="77777777" w:rsidTr="00A21CB9">
        <w:trPr>
          <w:trHeight w:val="255"/>
          <w:jc w:val="center"/>
        </w:trPr>
        <w:tc>
          <w:tcPr>
            <w:tcW w:w="5776" w:type="dxa"/>
            <w:vAlign w:val="center"/>
          </w:tcPr>
          <w:p w14:paraId="6DABC33A" w14:textId="77777777" w:rsidR="008E7D1C" w:rsidRPr="006A1797" w:rsidRDefault="008E7D1C" w:rsidP="008E7D1C">
            <w:pPr>
              <w:autoSpaceDE w:val="0"/>
              <w:autoSpaceDN w:val="0"/>
              <w:adjustRightInd w:val="0"/>
              <w:rPr>
                <w:rFonts w:ascii="Arial" w:hAnsi="Arial" w:cs="Arial"/>
                <w:color w:val="000000"/>
                <w:sz w:val="18"/>
                <w:szCs w:val="18"/>
                <w:lang w:val="el-GR"/>
              </w:rPr>
            </w:pPr>
            <w:r w:rsidRPr="006A1797">
              <w:rPr>
                <w:rFonts w:ascii="Arial" w:hAnsi="Arial" w:cs="Arial"/>
                <w:b/>
                <w:bCs/>
                <w:color w:val="000000"/>
                <w:sz w:val="18"/>
                <w:szCs w:val="18"/>
                <w:lang w:val="el-GR"/>
              </w:rPr>
              <w:t xml:space="preserve">Λειτουργικά κέρδη </w:t>
            </w:r>
          </w:p>
        </w:tc>
        <w:tc>
          <w:tcPr>
            <w:tcW w:w="1361" w:type="dxa"/>
            <w:tcBorders>
              <w:top w:val="single" w:sz="6" w:space="0" w:color="000000" w:themeColor="text1"/>
              <w:left w:val="single" w:sz="4" w:space="0" w:color="D9D9D9" w:themeColor="background1" w:themeShade="D9"/>
              <w:right w:val="single" w:sz="4" w:space="0" w:color="D9D9D9" w:themeColor="background1" w:themeShade="D9"/>
            </w:tcBorders>
            <w:shd w:val="clear" w:color="auto" w:fill="auto"/>
            <w:vAlign w:val="center"/>
          </w:tcPr>
          <w:p w14:paraId="716D887F" w14:textId="21291BD1" w:rsidR="008E7D1C" w:rsidRPr="006A1797" w:rsidRDefault="008E7D1C" w:rsidP="008E7D1C">
            <w:pPr>
              <w:autoSpaceDE w:val="0"/>
              <w:autoSpaceDN w:val="0"/>
              <w:adjustRightInd w:val="0"/>
              <w:jc w:val="right"/>
              <w:rPr>
                <w:rFonts w:ascii="Arial" w:hAnsi="Arial" w:cs="Arial"/>
                <w:b/>
                <w:color w:val="000000"/>
                <w:sz w:val="18"/>
                <w:szCs w:val="18"/>
                <w:lang w:val="el-GR"/>
              </w:rPr>
            </w:pPr>
            <w:r w:rsidRPr="00EB0EAD">
              <w:rPr>
                <w:rFonts w:ascii="Arial" w:hAnsi="Arial" w:cs="Arial"/>
                <w:b/>
                <w:color w:val="000000"/>
                <w:sz w:val="18"/>
                <w:szCs w:val="18"/>
              </w:rPr>
              <w:t>36</w:t>
            </w:r>
            <w:r>
              <w:rPr>
                <w:rFonts w:ascii="Arial" w:hAnsi="Arial" w:cs="Arial"/>
                <w:b/>
                <w:color w:val="000000"/>
                <w:sz w:val="18"/>
                <w:szCs w:val="18"/>
              </w:rPr>
              <w:t>3</w:t>
            </w:r>
          </w:p>
        </w:tc>
        <w:tc>
          <w:tcPr>
            <w:tcW w:w="1361" w:type="dxa"/>
            <w:tcBorders>
              <w:top w:val="single" w:sz="6" w:space="0" w:color="000000" w:themeColor="text1"/>
              <w:left w:val="single" w:sz="4" w:space="0" w:color="D9D9D9" w:themeColor="background1" w:themeShade="D9"/>
              <w:right w:val="single" w:sz="4" w:space="0" w:color="D9D9D9" w:themeColor="background1" w:themeShade="D9"/>
            </w:tcBorders>
            <w:shd w:val="clear" w:color="auto" w:fill="auto"/>
            <w:vAlign w:val="center"/>
          </w:tcPr>
          <w:p w14:paraId="121A56DE" w14:textId="0B4F369C" w:rsidR="008E7D1C" w:rsidRPr="006A1797" w:rsidRDefault="008E7D1C" w:rsidP="008E7D1C">
            <w:pPr>
              <w:autoSpaceDE w:val="0"/>
              <w:autoSpaceDN w:val="0"/>
              <w:adjustRightInd w:val="0"/>
              <w:jc w:val="right"/>
              <w:rPr>
                <w:rFonts w:ascii="Arial" w:hAnsi="Arial" w:cs="Arial"/>
                <w:b/>
                <w:color w:val="000000"/>
                <w:sz w:val="18"/>
                <w:szCs w:val="18"/>
                <w:lang w:val="el-GR"/>
              </w:rPr>
            </w:pPr>
            <w:r w:rsidRPr="005A1AAB">
              <w:rPr>
                <w:rFonts w:ascii="Arial" w:hAnsi="Arial" w:cs="Arial"/>
                <w:b/>
                <w:color w:val="000000"/>
                <w:sz w:val="18"/>
                <w:szCs w:val="18"/>
              </w:rPr>
              <w:t>(</w:t>
            </w:r>
            <w:r>
              <w:rPr>
                <w:rFonts w:ascii="Arial" w:hAnsi="Arial" w:cs="Arial"/>
                <w:b/>
                <w:color w:val="000000"/>
                <w:sz w:val="18"/>
                <w:szCs w:val="18"/>
              </w:rPr>
              <w:t>2</w:t>
            </w:r>
            <w:r w:rsidRPr="005A1AAB">
              <w:rPr>
                <w:rFonts w:ascii="Arial" w:hAnsi="Arial" w:cs="Arial"/>
                <w:b/>
                <w:color w:val="000000"/>
                <w:sz w:val="18"/>
                <w:szCs w:val="18"/>
              </w:rPr>
              <w:t>)</w:t>
            </w:r>
          </w:p>
        </w:tc>
        <w:tc>
          <w:tcPr>
            <w:tcW w:w="1361" w:type="dxa"/>
            <w:tcBorders>
              <w:top w:val="single" w:sz="6" w:space="0" w:color="000000" w:themeColor="text1"/>
              <w:left w:val="single" w:sz="4" w:space="0" w:color="D9D9D9" w:themeColor="background1" w:themeShade="D9"/>
              <w:right w:val="single" w:sz="4" w:space="0" w:color="D9D9D9" w:themeColor="background1" w:themeShade="D9"/>
            </w:tcBorders>
            <w:shd w:val="clear" w:color="auto" w:fill="auto"/>
            <w:vAlign w:val="center"/>
          </w:tcPr>
          <w:p w14:paraId="17833753" w14:textId="77F5F052" w:rsidR="008E7D1C" w:rsidRPr="006A1797" w:rsidRDefault="008E7D1C" w:rsidP="008E7D1C">
            <w:pPr>
              <w:autoSpaceDE w:val="0"/>
              <w:autoSpaceDN w:val="0"/>
              <w:adjustRightInd w:val="0"/>
              <w:jc w:val="right"/>
              <w:rPr>
                <w:rFonts w:ascii="Arial" w:hAnsi="Arial" w:cs="Arial"/>
                <w:b/>
                <w:color w:val="000000"/>
                <w:sz w:val="18"/>
                <w:szCs w:val="18"/>
                <w:lang w:val="el-GR"/>
              </w:rPr>
            </w:pPr>
            <w:r>
              <w:rPr>
                <w:rFonts w:ascii="Arial" w:hAnsi="Arial" w:cs="Arial"/>
                <w:b/>
                <w:color w:val="000000"/>
                <w:sz w:val="18"/>
                <w:szCs w:val="18"/>
              </w:rPr>
              <w:t>361</w:t>
            </w:r>
          </w:p>
        </w:tc>
      </w:tr>
      <w:tr w:rsidR="008E7D1C" w:rsidRPr="006B5511" w14:paraId="638953D7" w14:textId="77777777" w:rsidTr="00A21CB9">
        <w:trPr>
          <w:trHeight w:val="255"/>
          <w:jc w:val="center"/>
        </w:trPr>
        <w:tc>
          <w:tcPr>
            <w:tcW w:w="5776" w:type="dxa"/>
            <w:vAlign w:val="center"/>
          </w:tcPr>
          <w:p w14:paraId="11164A41" w14:textId="77777777" w:rsidR="008E7D1C" w:rsidRPr="006A1797" w:rsidRDefault="008E7D1C" w:rsidP="008E7D1C">
            <w:pPr>
              <w:autoSpaceDE w:val="0"/>
              <w:autoSpaceDN w:val="0"/>
              <w:adjustRightInd w:val="0"/>
              <w:rPr>
                <w:rFonts w:ascii="Arial" w:eastAsia="Batang" w:hAnsi="Arial" w:cs="Arial"/>
                <w:color w:val="262626"/>
                <w:sz w:val="18"/>
                <w:szCs w:val="18"/>
                <w:lang w:val="el-GR"/>
              </w:rPr>
            </w:pPr>
            <w:r w:rsidRPr="006A1797">
              <w:rPr>
                <w:rFonts w:ascii="Arial" w:eastAsia="Batang" w:hAnsi="Arial" w:cs="Arial"/>
                <w:color w:val="262626"/>
                <w:sz w:val="18"/>
                <w:szCs w:val="18"/>
                <w:lang w:val="el-GR"/>
              </w:rPr>
              <w:t>Πιστωτικές ζημιές δανείων</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1F2B4D79" w14:textId="02C781F6" w:rsidR="008E7D1C" w:rsidRPr="006A1797" w:rsidRDefault="008E7D1C" w:rsidP="008E7D1C">
            <w:pPr>
              <w:autoSpaceDE w:val="0"/>
              <w:autoSpaceDN w:val="0"/>
              <w:adjustRightInd w:val="0"/>
              <w:jc w:val="right"/>
              <w:rPr>
                <w:rFonts w:ascii="Arial" w:hAnsi="Arial" w:cs="Arial"/>
                <w:color w:val="000000"/>
                <w:sz w:val="18"/>
                <w:szCs w:val="18"/>
                <w:lang w:val="el-GR"/>
              </w:rPr>
            </w:pPr>
            <w:r w:rsidRPr="00EB0EAD">
              <w:rPr>
                <w:rFonts w:ascii="Arial" w:hAnsi="Arial" w:cs="Arial"/>
                <w:color w:val="000000"/>
                <w:sz w:val="18"/>
                <w:szCs w:val="18"/>
              </w:rPr>
              <w:t>(16)</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5B47D4BA" w14:textId="0E7B7424" w:rsidR="008E7D1C" w:rsidRPr="006A1797" w:rsidRDefault="008E7D1C" w:rsidP="008E7D1C">
            <w:pPr>
              <w:autoSpaceDE w:val="0"/>
              <w:autoSpaceDN w:val="0"/>
              <w:adjustRightInd w:val="0"/>
              <w:jc w:val="right"/>
              <w:rPr>
                <w:rFonts w:ascii="Arial" w:hAnsi="Arial" w:cs="Arial"/>
                <w:color w:val="000000"/>
                <w:sz w:val="18"/>
                <w:szCs w:val="18"/>
                <w:lang w:val="el-GR"/>
              </w:rPr>
            </w:pPr>
            <w:r w:rsidRPr="005A1AAB">
              <w:rPr>
                <w:rFonts w:ascii="Arial" w:hAnsi="Arial" w:cs="Arial"/>
                <w:color w:val="000000"/>
                <w:sz w:val="18"/>
                <w:szCs w:val="18"/>
              </w:rPr>
              <w:t>16</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6DB8BF21" w14:textId="2E38F7E2" w:rsidR="008E7D1C" w:rsidRPr="006A1797" w:rsidRDefault="008E7D1C" w:rsidP="008E7D1C">
            <w:pPr>
              <w:autoSpaceDE w:val="0"/>
              <w:autoSpaceDN w:val="0"/>
              <w:adjustRightInd w:val="0"/>
              <w:jc w:val="right"/>
              <w:rPr>
                <w:rFonts w:ascii="Arial" w:hAnsi="Arial" w:cs="Arial"/>
                <w:color w:val="000000"/>
                <w:sz w:val="18"/>
                <w:szCs w:val="18"/>
                <w:lang w:val="el-GR"/>
              </w:rPr>
            </w:pPr>
            <w:r w:rsidRPr="005A1AAB">
              <w:rPr>
                <w:rFonts w:ascii="Arial" w:hAnsi="Arial" w:cs="Arial"/>
                <w:color w:val="000000"/>
                <w:sz w:val="18"/>
                <w:szCs w:val="18"/>
              </w:rPr>
              <w:t>-</w:t>
            </w:r>
          </w:p>
        </w:tc>
      </w:tr>
      <w:tr w:rsidR="008E7D1C" w:rsidRPr="006B5511" w14:paraId="25CDF26C" w14:textId="77777777" w:rsidTr="00A21CB9">
        <w:trPr>
          <w:trHeight w:val="227"/>
          <w:jc w:val="center"/>
        </w:trPr>
        <w:tc>
          <w:tcPr>
            <w:tcW w:w="5776" w:type="dxa"/>
            <w:vAlign w:val="center"/>
          </w:tcPr>
          <w:p w14:paraId="26624CE1" w14:textId="77777777" w:rsidR="008E7D1C" w:rsidRPr="006A1797" w:rsidRDefault="008E7D1C" w:rsidP="008E7D1C">
            <w:pPr>
              <w:autoSpaceDE w:val="0"/>
              <w:autoSpaceDN w:val="0"/>
              <w:adjustRightInd w:val="0"/>
              <w:rPr>
                <w:rFonts w:ascii="Arial" w:eastAsia="Batang" w:hAnsi="Arial" w:cs="Arial"/>
                <w:color w:val="262626"/>
                <w:sz w:val="18"/>
                <w:szCs w:val="18"/>
                <w:lang w:val="el-GR"/>
              </w:rPr>
            </w:pPr>
            <w:r w:rsidRPr="006A1797">
              <w:rPr>
                <w:rFonts w:ascii="Arial" w:eastAsia="Batang" w:hAnsi="Arial" w:cs="Arial"/>
                <w:color w:val="262626"/>
                <w:sz w:val="18"/>
                <w:szCs w:val="18"/>
                <w:lang w:val="el-GR"/>
              </w:rPr>
              <w:t>Απομείωση άλλων χρηματοοικονομικών και μη-χρηματοοικονομικών περιουσιακών στοιχείων</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242C0B30" w14:textId="09493D2E" w:rsidR="008E7D1C" w:rsidRPr="006A1797" w:rsidRDefault="008E7D1C" w:rsidP="008E7D1C">
            <w:pPr>
              <w:autoSpaceDE w:val="0"/>
              <w:autoSpaceDN w:val="0"/>
              <w:adjustRightInd w:val="0"/>
              <w:jc w:val="right"/>
              <w:rPr>
                <w:rFonts w:ascii="Arial" w:hAnsi="Arial" w:cs="Arial"/>
                <w:color w:val="000000"/>
                <w:sz w:val="18"/>
                <w:szCs w:val="18"/>
                <w:lang w:val="el-GR"/>
              </w:rPr>
            </w:pPr>
            <w:r w:rsidRPr="00EB0EAD">
              <w:rPr>
                <w:rFonts w:ascii="Arial" w:hAnsi="Arial" w:cs="Arial"/>
                <w:color w:val="000000"/>
                <w:sz w:val="18"/>
                <w:szCs w:val="18"/>
              </w:rPr>
              <w:t>(2</w:t>
            </w:r>
            <w:r>
              <w:rPr>
                <w:rFonts w:ascii="Arial" w:hAnsi="Arial" w:cs="Arial"/>
                <w:color w:val="000000"/>
                <w:sz w:val="18"/>
                <w:szCs w:val="18"/>
              </w:rPr>
              <w:t>5</w:t>
            </w:r>
            <w:r w:rsidRPr="00EB0EAD">
              <w:rPr>
                <w:rFonts w:ascii="Arial" w:hAnsi="Arial" w:cs="Arial"/>
                <w:color w:val="000000"/>
                <w:sz w:val="18"/>
                <w:szCs w:val="18"/>
              </w:rPr>
              <w:t>)</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48B5F3CC" w14:textId="3871A9F0" w:rsidR="008E7D1C" w:rsidRPr="006A1797" w:rsidRDefault="008E7D1C" w:rsidP="008E7D1C">
            <w:pPr>
              <w:autoSpaceDE w:val="0"/>
              <w:autoSpaceDN w:val="0"/>
              <w:adjustRightInd w:val="0"/>
              <w:jc w:val="right"/>
              <w:rPr>
                <w:rFonts w:ascii="Arial" w:hAnsi="Arial" w:cs="Arial"/>
                <w:color w:val="000000"/>
                <w:sz w:val="18"/>
                <w:szCs w:val="18"/>
                <w:lang w:val="el-GR"/>
              </w:rPr>
            </w:pPr>
            <w:r w:rsidRPr="005A1AAB">
              <w:rPr>
                <w:rFonts w:ascii="Arial" w:hAnsi="Arial" w:cs="Arial"/>
                <w:color w:val="000000"/>
                <w:sz w:val="18"/>
                <w:szCs w:val="18"/>
              </w:rPr>
              <w:t>2</w:t>
            </w:r>
            <w:r>
              <w:rPr>
                <w:rFonts w:ascii="Arial" w:hAnsi="Arial" w:cs="Arial"/>
                <w:color w:val="000000"/>
                <w:sz w:val="18"/>
                <w:szCs w:val="18"/>
              </w:rPr>
              <w:t>5</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0756BE44" w14:textId="0DB2B221" w:rsidR="008E7D1C" w:rsidRPr="006A1797" w:rsidRDefault="008E7D1C" w:rsidP="008E7D1C">
            <w:pPr>
              <w:autoSpaceDE w:val="0"/>
              <w:autoSpaceDN w:val="0"/>
              <w:adjustRightInd w:val="0"/>
              <w:jc w:val="right"/>
              <w:rPr>
                <w:rFonts w:ascii="Arial" w:hAnsi="Arial" w:cs="Arial"/>
                <w:color w:val="000000"/>
                <w:sz w:val="18"/>
                <w:szCs w:val="18"/>
                <w:lang w:val="el-GR"/>
              </w:rPr>
            </w:pPr>
            <w:r w:rsidRPr="005A1AAB">
              <w:rPr>
                <w:rFonts w:ascii="Arial" w:hAnsi="Arial" w:cs="Arial"/>
                <w:color w:val="000000"/>
                <w:sz w:val="18"/>
                <w:szCs w:val="18"/>
              </w:rPr>
              <w:t>-</w:t>
            </w:r>
          </w:p>
        </w:tc>
      </w:tr>
      <w:tr w:rsidR="008E7D1C" w:rsidRPr="006B5511" w14:paraId="0A2C494D" w14:textId="77777777" w:rsidTr="00A21CB9">
        <w:trPr>
          <w:trHeight w:val="227"/>
          <w:jc w:val="center"/>
        </w:trPr>
        <w:tc>
          <w:tcPr>
            <w:tcW w:w="5776" w:type="dxa"/>
            <w:vAlign w:val="center"/>
          </w:tcPr>
          <w:p w14:paraId="68D9EA28" w14:textId="77777777" w:rsidR="008E7D1C" w:rsidRPr="006A1797" w:rsidRDefault="008E7D1C" w:rsidP="008E7D1C">
            <w:pPr>
              <w:autoSpaceDE w:val="0"/>
              <w:autoSpaceDN w:val="0"/>
              <w:adjustRightInd w:val="0"/>
              <w:rPr>
                <w:rFonts w:ascii="Arial" w:eastAsia="Batang" w:hAnsi="Arial" w:cs="Arial"/>
                <w:color w:val="262626"/>
                <w:sz w:val="18"/>
                <w:szCs w:val="18"/>
                <w:lang w:val="el-GR"/>
              </w:rPr>
            </w:pPr>
            <w:r w:rsidRPr="006A1797">
              <w:rPr>
                <w:rFonts w:ascii="Arial" w:eastAsia="Batang" w:hAnsi="Arial" w:cs="Arial"/>
                <w:color w:val="262626"/>
                <w:sz w:val="18"/>
                <w:szCs w:val="18"/>
                <w:lang w:val="el-GR"/>
              </w:rPr>
              <w:t>Προβλέψεις για επιδικίες, υπό διαιτησία διαφορές, κανονιστικά και άλλα θέματα (μετά από αναστροφές)</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0AF8E0F8" w14:textId="0F3E318E" w:rsidR="008E7D1C" w:rsidRPr="006A1797" w:rsidRDefault="008E7D1C" w:rsidP="008E7D1C">
            <w:pPr>
              <w:autoSpaceDE w:val="0"/>
              <w:autoSpaceDN w:val="0"/>
              <w:adjustRightInd w:val="0"/>
              <w:jc w:val="right"/>
              <w:rPr>
                <w:rFonts w:ascii="Arial" w:hAnsi="Arial" w:cs="Arial"/>
                <w:color w:val="000000"/>
                <w:sz w:val="18"/>
                <w:szCs w:val="18"/>
                <w:lang w:val="el-GR"/>
              </w:rPr>
            </w:pPr>
            <w:r w:rsidRPr="00EB0EAD">
              <w:rPr>
                <w:rFonts w:ascii="Arial" w:hAnsi="Arial" w:cs="Arial"/>
                <w:color w:val="000000"/>
                <w:sz w:val="18"/>
                <w:szCs w:val="18"/>
              </w:rPr>
              <w:t>(</w:t>
            </w:r>
            <w:r>
              <w:rPr>
                <w:rFonts w:ascii="Arial" w:hAnsi="Arial" w:cs="Arial"/>
                <w:color w:val="000000"/>
                <w:sz w:val="18"/>
                <w:szCs w:val="18"/>
              </w:rPr>
              <w:t>3</w:t>
            </w:r>
            <w:r w:rsidRPr="00EB0EAD">
              <w:rPr>
                <w:rFonts w:ascii="Arial" w:hAnsi="Arial" w:cs="Arial"/>
                <w:color w:val="000000"/>
                <w:sz w:val="18"/>
                <w:szCs w:val="18"/>
              </w:rPr>
              <w:t>)</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08DB34CE" w14:textId="7562802F" w:rsidR="008E7D1C" w:rsidRPr="006A1797" w:rsidRDefault="008E7D1C" w:rsidP="008E7D1C">
            <w:pPr>
              <w:autoSpaceDE w:val="0"/>
              <w:autoSpaceDN w:val="0"/>
              <w:adjustRightInd w:val="0"/>
              <w:jc w:val="right"/>
              <w:rPr>
                <w:rFonts w:ascii="Arial" w:hAnsi="Arial" w:cs="Arial"/>
                <w:color w:val="000000"/>
                <w:sz w:val="18"/>
                <w:szCs w:val="18"/>
                <w:lang w:val="el-GR"/>
              </w:rPr>
            </w:pPr>
            <w:r>
              <w:rPr>
                <w:rFonts w:ascii="Arial" w:hAnsi="Arial" w:cs="Arial"/>
                <w:color w:val="000000"/>
                <w:sz w:val="18"/>
                <w:szCs w:val="18"/>
              </w:rPr>
              <w:t>3</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5C858AD7" w14:textId="4DCC750E" w:rsidR="008E7D1C" w:rsidRPr="006A1797" w:rsidRDefault="008E7D1C" w:rsidP="008E7D1C">
            <w:pPr>
              <w:autoSpaceDE w:val="0"/>
              <w:autoSpaceDN w:val="0"/>
              <w:adjustRightInd w:val="0"/>
              <w:jc w:val="right"/>
              <w:rPr>
                <w:rFonts w:ascii="Arial" w:hAnsi="Arial" w:cs="Arial"/>
                <w:color w:val="000000"/>
                <w:sz w:val="18"/>
                <w:szCs w:val="18"/>
                <w:lang w:val="el-GR"/>
              </w:rPr>
            </w:pPr>
            <w:r w:rsidRPr="005A1AAB">
              <w:rPr>
                <w:rFonts w:ascii="Arial" w:hAnsi="Arial" w:cs="Arial"/>
                <w:color w:val="000000"/>
                <w:sz w:val="18"/>
                <w:szCs w:val="18"/>
              </w:rPr>
              <w:t>-</w:t>
            </w:r>
          </w:p>
        </w:tc>
      </w:tr>
      <w:tr w:rsidR="008E7D1C" w:rsidRPr="006B5511" w14:paraId="18C24062" w14:textId="77777777" w:rsidTr="00A21CB9">
        <w:trPr>
          <w:trHeight w:val="227"/>
          <w:jc w:val="center"/>
        </w:trPr>
        <w:tc>
          <w:tcPr>
            <w:tcW w:w="5776" w:type="dxa"/>
            <w:vAlign w:val="center"/>
          </w:tcPr>
          <w:p w14:paraId="6004D7BA" w14:textId="77777777" w:rsidR="008E7D1C" w:rsidRPr="006A1797" w:rsidRDefault="008E7D1C" w:rsidP="008E7D1C">
            <w:pPr>
              <w:autoSpaceDE w:val="0"/>
              <w:autoSpaceDN w:val="0"/>
              <w:adjustRightInd w:val="0"/>
              <w:rPr>
                <w:rFonts w:ascii="Arial" w:eastAsia="Batang" w:hAnsi="Arial" w:cs="Arial"/>
                <w:color w:val="262626"/>
                <w:sz w:val="18"/>
                <w:szCs w:val="18"/>
                <w:lang w:val="el-GR"/>
              </w:rPr>
            </w:pPr>
            <w:r w:rsidRPr="006A1797">
              <w:rPr>
                <w:rFonts w:ascii="Arial" w:eastAsia="Batang" w:hAnsi="Arial" w:cs="Arial"/>
                <w:color w:val="262626"/>
                <w:sz w:val="18"/>
                <w:szCs w:val="18"/>
                <w:lang w:val="el-GR"/>
              </w:rPr>
              <w:t>Πιστωτικές ζημιές χρηματοοικονομικών περιουσιακών στοιχείων και απομείωση μετά την αναστροφή μη-χρηματοοικονομικών περιουσιακών στοιχείων</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34D4E2B9" w14:textId="7DE59510" w:rsidR="008E7D1C" w:rsidRPr="006A1797" w:rsidRDefault="008E7D1C" w:rsidP="008E7D1C">
            <w:pPr>
              <w:autoSpaceDE w:val="0"/>
              <w:autoSpaceDN w:val="0"/>
              <w:adjustRightInd w:val="0"/>
              <w:jc w:val="right"/>
              <w:rPr>
                <w:rFonts w:ascii="Arial" w:hAnsi="Arial" w:cs="Arial"/>
                <w:color w:val="000000"/>
                <w:sz w:val="18"/>
                <w:szCs w:val="18"/>
                <w:lang w:val="el-GR"/>
              </w:rPr>
            </w:pPr>
            <w:r w:rsidRPr="00EB0EAD">
              <w:rPr>
                <w:rFonts w:ascii="Arial" w:hAnsi="Arial" w:cs="Arial"/>
                <w:color w:val="000000"/>
                <w:sz w:val="18"/>
                <w:szCs w:val="18"/>
              </w:rPr>
              <w:t>-</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660A991D" w14:textId="3C1AD57B" w:rsidR="008E7D1C" w:rsidRPr="006A1797" w:rsidRDefault="008E7D1C" w:rsidP="008E7D1C">
            <w:pPr>
              <w:autoSpaceDE w:val="0"/>
              <w:autoSpaceDN w:val="0"/>
              <w:adjustRightInd w:val="0"/>
              <w:jc w:val="right"/>
              <w:rPr>
                <w:rFonts w:ascii="Arial" w:hAnsi="Arial" w:cs="Arial"/>
                <w:color w:val="000000"/>
                <w:sz w:val="18"/>
                <w:szCs w:val="18"/>
                <w:lang w:val="el-GR"/>
              </w:rPr>
            </w:pPr>
            <w:r w:rsidRPr="005A1AAB">
              <w:rPr>
                <w:rFonts w:ascii="Arial" w:hAnsi="Arial" w:cs="Arial"/>
                <w:color w:val="000000"/>
                <w:sz w:val="18"/>
                <w:szCs w:val="18"/>
              </w:rPr>
              <w:t>(</w:t>
            </w:r>
            <w:r>
              <w:rPr>
                <w:rFonts w:ascii="Arial" w:hAnsi="Arial" w:cs="Arial"/>
                <w:color w:val="000000"/>
                <w:sz w:val="18"/>
                <w:szCs w:val="18"/>
              </w:rPr>
              <w:t>42</w:t>
            </w:r>
            <w:r w:rsidRPr="005A1AAB">
              <w:rPr>
                <w:rFonts w:ascii="Arial" w:hAnsi="Arial" w:cs="Arial"/>
                <w:color w:val="000000"/>
                <w:sz w:val="18"/>
                <w:szCs w:val="18"/>
              </w:rPr>
              <w:t>)</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3FA0D96F" w14:textId="025B6F91" w:rsidR="008E7D1C" w:rsidRPr="006A1797" w:rsidRDefault="008E7D1C" w:rsidP="008E7D1C">
            <w:pPr>
              <w:autoSpaceDE w:val="0"/>
              <w:autoSpaceDN w:val="0"/>
              <w:adjustRightInd w:val="0"/>
              <w:jc w:val="right"/>
              <w:rPr>
                <w:rFonts w:ascii="Arial" w:hAnsi="Arial" w:cs="Arial"/>
                <w:color w:val="000000"/>
                <w:sz w:val="18"/>
                <w:szCs w:val="18"/>
                <w:lang w:val="el-GR"/>
              </w:rPr>
            </w:pPr>
            <w:r w:rsidRPr="005A1AAB">
              <w:rPr>
                <w:rFonts w:ascii="Arial" w:hAnsi="Arial" w:cs="Arial"/>
                <w:color w:val="000000"/>
                <w:sz w:val="18"/>
                <w:szCs w:val="18"/>
              </w:rPr>
              <w:t>(</w:t>
            </w:r>
            <w:r>
              <w:rPr>
                <w:rFonts w:ascii="Arial" w:hAnsi="Arial" w:cs="Arial"/>
                <w:color w:val="000000"/>
                <w:sz w:val="18"/>
                <w:szCs w:val="18"/>
              </w:rPr>
              <w:t>42</w:t>
            </w:r>
            <w:r w:rsidRPr="005A1AAB">
              <w:rPr>
                <w:rFonts w:ascii="Arial" w:hAnsi="Arial" w:cs="Arial"/>
                <w:color w:val="000000"/>
                <w:sz w:val="18"/>
                <w:szCs w:val="18"/>
              </w:rPr>
              <w:t>)</w:t>
            </w:r>
          </w:p>
        </w:tc>
      </w:tr>
      <w:tr w:rsidR="008E7D1C" w:rsidRPr="006B5511" w14:paraId="6633CFBC" w14:textId="77777777" w:rsidTr="00A21CB9">
        <w:trPr>
          <w:trHeight w:val="283"/>
          <w:jc w:val="center"/>
        </w:trPr>
        <w:tc>
          <w:tcPr>
            <w:tcW w:w="5776" w:type="dxa"/>
            <w:vAlign w:val="center"/>
          </w:tcPr>
          <w:p w14:paraId="6F2CA6E5" w14:textId="77777777" w:rsidR="008E7D1C" w:rsidRPr="006A1797" w:rsidRDefault="008E7D1C" w:rsidP="008E7D1C">
            <w:pPr>
              <w:autoSpaceDE w:val="0"/>
              <w:autoSpaceDN w:val="0"/>
              <w:adjustRightInd w:val="0"/>
              <w:rPr>
                <w:rFonts w:ascii="Arial" w:hAnsi="Arial" w:cs="Arial"/>
                <w:color w:val="000000"/>
                <w:sz w:val="18"/>
                <w:szCs w:val="18"/>
                <w:lang w:val="el-GR"/>
              </w:rPr>
            </w:pPr>
            <w:r w:rsidRPr="006A1797">
              <w:rPr>
                <w:rFonts w:ascii="Arial" w:hAnsi="Arial" w:cs="Arial"/>
                <w:b/>
                <w:bCs/>
                <w:color w:val="000000"/>
                <w:sz w:val="18"/>
                <w:szCs w:val="18"/>
                <w:lang w:val="el-GR"/>
              </w:rPr>
              <w:t>Κέρδη πριν τη φορολογία και τα μη-επαναλαμβανόμενα στοιχεία</w:t>
            </w:r>
          </w:p>
        </w:tc>
        <w:tc>
          <w:tcPr>
            <w:tcW w:w="1361" w:type="dxa"/>
            <w:tcBorders>
              <w:top w:val="single" w:sz="6" w:space="0" w:color="000000" w:themeColor="text1"/>
              <w:left w:val="single" w:sz="4" w:space="0" w:color="D9D9D9" w:themeColor="background1" w:themeShade="D9"/>
              <w:right w:val="single" w:sz="4" w:space="0" w:color="D9D9D9" w:themeColor="background1" w:themeShade="D9"/>
            </w:tcBorders>
            <w:shd w:val="clear" w:color="auto" w:fill="auto"/>
            <w:vAlign w:val="center"/>
          </w:tcPr>
          <w:p w14:paraId="1F0BA158" w14:textId="3F0D4230" w:rsidR="008E7D1C" w:rsidRPr="006A1797" w:rsidRDefault="008E7D1C" w:rsidP="008E7D1C">
            <w:pPr>
              <w:autoSpaceDE w:val="0"/>
              <w:autoSpaceDN w:val="0"/>
              <w:adjustRightInd w:val="0"/>
              <w:jc w:val="right"/>
              <w:rPr>
                <w:rFonts w:ascii="Arial" w:hAnsi="Arial" w:cs="Arial"/>
                <w:b/>
                <w:color w:val="000000"/>
                <w:sz w:val="18"/>
                <w:szCs w:val="18"/>
                <w:lang w:val="el-GR"/>
              </w:rPr>
            </w:pPr>
            <w:r>
              <w:rPr>
                <w:rFonts w:ascii="Arial" w:hAnsi="Arial" w:cs="Arial"/>
                <w:b/>
                <w:color w:val="000000"/>
                <w:sz w:val="18"/>
                <w:szCs w:val="18"/>
              </w:rPr>
              <w:t>319</w:t>
            </w:r>
          </w:p>
        </w:tc>
        <w:tc>
          <w:tcPr>
            <w:tcW w:w="1361" w:type="dxa"/>
            <w:tcBorders>
              <w:top w:val="single" w:sz="6" w:space="0" w:color="000000" w:themeColor="text1"/>
              <w:left w:val="single" w:sz="4" w:space="0" w:color="D9D9D9" w:themeColor="background1" w:themeShade="D9"/>
              <w:right w:val="single" w:sz="4" w:space="0" w:color="D9D9D9" w:themeColor="background1" w:themeShade="D9"/>
            </w:tcBorders>
            <w:shd w:val="clear" w:color="auto" w:fill="auto"/>
            <w:vAlign w:val="center"/>
          </w:tcPr>
          <w:p w14:paraId="1C397414" w14:textId="7288DCF2" w:rsidR="008E7D1C" w:rsidRPr="006A1797" w:rsidRDefault="008E7D1C" w:rsidP="008E7D1C">
            <w:pPr>
              <w:autoSpaceDE w:val="0"/>
              <w:autoSpaceDN w:val="0"/>
              <w:adjustRightInd w:val="0"/>
              <w:jc w:val="right"/>
              <w:rPr>
                <w:rFonts w:ascii="Arial" w:hAnsi="Arial" w:cs="Arial"/>
                <w:b/>
                <w:color w:val="000000"/>
                <w:sz w:val="18"/>
                <w:szCs w:val="18"/>
                <w:lang w:val="el-GR"/>
              </w:rPr>
            </w:pPr>
            <w:r w:rsidRPr="005A1AAB">
              <w:rPr>
                <w:rFonts w:ascii="Arial" w:hAnsi="Arial" w:cs="Arial"/>
                <w:b/>
                <w:color w:val="000000"/>
                <w:sz w:val="18"/>
                <w:szCs w:val="18"/>
              </w:rPr>
              <w:t>-</w:t>
            </w:r>
          </w:p>
        </w:tc>
        <w:tc>
          <w:tcPr>
            <w:tcW w:w="1361" w:type="dxa"/>
            <w:tcBorders>
              <w:top w:val="single" w:sz="6" w:space="0" w:color="000000" w:themeColor="text1"/>
              <w:left w:val="single" w:sz="4" w:space="0" w:color="D9D9D9" w:themeColor="background1" w:themeShade="D9"/>
              <w:right w:val="single" w:sz="4" w:space="0" w:color="D9D9D9" w:themeColor="background1" w:themeShade="D9"/>
            </w:tcBorders>
            <w:shd w:val="clear" w:color="auto" w:fill="auto"/>
            <w:vAlign w:val="center"/>
          </w:tcPr>
          <w:p w14:paraId="6326E533" w14:textId="63E4EF33" w:rsidR="008E7D1C" w:rsidRPr="006A1797" w:rsidRDefault="008E7D1C" w:rsidP="008E7D1C">
            <w:pPr>
              <w:autoSpaceDE w:val="0"/>
              <w:autoSpaceDN w:val="0"/>
              <w:adjustRightInd w:val="0"/>
              <w:jc w:val="right"/>
              <w:rPr>
                <w:rFonts w:ascii="Arial" w:hAnsi="Arial" w:cs="Arial"/>
                <w:b/>
                <w:color w:val="000000"/>
                <w:sz w:val="18"/>
                <w:szCs w:val="18"/>
                <w:lang w:val="el-GR"/>
              </w:rPr>
            </w:pPr>
            <w:r>
              <w:rPr>
                <w:rFonts w:ascii="Arial" w:hAnsi="Arial" w:cs="Arial"/>
                <w:b/>
                <w:color w:val="000000"/>
                <w:sz w:val="18"/>
                <w:szCs w:val="18"/>
              </w:rPr>
              <w:t>319</w:t>
            </w:r>
          </w:p>
        </w:tc>
      </w:tr>
      <w:tr w:rsidR="008E7D1C" w:rsidRPr="006B5511" w14:paraId="1AB9B3F8" w14:textId="77777777" w:rsidTr="00A21CB9">
        <w:trPr>
          <w:trHeight w:val="255"/>
          <w:jc w:val="center"/>
        </w:trPr>
        <w:tc>
          <w:tcPr>
            <w:tcW w:w="5776" w:type="dxa"/>
            <w:vAlign w:val="center"/>
          </w:tcPr>
          <w:p w14:paraId="6CB542F3" w14:textId="77777777" w:rsidR="008E7D1C" w:rsidRPr="006A1797" w:rsidRDefault="008E7D1C" w:rsidP="008E7D1C">
            <w:pPr>
              <w:autoSpaceDE w:val="0"/>
              <w:autoSpaceDN w:val="0"/>
              <w:adjustRightInd w:val="0"/>
              <w:rPr>
                <w:rFonts w:ascii="Arial" w:hAnsi="Arial" w:cs="Arial"/>
                <w:color w:val="000000"/>
                <w:sz w:val="18"/>
                <w:szCs w:val="18"/>
                <w:lang w:val="el-GR"/>
              </w:rPr>
            </w:pPr>
            <w:r w:rsidRPr="006A1797">
              <w:rPr>
                <w:rFonts w:ascii="Arial" w:hAnsi="Arial" w:cs="Arial"/>
                <w:color w:val="000000"/>
                <w:sz w:val="18"/>
                <w:szCs w:val="18"/>
                <w:lang w:val="el-GR"/>
              </w:rPr>
              <w:t>Φορολογία</w:t>
            </w:r>
          </w:p>
        </w:tc>
        <w:tc>
          <w:tcPr>
            <w:tcW w:w="1361"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0D65473" w14:textId="454A3D15" w:rsidR="008E7D1C" w:rsidRPr="006A1797" w:rsidRDefault="008E7D1C" w:rsidP="008E7D1C">
            <w:pPr>
              <w:tabs>
                <w:tab w:val="left" w:pos="0"/>
                <w:tab w:val="left" w:pos="1416"/>
                <w:tab w:val="decimal" w:pos="4962"/>
                <w:tab w:val="decimal" w:pos="6521"/>
                <w:tab w:val="right" w:pos="7560"/>
                <w:tab w:val="decimal" w:pos="8220"/>
                <w:tab w:val="left" w:pos="8640"/>
                <w:tab w:val="right" w:pos="9000"/>
              </w:tabs>
              <w:suppressAutoHyphens/>
              <w:autoSpaceDE w:val="0"/>
              <w:autoSpaceDN w:val="0"/>
              <w:adjustRightInd w:val="0"/>
              <w:jc w:val="right"/>
              <w:rPr>
                <w:rFonts w:ascii="Arial" w:hAnsi="Arial" w:cs="Arial"/>
                <w:color w:val="000000"/>
                <w:sz w:val="18"/>
                <w:szCs w:val="18"/>
                <w:lang w:val="el-GR"/>
              </w:rPr>
            </w:pPr>
            <w:r w:rsidRPr="00EB0EAD">
              <w:rPr>
                <w:rFonts w:ascii="Arial" w:hAnsi="Arial" w:cs="Arial"/>
                <w:color w:val="000000"/>
                <w:sz w:val="18"/>
                <w:szCs w:val="18"/>
              </w:rPr>
              <w:t>(4</w:t>
            </w:r>
            <w:r>
              <w:rPr>
                <w:rFonts w:ascii="Arial" w:hAnsi="Arial" w:cs="Arial"/>
                <w:color w:val="000000"/>
                <w:sz w:val="18"/>
                <w:szCs w:val="18"/>
              </w:rPr>
              <w:t>8</w:t>
            </w:r>
            <w:r w:rsidRPr="00EB0EAD">
              <w:rPr>
                <w:rFonts w:ascii="Arial" w:hAnsi="Arial" w:cs="Arial"/>
                <w:color w:val="000000"/>
                <w:sz w:val="18"/>
                <w:szCs w:val="18"/>
              </w:rPr>
              <w:t>)</w:t>
            </w:r>
          </w:p>
        </w:tc>
        <w:tc>
          <w:tcPr>
            <w:tcW w:w="1361"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972701B" w14:textId="075249D5" w:rsidR="008E7D1C" w:rsidRPr="006A1797" w:rsidRDefault="008E7D1C" w:rsidP="008E7D1C">
            <w:pPr>
              <w:tabs>
                <w:tab w:val="left" w:pos="0"/>
                <w:tab w:val="left" w:pos="1416"/>
                <w:tab w:val="decimal" w:pos="4962"/>
                <w:tab w:val="decimal" w:pos="6521"/>
                <w:tab w:val="right" w:pos="7560"/>
                <w:tab w:val="decimal" w:pos="8220"/>
                <w:tab w:val="left" w:pos="8640"/>
                <w:tab w:val="right" w:pos="9000"/>
              </w:tabs>
              <w:suppressAutoHyphens/>
              <w:autoSpaceDE w:val="0"/>
              <w:autoSpaceDN w:val="0"/>
              <w:adjustRightInd w:val="0"/>
              <w:jc w:val="right"/>
              <w:rPr>
                <w:rFonts w:ascii="Arial" w:hAnsi="Arial" w:cs="Arial"/>
                <w:color w:val="000000"/>
                <w:sz w:val="18"/>
                <w:szCs w:val="18"/>
                <w:lang w:val="el-GR"/>
              </w:rPr>
            </w:pPr>
            <w:r w:rsidRPr="005A1AAB">
              <w:rPr>
                <w:rFonts w:ascii="Arial" w:hAnsi="Arial" w:cs="Arial"/>
                <w:color w:val="000000"/>
                <w:sz w:val="18"/>
                <w:szCs w:val="18"/>
              </w:rPr>
              <w:t>-</w:t>
            </w:r>
          </w:p>
        </w:tc>
        <w:tc>
          <w:tcPr>
            <w:tcW w:w="1361"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6439BB7" w14:textId="10BBF5B5" w:rsidR="008E7D1C" w:rsidRPr="006A1797" w:rsidRDefault="008E7D1C" w:rsidP="008E7D1C">
            <w:pPr>
              <w:tabs>
                <w:tab w:val="left" w:pos="0"/>
                <w:tab w:val="left" w:pos="1416"/>
                <w:tab w:val="decimal" w:pos="4962"/>
                <w:tab w:val="decimal" w:pos="6521"/>
                <w:tab w:val="right" w:pos="7560"/>
                <w:tab w:val="decimal" w:pos="8220"/>
                <w:tab w:val="left" w:pos="8640"/>
                <w:tab w:val="right" w:pos="9000"/>
              </w:tabs>
              <w:suppressAutoHyphens/>
              <w:autoSpaceDE w:val="0"/>
              <w:autoSpaceDN w:val="0"/>
              <w:adjustRightInd w:val="0"/>
              <w:jc w:val="right"/>
              <w:rPr>
                <w:rFonts w:ascii="Arial" w:hAnsi="Arial" w:cs="Arial"/>
                <w:color w:val="000000"/>
                <w:sz w:val="18"/>
                <w:szCs w:val="18"/>
                <w:lang w:val="el-GR"/>
              </w:rPr>
            </w:pPr>
            <w:r w:rsidRPr="005A1AAB">
              <w:rPr>
                <w:rFonts w:ascii="Arial" w:hAnsi="Arial" w:cs="Arial"/>
                <w:color w:val="000000"/>
                <w:sz w:val="18"/>
                <w:szCs w:val="18"/>
              </w:rPr>
              <w:t>(48)</w:t>
            </w:r>
          </w:p>
        </w:tc>
      </w:tr>
      <w:tr w:rsidR="008E7D1C" w:rsidRPr="006B5511" w14:paraId="5FF04EA7" w14:textId="77777777" w:rsidTr="00A21CB9">
        <w:trPr>
          <w:trHeight w:val="255"/>
          <w:jc w:val="center"/>
        </w:trPr>
        <w:tc>
          <w:tcPr>
            <w:tcW w:w="5776" w:type="dxa"/>
            <w:vAlign w:val="center"/>
          </w:tcPr>
          <w:p w14:paraId="6139E791" w14:textId="77777777" w:rsidR="008E7D1C" w:rsidRPr="006A1797" w:rsidRDefault="008E7D1C" w:rsidP="008E7D1C">
            <w:pPr>
              <w:autoSpaceDE w:val="0"/>
              <w:autoSpaceDN w:val="0"/>
              <w:adjustRightInd w:val="0"/>
              <w:rPr>
                <w:rFonts w:ascii="Arial" w:hAnsi="Arial" w:cs="Arial"/>
                <w:color w:val="000000"/>
                <w:sz w:val="18"/>
                <w:szCs w:val="18"/>
                <w:lang w:val="el-GR"/>
              </w:rPr>
            </w:pPr>
            <w:r w:rsidRPr="006A1797">
              <w:rPr>
                <w:rFonts w:ascii="Arial" w:hAnsi="Arial" w:cs="Arial"/>
                <w:color w:val="000000"/>
                <w:sz w:val="18"/>
                <w:szCs w:val="18"/>
                <w:lang w:val="el-GR"/>
              </w:rPr>
              <w:t>Κέρδη που αναλογούν σε δικαιώματα μειοψηφίας</w:t>
            </w:r>
          </w:p>
        </w:tc>
        <w:tc>
          <w:tcPr>
            <w:tcW w:w="1361"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575818B" w14:textId="15A6DDD9" w:rsidR="008E7D1C" w:rsidRPr="006A1797" w:rsidRDefault="008E7D1C" w:rsidP="008E7D1C">
            <w:pPr>
              <w:tabs>
                <w:tab w:val="left" w:pos="0"/>
                <w:tab w:val="left" w:pos="1416"/>
                <w:tab w:val="decimal" w:pos="4962"/>
                <w:tab w:val="decimal" w:pos="6521"/>
                <w:tab w:val="right" w:pos="7560"/>
                <w:tab w:val="decimal" w:pos="8220"/>
                <w:tab w:val="left" w:pos="8640"/>
                <w:tab w:val="right" w:pos="9000"/>
              </w:tabs>
              <w:suppressAutoHyphens/>
              <w:autoSpaceDE w:val="0"/>
              <w:autoSpaceDN w:val="0"/>
              <w:adjustRightInd w:val="0"/>
              <w:jc w:val="right"/>
              <w:rPr>
                <w:rFonts w:ascii="Arial" w:hAnsi="Arial" w:cs="Arial"/>
                <w:color w:val="000000"/>
                <w:sz w:val="18"/>
                <w:szCs w:val="18"/>
                <w:lang w:val="el-GR"/>
              </w:rPr>
            </w:pPr>
            <w:r w:rsidRPr="00EB0EAD">
              <w:rPr>
                <w:rFonts w:ascii="Arial" w:hAnsi="Arial" w:cs="Arial"/>
                <w:color w:val="000000"/>
                <w:sz w:val="18"/>
                <w:szCs w:val="18"/>
              </w:rPr>
              <w:t>(1)</w:t>
            </w:r>
          </w:p>
        </w:tc>
        <w:tc>
          <w:tcPr>
            <w:tcW w:w="1361"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7F75923" w14:textId="46CE70AE" w:rsidR="008E7D1C" w:rsidRPr="006A1797" w:rsidRDefault="008E7D1C" w:rsidP="008E7D1C">
            <w:pPr>
              <w:tabs>
                <w:tab w:val="left" w:pos="0"/>
                <w:tab w:val="left" w:pos="1416"/>
                <w:tab w:val="decimal" w:pos="4962"/>
                <w:tab w:val="decimal" w:pos="6521"/>
                <w:tab w:val="right" w:pos="7560"/>
                <w:tab w:val="decimal" w:pos="8220"/>
                <w:tab w:val="left" w:pos="8640"/>
                <w:tab w:val="right" w:pos="9000"/>
              </w:tabs>
              <w:suppressAutoHyphens/>
              <w:autoSpaceDE w:val="0"/>
              <w:autoSpaceDN w:val="0"/>
              <w:adjustRightInd w:val="0"/>
              <w:jc w:val="right"/>
              <w:rPr>
                <w:rFonts w:ascii="Arial" w:hAnsi="Arial" w:cs="Arial"/>
                <w:color w:val="000000"/>
                <w:sz w:val="18"/>
                <w:szCs w:val="18"/>
                <w:lang w:val="el-GR"/>
              </w:rPr>
            </w:pPr>
            <w:r w:rsidRPr="005A1AAB">
              <w:rPr>
                <w:rFonts w:ascii="Arial" w:hAnsi="Arial" w:cs="Arial"/>
                <w:color w:val="000000"/>
                <w:sz w:val="18"/>
                <w:szCs w:val="18"/>
              </w:rPr>
              <w:t>-</w:t>
            </w:r>
          </w:p>
        </w:tc>
        <w:tc>
          <w:tcPr>
            <w:tcW w:w="1361"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7234A90" w14:textId="4F019A96" w:rsidR="008E7D1C" w:rsidRPr="006A1797" w:rsidRDefault="008E7D1C" w:rsidP="008E7D1C">
            <w:pPr>
              <w:tabs>
                <w:tab w:val="left" w:pos="0"/>
                <w:tab w:val="left" w:pos="1416"/>
                <w:tab w:val="decimal" w:pos="4962"/>
                <w:tab w:val="decimal" w:pos="6521"/>
                <w:tab w:val="right" w:pos="7560"/>
                <w:tab w:val="decimal" w:pos="8220"/>
                <w:tab w:val="left" w:pos="8640"/>
                <w:tab w:val="right" w:pos="9000"/>
              </w:tabs>
              <w:suppressAutoHyphens/>
              <w:autoSpaceDE w:val="0"/>
              <w:autoSpaceDN w:val="0"/>
              <w:adjustRightInd w:val="0"/>
              <w:jc w:val="right"/>
              <w:rPr>
                <w:rFonts w:ascii="Arial" w:hAnsi="Arial" w:cs="Arial"/>
                <w:color w:val="000000"/>
                <w:sz w:val="18"/>
                <w:szCs w:val="18"/>
                <w:lang w:val="el-GR"/>
              </w:rPr>
            </w:pPr>
            <w:r w:rsidRPr="005A1AAB">
              <w:rPr>
                <w:rFonts w:ascii="Arial" w:hAnsi="Arial" w:cs="Arial"/>
                <w:color w:val="000000"/>
                <w:sz w:val="18"/>
                <w:szCs w:val="18"/>
              </w:rPr>
              <w:t>(1)</w:t>
            </w:r>
          </w:p>
        </w:tc>
      </w:tr>
      <w:tr w:rsidR="008E7D1C" w:rsidRPr="006B5511" w14:paraId="633792FB" w14:textId="77777777" w:rsidTr="00A21CB9">
        <w:trPr>
          <w:trHeight w:val="227"/>
          <w:jc w:val="center"/>
        </w:trPr>
        <w:tc>
          <w:tcPr>
            <w:tcW w:w="5776" w:type="dxa"/>
            <w:shd w:val="clear" w:color="auto" w:fill="auto"/>
            <w:vAlign w:val="center"/>
          </w:tcPr>
          <w:p w14:paraId="21063C6E" w14:textId="77777777" w:rsidR="008E7D1C" w:rsidRPr="006A1797" w:rsidRDefault="008E7D1C" w:rsidP="008E7D1C">
            <w:pPr>
              <w:autoSpaceDE w:val="0"/>
              <w:autoSpaceDN w:val="0"/>
              <w:adjustRightInd w:val="0"/>
              <w:rPr>
                <w:rFonts w:ascii="Arial" w:hAnsi="Arial" w:cs="Arial"/>
                <w:b/>
                <w:bCs/>
                <w:color w:val="000000"/>
                <w:sz w:val="18"/>
                <w:szCs w:val="18"/>
                <w:lang w:val="el-GR"/>
              </w:rPr>
            </w:pPr>
            <w:r w:rsidRPr="006A1797">
              <w:rPr>
                <w:rFonts w:ascii="Arial" w:hAnsi="Arial" w:cs="Arial"/>
                <w:b/>
                <w:bCs/>
                <w:color w:val="000000"/>
                <w:sz w:val="18"/>
                <w:szCs w:val="18"/>
                <w:lang w:val="el-GR"/>
              </w:rPr>
              <w:t>Κέρδη μετά τη φορολογία (αναλογούντα στους ιδιοκτήτες της Εταιρίας)</w:t>
            </w:r>
          </w:p>
        </w:tc>
        <w:tc>
          <w:tcPr>
            <w:tcW w:w="1361" w:type="dxa"/>
            <w:tcBorders>
              <w:top w:val="single" w:sz="6" w:space="0" w:color="000000" w:themeColor="text1"/>
              <w:left w:val="single" w:sz="4" w:space="0" w:color="D9D9D9" w:themeColor="background1" w:themeShade="D9"/>
              <w:bottom w:val="double" w:sz="6" w:space="0" w:color="000000" w:themeColor="text1"/>
              <w:right w:val="single" w:sz="4" w:space="0" w:color="D9D9D9" w:themeColor="background1" w:themeShade="D9"/>
            </w:tcBorders>
            <w:shd w:val="clear" w:color="auto" w:fill="auto"/>
            <w:vAlign w:val="center"/>
          </w:tcPr>
          <w:p w14:paraId="074900AF" w14:textId="520A802C" w:rsidR="008E7D1C" w:rsidRPr="006A1797" w:rsidRDefault="008E7D1C" w:rsidP="008E7D1C">
            <w:pPr>
              <w:tabs>
                <w:tab w:val="left" w:pos="0"/>
                <w:tab w:val="left" w:pos="1416"/>
                <w:tab w:val="decimal" w:pos="4962"/>
                <w:tab w:val="decimal" w:pos="6521"/>
                <w:tab w:val="right" w:pos="7560"/>
                <w:tab w:val="decimal" w:pos="8220"/>
                <w:tab w:val="left" w:pos="8640"/>
                <w:tab w:val="right" w:pos="9000"/>
              </w:tabs>
              <w:suppressAutoHyphens/>
              <w:autoSpaceDE w:val="0"/>
              <w:autoSpaceDN w:val="0"/>
              <w:adjustRightInd w:val="0"/>
              <w:jc w:val="right"/>
              <w:rPr>
                <w:rFonts w:ascii="Arial" w:hAnsi="Arial" w:cs="Arial"/>
                <w:b/>
                <w:color w:val="000000"/>
                <w:sz w:val="18"/>
                <w:szCs w:val="18"/>
                <w:lang w:val="el-GR"/>
              </w:rPr>
            </w:pPr>
            <w:r>
              <w:rPr>
                <w:rFonts w:ascii="Arial" w:hAnsi="Arial" w:cs="Arial"/>
                <w:b/>
                <w:color w:val="000000"/>
                <w:sz w:val="18"/>
                <w:szCs w:val="18"/>
              </w:rPr>
              <w:t>270</w:t>
            </w:r>
          </w:p>
        </w:tc>
        <w:tc>
          <w:tcPr>
            <w:tcW w:w="1361" w:type="dxa"/>
            <w:tcBorders>
              <w:top w:val="single" w:sz="6" w:space="0" w:color="000000" w:themeColor="text1"/>
              <w:left w:val="single" w:sz="4" w:space="0" w:color="D9D9D9" w:themeColor="background1" w:themeShade="D9"/>
              <w:bottom w:val="double" w:sz="6" w:space="0" w:color="000000" w:themeColor="text1"/>
              <w:right w:val="single" w:sz="4" w:space="0" w:color="D9D9D9" w:themeColor="background1" w:themeShade="D9"/>
            </w:tcBorders>
            <w:shd w:val="clear" w:color="auto" w:fill="auto"/>
            <w:vAlign w:val="center"/>
          </w:tcPr>
          <w:p w14:paraId="16AC004F" w14:textId="7EBB3D94" w:rsidR="008E7D1C" w:rsidRPr="006A1797" w:rsidRDefault="008E7D1C" w:rsidP="008E7D1C">
            <w:pPr>
              <w:tabs>
                <w:tab w:val="left" w:pos="0"/>
                <w:tab w:val="left" w:pos="1416"/>
                <w:tab w:val="decimal" w:pos="4962"/>
                <w:tab w:val="decimal" w:pos="6521"/>
                <w:tab w:val="right" w:pos="7560"/>
                <w:tab w:val="decimal" w:pos="8220"/>
                <w:tab w:val="left" w:pos="8640"/>
                <w:tab w:val="right" w:pos="9000"/>
              </w:tabs>
              <w:suppressAutoHyphens/>
              <w:autoSpaceDE w:val="0"/>
              <w:autoSpaceDN w:val="0"/>
              <w:adjustRightInd w:val="0"/>
              <w:jc w:val="right"/>
              <w:rPr>
                <w:rFonts w:ascii="Arial" w:hAnsi="Arial" w:cs="Arial"/>
                <w:b/>
                <w:color w:val="000000"/>
                <w:sz w:val="18"/>
                <w:szCs w:val="18"/>
                <w:lang w:val="el-GR"/>
              </w:rPr>
            </w:pPr>
            <w:r w:rsidRPr="005A1AAB">
              <w:rPr>
                <w:rFonts w:ascii="Arial" w:hAnsi="Arial" w:cs="Arial"/>
                <w:b/>
                <w:color w:val="000000"/>
                <w:sz w:val="18"/>
                <w:szCs w:val="18"/>
              </w:rPr>
              <w:t>-</w:t>
            </w:r>
          </w:p>
        </w:tc>
        <w:tc>
          <w:tcPr>
            <w:tcW w:w="1361" w:type="dxa"/>
            <w:tcBorders>
              <w:top w:val="single" w:sz="6" w:space="0" w:color="000000" w:themeColor="text1"/>
              <w:left w:val="single" w:sz="4" w:space="0" w:color="D9D9D9" w:themeColor="background1" w:themeShade="D9"/>
              <w:bottom w:val="double" w:sz="6" w:space="0" w:color="000000" w:themeColor="text1"/>
              <w:right w:val="single" w:sz="4" w:space="0" w:color="D9D9D9" w:themeColor="background1" w:themeShade="D9"/>
            </w:tcBorders>
            <w:shd w:val="clear" w:color="auto" w:fill="auto"/>
            <w:vAlign w:val="center"/>
          </w:tcPr>
          <w:p w14:paraId="5F949C28" w14:textId="1659D22C" w:rsidR="008E7D1C" w:rsidRPr="006A1797" w:rsidRDefault="008E7D1C" w:rsidP="008E7D1C">
            <w:pPr>
              <w:tabs>
                <w:tab w:val="left" w:pos="0"/>
                <w:tab w:val="left" w:pos="1416"/>
                <w:tab w:val="decimal" w:pos="4962"/>
                <w:tab w:val="decimal" w:pos="6521"/>
                <w:tab w:val="right" w:pos="7560"/>
                <w:tab w:val="decimal" w:pos="8220"/>
                <w:tab w:val="left" w:pos="8640"/>
                <w:tab w:val="right" w:pos="9000"/>
              </w:tabs>
              <w:suppressAutoHyphens/>
              <w:autoSpaceDE w:val="0"/>
              <w:autoSpaceDN w:val="0"/>
              <w:adjustRightInd w:val="0"/>
              <w:jc w:val="right"/>
              <w:rPr>
                <w:rFonts w:ascii="Arial" w:hAnsi="Arial" w:cs="Arial"/>
                <w:b/>
                <w:color w:val="000000"/>
                <w:sz w:val="18"/>
                <w:szCs w:val="18"/>
                <w:lang w:val="el-GR"/>
              </w:rPr>
            </w:pPr>
            <w:r>
              <w:rPr>
                <w:rFonts w:ascii="Arial" w:hAnsi="Arial" w:cs="Arial"/>
                <w:b/>
                <w:color w:val="000000"/>
                <w:sz w:val="18"/>
                <w:szCs w:val="18"/>
              </w:rPr>
              <w:t>270</w:t>
            </w:r>
          </w:p>
        </w:tc>
      </w:tr>
    </w:tbl>
    <w:tbl>
      <w:tblPr>
        <w:tblW w:w="13012" w:type="dxa"/>
        <w:tblBorders>
          <w:top w:val="nil"/>
          <w:left w:val="nil"/>
          <w:bottom w:val="nil"/>
          <w:right w:val="nil"/>
        </w:tblBorders>
        <w:tblLook w:val="0000" w:firstRow="0" w:lastRow="0" w:firstColumn="0" w:lastColumn="0" w:noHBand="0" w:noVBand="0"/>
      </w:tblPr>
      <w:tblGrid>
        <w:gridCol w:w="13012"/>
      </w:tblGrid>
      <w:tr w:rsidR="00273A9B" w:rsidRPr="006B5511" w14:paraId="56A94724" w14:textId="77777777" w:rsidTr="00A21CB9">
        <w:trPr>
          <w:trHeight w:val="86"/>
        </w:trPr>
        <w:tc>
          <w:tcPr>
            <w:tcW w:w="13012" w:type="dxa"/>
          </w:tcPr>
          <w:p w14:paraId="660E88F7" w14:textId="77777777" w:rsidR="00273A9B" w:rsidRPr="006B5511" w:rsidRDefault="00273A9B" w:rsidP="00A21CB9">
            <w:pPr>
              <w:tabs>
                <w:tab w:val="right" w:pos="9930"/>
                <w:tab w:val="left" w:pos="10846"/>
              </w:tabs>
              <w:autoSpaceDE w:val="0"/>
              <w:autoSpaceDN w:val="0"/>
              <w:adjustRightInd w:val="0"/>
              <w:spacing w:after="0" w:line="240" w:lineRule="auto"/>
              <w:rPr>
                <w:rFonts w:ascii="Arial" w:hAnsi="Arial" w:cs="Arial"/>
                <w:color w:val="000000"/>
                <w:sz w:val="18"/>
                <w:szCs w:val="18"/>
                <w:highlight w:val="yellow"/>
                <w:lang w:val="el-GR"/>
              </w:rPr>
            </w:pPr>
          </w:p>
        </w:tc>
      </w:tr>
    </w:tbl>
    <w:p w14:paraId="371B20FF" w14:textId="77777777" w:rsidR="00273A9B" w:rsidRPr="006A1797" w:rsidRDefault="00273A9B" w:rsidP="00273A9B">
      <w:pPr>
        <w:spacing w:after="0" w:line="240" w:lineRule="auto"/>
        <w:ind w:right="-85"/>
        <w:jc w:val="both"/>
        <w:rPr>
          <w:rFonts w:ascii="Arial" w:eastAsia="Times New Roman" w:hAnsi="Arial" w:cs="Arial"/>
          <w:bCs/>
          <w:color w:val="000000"/>
          <w:sz w:val="18"/>
          <w:szCs w:val="18"/>
          <w:lang w:val="el-GR" w:eastAsia="en-US"/>
        </w:rPr>
      </w:pPr>
      <w:r w:rsidRPr="006A1797">
        <w:rPr>
          <w:rFonts w:ascii="Arial" w:eastAsia="Times New Roman" w:hAnsi="Arial" w:cs="Arial"/>
          <w:bCs/>
          <w:color w:val="000000"/>
          <w:sz w:val="18"/>
          <w:szCs w:val="18"/>
          <w:lang w:val="el-GR" w:eastAsia="en-US"/>
        </w:rPr>
        <w:t>*</w:t>
      </w:r>
      <w:r w:rsidRPr="006A1797">
        <w:rPr>
          <w:lang w:val="el-GR"/>
        </w:rPr>
        <w:t xml:space="preserve"> </w:t>
      </w:r>
      <w:r w:rsidRPr="006A1797">
        <w:rPr>
          <w:rFonts w:ascii="Arial" w:eastAsia="Times New Roman" w:hAnsi="Arial" w:cs="Arial"/>
          <w:bCs/>
          <w:color w:val="000000"/>
          <w:sz w:val="18"/>
          <w:szCs w:val="18"/>
          <w:lang w:val="el-GR" w:eastAsia="en-US"/>
        </w:rPr>
        <w:t>Το καθαρό αποτέλεσμα από ασφαλιστικές εργασίες στην υποκείμενη βάση περιλαμβάνει το άθροισμα των στοιχείων ‘</w:t>
      </w:r>
      <w:r w:rsidRPr="006A1797">
        <w:rPr>
          <w:rFonts w:ascii="Arial" w:eastAsia="Batang" w:hAnsi="Arial" w:cs="Arial"/>
          <w:i/>
          <w:iCs/>
          <w:color w:val="262626"/>
          <w:sz w:val="18"/>
          <w:szCs w:val="18"/>
          <w:lang w:val="el-GR" w:eastAsia="en-US"/>
        </w:rPr>
        <w:t>Καθαρά χρηματοοικονομικά έσοδα/(έξοδα) ασφάλισης και καθαρά χρηματοοικονομικά έσοδα/(έξοδα) αντασφάλισης</w:t>
      </w:r>
      <w:r w:rsidRPr="006A1797">
        <w:rPr>
          <w:rFonts w:ascii="Arial" w:eastAsia="Batang" w:hAnsi="Arial" w:cs="Arial"/>
          <w:color w:val="262626"/>
          <w:sz w:val="18"/>
          <w:szCs w:val="18"/>
          <w:lang w:val="el-GR" w:eastAsia="en-US"/>
        </w:rPr>
        <w:t>’</w:t>
      </w:r>
      <w:r w:rsidRPr="006A1797">
        <w:rPr>
          <w:rFonts w:ascii="Arial" w:eastAsia="Times New Roman" w:hAnsi="Arial" w:cs="Arial"/>
          <w:bCs/>
          <w:color w:val="000000"/>
          <w:sz w:val="18"/>
          <w:szCs w:val="18"/>
          <w:lang w:val="el-GR" w:eastAsia="en-US"/>
        </w:rPr>
        <w:t>, ‘</w:t>
      </w:r>
      <w:r w:rsidRPr="006A1797">
        <w:rPr>
          <w:rFonts w:ascii="Arial" w:eastAsia="Times New Roman" w:hAnsi="Arial" w:cs="Arial"/>
          <w:bCs/>
          <w:i/>
          <w:iCs/>
          <w:color w:val="000000"/>
          <w:sz w:val="18"/>
          <w:szCs w:val="18"/>
          <w:lang w:val="el-GR" w:eastAsia="en-US"/>
        </w:rPr>
        <w:t>Καθαρά αποτελέσματα από ασφαλιστικές υπηρεσίες</w:t>
      </w:r>
      <w:r w:rsidRPr="006A1797">
        <w:rPr>
          <w:rFonts w:ascii="Arial" w:eastAsia="Times New Roman" w:hAnsi="Arial" w:cs="Arial"/>
          <w:bCs/>
          <w:color w:val="000000"/>
          <w:sz w:val="18"/>
          <w:szCs w:val="18"/>
          <w:lang w:val="el-GR" w:eastAsia="en-US"/>
        </w:rPr>
        <w:t>’ και ‘</w:t>
      </w:r>
      <w:r w:rsidRPr="006A1797">
        <w:rPr>
          <w:rFonts w:ascii="Arial" w:eastAsia="Times New Roman" w:hAnsi="Arial" w:cs="Arial"/>
          <w:bCs/>
          <w:i/>
          <w:iCs/>
          <w:color w:val="000000"/>
          <w:sz w:val="18"/>
          <w:szCs w:val="18"/>
          <w:lang w:val="el-GR" w:eastAsia="en-US"/>
        </w:rPr>
        <w:t>Καθαρά αποτελέσματα από αντασφαλιστικές υπηρεσίες</w:t>
      </w:r>
      <w:r w:rsidRPr="006A1797">
        <w:rPr>
          <w:rFonts w:ascii="Arial" w:eastAsia="Times New Roman" w:hAnsi="Arial" w:cs="Arial"/>
          <w:bCs/>
          <w:color w:val="000000"/>
          <w:sz w:val="18"/>
          <w:szCs w:val="18"/>
          <w:lang w:val="el-GR" w:eastAsia="en-US"/>
        </w:rPr>
        <w:t>’ όπως περιλαμβάνονται στην απαιτούμενη από τη νομοθεσία βάση.</w:t>
      </w:r>
    </w:p>
    <w:p w14:paraId="26CDA636" w14:textId="77777777" w:rsidR="00273A9B" w:rsidRPr="006B5511" w:rsidRDefault="00273A9B" w:rsidP="00273A9B">
      <w:pPr>
        <w:spacing w:after="0" w:line="240" w:lineRule="auto"/>
        <w:ind w:left="284" w:right="-85"/>
        <w:jc w:val="both"/>
        <w:rPr>
          <w:rFonts w:ascii="Arial" w:eastAsia="Times New Roman" w:hAnsi="Arial" w:cs="Arial"/>
          <w:bCs/>
          <w:color w:val="000000"/>
          <w:sz w:val="18"/>
          <w:szCs w:val="18"/>
          <w:highlight w:val="yellow"/>
          <w:lang w:val="el-GR" w:eastAsia="en-US"/>
        </w:rPr>
      </w:pPr>
    </w:p>
    <w:p w14:paraId="3A6E3BB6" w14:textId="77777777" w:rsidR="00273A9B" w:rsidRPr="006A1797" w:rsidRDefault="00273A9B" w:rsidP="00273A9B">
      <w:pPr>
        <w:spacing w:after="0" w:line="240" w:lineRule="auto"/>
        <w:ind w:right="-85"/>
        <w:jc w:val="both"/>
        <w:rPr>
          <w:rFonts w:ascii="Arial" w:eastAsia="Times New Roman" w:hAnsi="Arial" w:cs="Arial"/>
          <w:bCs/>
          <w:color w:val="000000"/>
          <w:sz w:val="18"/>
          <w:szCs w:val="18"/>
          <w:lang w:val="el-GR" w:eastAsia="en-US"/>
        </w:rPr>
      </w:pPr>
      <w:r w:rsidRPr="006A1797">
        <w:rPr>
          <w:rFonts w:ascii="Arial" w:eastAsia="Times New Roman" w:hAnsi="Arial" w:cs="Arial"/>
          <w:bCs/>
          <w:color w:val="000000"/>
          <w:sz w:val="18"/>
          <w:szCs w:val="18"/>
          <w:lang w:val="el-GR" w:eastAsia="en-US"/>
        </w:rPr>
        <w:t>Οι διαφορές επαναταξινόμησης μεταξύ της απαιτούμενης από τη νομοθεσία βάσης και της υποκείμενης βάσης επεξηγούνται πιο κάτω:</w:t>
      </w:r>
    </w:p>
    <w:p w14:paraId="31F583A5" w14:textId="0EE08D5F" w:rsidR="00273A9B" w:rsidRPr="006A1797" w:rsidRDefault="00273A9B" w:rsidP="00273A9B">
      <w:pPr>
        <w:numPr>
          <w:ilvl w:val="0"/>
          <w:numId w:val="14"/>
        </w:numPr>
        <w:spacing w:after="0" w:line="240" w:lineRule="auto"/>
        <w:contextualSpacing/>
        <w:jc w:val="both"/>
        <w:rPr>
          <w:rFonts w:ascii="Arial" w:hAnsi="Arial" w:cs="Arial"/>
          <w:sz w:val="18"/>
          <w:szCs w:val="18"/>
          <w:lang w:val="el-GR"/>
        </w:rPr>
      </w:pPr>
      <w:r w:rsidRPr="006A1797">
        <w:rPr>
          <w:rFonts w:ascii="Arial" w:eastAsia="Times New Roman" w:hAnsi="Arial" w:cs="Arial"/>
          <w:sz w:val="18"/>
          <w:szCs w:val="18"/>
          <w:lang w:val="el-GR"/>
        </w:rPr>
        <w:t>‘</w:t>
      </w:r>
      <w:r w:rsidRPr="006A1797">
        <w:rPr>
          <w:rFonts w:ascii="Arial" w:eastAsia="Times New Roman" w:hAnsi="Arial" w:cs="Arial"/>
          <w:i/>
          <w:iCs/>
          <w:sz w:val="18"/>
          <w:szCs w:val="18"/>
          <w:lang w:val="el-GR"/>
        </w:rPr>
        <w:t>Καθαρά κέρδη από αποαναγνώριση χρηματοοικονομικών περιουσιακών στοιχείων που επιμετρούνται σε αποσβεσμένο κόστος</w:t>
      </w:r>
      <w:r w:rsidRPr="006A1797">
        <w:rPr>
          <w:rFonts w:ascii="Arial" w:eastAsia="Times New Roman" w:hAnsi="Arial" w:cs="Arial"/>
          <w:sz w:val="18"/>
          <w:szCs w:val="18"/>
          <w:lang w:val="el-GR"/>
        </w:rPr>
        <w:t>’ ύψους €</w:t>
      </w:r>
      <w:r w:rsidR="00F4518C" w:rsidRPr="006A1797">
        <w:rPr>
          <w:rFonts w:ascii="Arial" w:eastAsia="Times New Roman" w:hAnsi="Arial" w:cs="Arial"/>
          <w:sz w:val="18"/>
          <w:szCs w:val="18"/>
          <w:lang w:val="el-GR"/>
        </w:rPr>
        <w:t xml:space="preserve">1 </w:t>
      </w:r>
      <w:r w:rsidRPr="006A1797">
        <w:rPr>
          <w:rFonts w:ascii="Arial" w:eastAsia="Times New Roman" w:hAnsi="Arial" w:cs="Arial"/>
          <w:sz w:val="18"/>
          <w:szCs w:val="18"/>
          <w:lang w:val="el-GR"/>
        </w:rPr>
        <w:t>εκατ. στην απαιτούμενη από τη νομοθεσία βάση αποτελούνται από καθαρά κέρδη από αποαναγνώριση δανείων και απαιτήσεων από πελάτες τα οποία περιλαμβάνονται στις ‘</w:t>
      </w:r>
      <w:r w:rsidRPr="006A1797">
        <w:rPr>
          <w:rFonts w:ascii="Arial" w:eastAsia="Times New Roman" w:hAnsi="Arial" w:cs="Arial"/>
          <w:i/>
          <w:iCs/>
          <w:sz w:val="18"/>
          <w:szCs w:val="18"/>
          <w:lang w:val="el-GR"/>
        </w:rPr>
        <w:t>Πιστωτικές ζημιές δανείων</w:t>
      </w:r>
      <w:r w:rsidRPr="006A1797">
        <w:rPr>
          <w:rFonts w:ascii="Arial" w:eastAsia="Times New Roman" w:hAnsi="Arial" w:cs="Arial"/>
          <w:sz w:val="18"/>
          <w:szCs w:val="18"/>
          <w:lang w:val="el-GR"/>
        </w:rPr>
        <w:t>’ στην υποκείμενη βάση για να συνάδει η παρουσίασή τους με τις πιστωτικές ζημιές των δανείων και απαιτήσεων από πελάτες.</w:t>
      </w:r>
    </w:p>
    <w:p w14:paraId="32C81235" w14:textId="77777777" w:rsidR="00273A9B" w:rsidRPr="006A1797" w:rsidRDefault="00273A9B" w:rsidP="00273A9B">
      <w:pPr>
        <w:spacing w:after="0" w:line="240" w:lineRule="auto"/>
        <w:contextualSpacing/>
        <w:jc w:val="both"/>
        <w:rPr>
          <w:rFonts w:ascii="Arial" w:eastAsia="Times New Roman" w:hAnsi="Arial" w:cs="Arial"/>
          <w:sz w:val="18"/>
          <w:szCs w:val="18"/>
          <w:lang w:val="el-GR"/>
        </w:rPr>
      </w:pPr>
    </w:p>
    <w:p w14:paraId="406F36BF" w14:textId="1DD75855" w:rsidR="00273A9B" w:rsidRPr="006A1797" w:rsidRDefault="00273A9B" w:rsidP="00273A9B">
      <w:pPr>
        <w:numPr>
          <w:ilvl w:val="0"/>
          <w:numId w:val="14"/>
        </w:numPr>
        <w:spacing w:after="0" w:line="240" w:lineRule="auto"/>
        <w:contextualSpacing/>
        <w:jc w:val="both"/>
        <w:rPr>
          <w:rFonts w:ascii="Arial" w:eastAsia="Times New Roman" w:hAnsi="Arial" w:cs="Arial"/>
          <w:sz w:val="18"/>
          <w:szCs w:val="18"/>
          <w:lang w:val="el-GR"/>
        </w:rPr>
      </w:pPr>
      <w:r w:rsidRPr="006A1797">
        <w:rPr>
          <w:rFonts w:ascii="Arial" w:eastAsia="Times New Roman" w:hAnsi="Arial" w:cs="Arial"/>
          <w:sz w:val="18"/>
          <w:szCs w:val="18"/>
          <w:lang w:val="el-GR"/>
        </w:rPr>
        <w:t>Προβλέψεις για επιδικίες, υπό διαιτησία διαφορές, κανονιστικά και άλλα θέματα που ανέρχονται σε €</w:t>
      </w:r>
      <w:r w:rsidR="00C14454">
        <w:rPr>
          <w:rFonts w:ascii="Arial" w:eastAsia="Times New Roman" w:hAnsi="Arial" w:cs="Arial"/>
          <w:sz w:val="18"/>
          <w:szCs w:val="18"/>
          <w:lang w:val="el-GR"/>
        </w:rPr>
        <w:t>3</w:t>
      </w:r>
      <w:r w:rsidR="00F4518C" w:rsidRPr="006A1797">
        <w:rPr>
          <w:rFonts w:ascii="Arial" w:eastAsia="Times New Roman" w:hAnsi="Arial" w:cs="Arial"/>
          <w:sz w:val="18"/>
          <w:szCs w:val="18"/>
          <w:lang w:val="el-GR"/>
        </w:rPr>
        <w:t xml:space="preserve"> </w:t>
      </w:r>
      <w:r w:rsidRPr="006A1797">
        <w:rPr>
          <w:rFonts w:ascii="Arial" w:eastAsia="Times New Roman" w:hAnsi="Arial" w:cs="Arial"/>
          <w:sz w:val="18"/>
          <w:szCs w:val="18"/>
          <w:lang w:val="el-GR"/>
        </w:rPr>
        <w:t>εκατ. και παρουσιάζονται στα ‘</w:t>
      </w:r>
      <w:r w:rsidRPr="006A1797">
        <w:rPr>
          <w:rFonts w:ascii="Arial" w:eastAsia="Times New Roman" w:hAnsi="Arial" w:cs="Arial"/>
          <w:i/>
          <w:iCs/>
          <w:sz w:val="18"/>
          <w:szCs w:val="18"/>
          <w:lang w:val="el-GR"/>
        </w:rPr>
        <w:t>Λειτουργικά κέρδη πριν από πιστωτικές ζημιές και απομείωση</w:t>
      </w:r>
      <w:r w:rsidRPr="006A1797">
        <w:rPr>
          <w:rFonts w:ascii="Arial" w:eastAsia="Times New Roman" w:hAnsi="Arial" w:cs="Arial"/>
          <w:sz w:val="18"/>
          <w:szCs w:val="18"/>
          <w:lang w:val="el-GR"/>
        </w:rPr>
        <w:t>' στην απαιτούμενη από τη νομοθεσία βάση, στην υποκείμενη βάση παρουσιάζονται σε συνδυασμό με τις πιστωτικές ζημιές δανείων και τις απομειώσεις.</w:t>
      </w:r>
    </w:p>
    <w:p w14:paraId="05941FC5" w14:textId="77777777" w:rsidR="00273A9B" w:rsidRPr="006A1797" w:rsidRDefault="00273A9B" w:rsidP="00273A9B">
      <w:pPr>
        <w:spacing w:after="0" w:line="240" w:lineRule="auto"/>
        <w:contextualSpacing/>
        <w:jc w:val="both"/>
        <w:rPr>
          <w:rFonts w:ascii="Arial" w:eastAsia="Times New Roman" w:hAnsi="Arial" w:cs="Arial"/>
          <w:sz w:val="18"/>
          <w:szCs w:val="18"/>
          <w:lang w:val="el-GR"/>
        </w:rPr>
      </w:pPr>
    </w:p>
    <w:p w14:paraId="1E938F00" w14:textId="5ABE7016" w:rsidR="00273A9B" w:rsidRPr="006A1797" w:rsidRDefault="00273A9B" w:rsidP="00273A9B">
      <w:pPr>
        <w:numPr>
          <w:ilvl w:val="0"/>
          <w:numId w:val="14"/>
        </w:numPr>
        <w:spacing w:after="0" w:line="240" w:lineRule="auto"/>
        <w:contextualSpacing/>
        <w:jc w:val="both"/>
        <w:rPr>
          <w:rFonts w:ascii="Arial" w:eastAsia="Times New Roman" w:hAnsi="Arial" w:cs="Arial"/>
          <w:sz w:val="18"/>
          <w:szCs w:val="18"/>
          <w:lang w:val="el-GR"/>
        </w:rPr>
      </w:pPr>
      <w:r w:rsidRPr="006A1797">
        <w:rPr>
          <w:rFonts w:ascii="Arial" w:eastAsia="Times New Roman" w:hAnsi="Arial" w:cs="Arial"/>
          <w:sz w:val="18"/>
          <w:szCs w:val="18"/>
          <w:lang w:val="el-GR"/>
        </w:rPr>
        <w:t>Οι ‘</w:t>
      </w:r>
      <w:r w:rsidRPr="006A1797">
        <w:rPr>
          <w:rFonts w:ascii="Arial" w:eastAsia="Times New Roman" w:hAnsi="Arial" w:cs="Arial"/>
          <w:i/>
          <w:iCs/>
          <w:sz w:val="18"/>
          <w:szCs w:val="18"/>
          <w:lang w:val="el-GR"/>
        </w:rPr>
        <w:t>Πιστωτικές ζημιές χρηματοοικονομικών περιουσιακών στοιχείων</w:t>
      </w:r>
      <w:r w:rsidRPr="006A1797">
        <w:rPr>
          <w:rFonts w:ascii="Arial" w:eastAsia="Times New Roman" w:hAnsi="Arial" w:cs="Arial"/>
          <w:sz w:val="18"/>
          <w:szCs w:val="18"/>
          <w:lang w:val="el-GR"/>
        </w:rPr>
        <w:t>’ και η ‘</w:t>
      </w:r>
      <w:r w:rsidRPr="006A1797">
        <w:rPr>
          <w:rFonts w:ascii="Arial" w:eastAsia="Times New Roman" w:hAnsi="Arial" w:cs="Arial"/>
          <w:i/>
          <w:iCs/>
          <w:sz w:val="18"/>
          <w:szCs w:val="18"/>
          <w:lang w:val="el-GR"/>
        </w:rPr>
        <w:t>Απομείωση μετά την αναστροφή μη- χρηματοοικονομικών περιουσιακών στοιχείων</w:t>
      </w:r>
      <w:r w:rsidRPr="006A1797">
        <w:rPr>
          <w:rFonts w:ascii="Arial" w:eastAsia="Times New Roman" w:hAnsi="Arial" w:cs="Arial"/>
          <w:sz w:val="18"/>
          <w:szCs w:val="18"/>
          <w:lang w:val="el-GR"/>
        </w:rPr>
        <w:t xml:space="preserve">’ στην απαιτούμενη από τη νομοθεσία βάση περιλαμβάνουν: </w:t>
      </w:r>
      <w:r w:rsidRPr="006A1797">
        <w:rPr>
          <w:rFonts w:ascii="Arial" w:eastAsia="Times New Roman" w:hAnsi="Arial" w:cs="Arial"/>
          <w:sz w:val="18"/>
          <w:szCs w:val="18"/>
          <w:lang w:val="en-US"/>
        </w:rPr>
        <w:t>i</w:t>
      </w:r>
      <w:r w:rsidRPr="006A1797">
        <w:rPr>
          <w:rFonts w:ascii="Arial" w:eastAsia="Times New Roman" w:hAnsi="Arial" w:cs="Arial"/>
          <w:sz w:val="18"/>
          <w:szCs w:val="18"/>
          <w:lang w:val="el-GR"/>
        </w:rPr>
        <w:t>) πιστωτικές ζημιές για την κάλυψη πιστωτικού κινδύνου από δάνεια και απαιτήσεις από πελάτες ύψους €</w:t>
      </w:r>
      <w:r w:rsidR="00F4518C" w:rsidRPr="006A1797">
        <w:rPr>
          <w:rFonts w:ascii="Arial" w:eastAsia="Times New Roman" w:hAnsi="Arial" w:cs="Arial"/>
          <w:sz w:val="18"/>
          <w:szCs w:val="18"/>
          <w:lang w:val="el-GR"/>
        </w:rPr>
        <w:t xml:space="preserve">17 </w:t>
      </w:r>
      <w:r w:rsidRPr="006A1797">
        <w:rPr>
          <w:rFonts w:ascii="Arial" w:eastAsia="Times New Roman" w:hAnsi="Arial" w:cs="Arial"/>
          <w:sz w:val="18"/>
          <w:szCs w:val="18"/>
          <w:lang w:val="el-GR"/>
        </w:rPr>
        <w:t>εκατ., οι οποίες περιλαμβάνονται στις ‘</w:t>
      </w:r>
      <w:r w:rsidRPr="006A1797">
        <w:rPr>
          <w:rFonts w:ascii="Arial" w:eastAsia="Times New Roman" w:hAnsi="Arial" w:cs="Arial"/>
          <w:i/>
          <w:iCs/>
          <w:sz w:val="18"/>
          <w:szCs w:val="18"/>
          <w:lang w:val="el-GR"/>
        </w:rPr>
        <w:t>Πιστωτικές ζημιές δανείων</w:t>
      </w:r>
      <w:r w:rsidRPr="006A1797">
        <w:rPr>
          <w:rFonts w:ascii="Arial" w:eastAsia="Times New Roman" w:hAnsi="Arial" w:cs="Arial"/>
          <w:sz w:val="18"/>
          <w:szCs w:val="18"/>
          <w:lang w:val="el-GR"/>
        </w:rPr>
        <w:t xml:space="preserve">’ στην υποκείμενη βάση, και </w:t>
      </w:r>
      <w:r w:rsidRPr="006A1797">
        <w:rPr>
          <w:rFonts w:ascii="Arial" w:eastAsia="Times New Roman" w:hAnsi="Arial" w:cs="Arial"/>
          <w:sz w:val="18"/>
          <w:szCs w:val="18"/>
          <w:lang w:val="en-US"/>
        </w:rPr>
        <w:t>ii</w:t>
      </w:r>
      <w:r w:rsidRPr="006A1797">
        <w:rPr>
          <w:rFonts w:ascii="Arial" w:eastAsia="Times New Roman" w:hAnsi="Arial" w:cs="Arial"/>
          <w:sz w:val="18"/>
          <w:szCs w:val="18"/>
          <w:lang w:val="el-GR"/>
        </w:rPr>
        <w:t>) πιστωτικές ζημιές άλλων χρηματοοικονομικών περιουσιακών στοιχείων ύψους €0.</w:t>
      </w:r>
      <w:r w:rsidR="00F4518C" w:rsidRPr="006A1797">
        <w:rPr>
          <w:rFonts w:ascii="Arial" w:eastAsia="Times New Roman" w:hAnsi="Arial" w:cs="Arial"/>
          <w:sz w:val="18"/>
          <w:szCs w:val="18"/>
          <w:lang w:val="el-GR"/>
        </w:rPr>
        <w:t xml:space="preserve">3 </w:t>
      </w:r>
      <w:r w:rsidRPr="006A1797">
        <w:rPr>
          <w:rFonts w:ascii="Arial" w:eastAsia="Times New Roman" w:hAnsi="Arial" w:cs="Arial"/>
          <w:sz w:val="18"/>
          <w:szCs w:val="18"/>
          <w:lang w:val="el-GR"/>
        </w:rPr>
        <w:t>εκατ. και απομείωση μετά την αναστροφή μη-χρηματοοικονομικών περιουσιακών στοιχείων ύψους €</w:t>
      </w:r>
      <w:r w:rsidR="00C14454">
        <w:rPr>
          <w:rFonts w:ascii="Arial" w:eastAsia="Times New Roman" w:hAnsi="Arial" w:cs="Arial"/>
          <w:sz w:val="18"/>
          <w:szCs w:val="18"/>
          <w:lang w:val="el-GR"/>
        </w:rPr>
        <w:t>25</w:t>
      </w:r>
      <w:r w:rsidRPr="006A1797">
        <w:rPr>
          <w:rFonts w:ascii="Arial" w:eastAsia="Times New Roman" w:hAnsi="Arial" w:cs="Arial"/>
          <w:sz w:val="18"/>
          <w:szCs w:val="18"/>
          <w:lang w:val="el-GR"/>
        </w:rPr>
        <w:t xml:space="preserve"> εκατ., οι οποίες περιλαμβάνονται στην ‘</w:t>
      </w:r>
      <w:r w:rsidRPr="006A1797">
        <w:rPr>
          <w:rFonts w:ascii="Arial" w:eastAsia="Times New Roman" w:hAnsi="Arial" w:cs="Arial"/>
          <w:i/>
          <w:iCs/>
          <w:sz w:val="18"/>
          <w:szCs w:val="18"/>
          <w:lang w:val="el-GR"/>
        </w:rPr>
        <w:t>Απομείωση άλλων χρηματοοικονομικών και μη-χρηματοοικονομικών περιουσιακών στοιχείων</w:t>
      </w:r>
      <w:r w:rsidRPr="006A1797">
        <w:rPr>
          <w:rFonts w:ascii="Arial" w:eastAsia="Times New Roman" w:hAnsi="Arial" w:cs="Arial"/>
          <w:sz w:val="18"/>
          <w:szCs w:val="18"/>
          <w:lang w:val="el-GR"/>
        </w:rPr>
        <w:t>’ στην υποκείμενη βάση, ώστε να παρουσιάζονται ξεχωριστά από τις πιστωτικές ζημιές δανείων.</w:t>
      </w:r>
    </w:p>
    <w:p w14:paraId="33E852EA" w14:textId="77777777" w:rsidR="00273A9B" w:rsidRDefault="00273A9B" w:rsidP="00B043BD">
      <w:pPr>
        <w:rPr>
          <w:rFonts w:ascii="Arial" w:hAnsi="Arial" w:cs="Arial"/>
          <w:b/>
          <w:bCs/>
          <w:color w:val="FF9900"/>
          <w:sz w:val="24"/>
          <w:highlight w:val="yellow"/>
          <w:lang w:val="el-GR"/>
        </w:rPr>
      </w:pPr>
    </w:p>
    <w:p w14:paraId="309977CD" w14:textId="49F3EAE1" w:rsidR="00E74AC4" w:rsidRPr="005671DD" w:rsidRDefault="00273A9B" w:rsidP="00B043BD">
      <w:pPr>
        <w:rPr>
          <w:rFonts w:ascii="Arial" w:eastAsia="Times New Roman" w:hAnsi="Arial" w:cs="Arial"/>
          <w:sz w:val="18"/>
          <w:szCs w:val="18"/>
          <w:lang w:val="el-GR"/>
        </w:rPr>
      </w:pPr>
      <w:r w:rsidRPr="005671DD">
        <w:rPr>
          <w:rFonts w:ascii="Arial" w:hAnsi="Arial" w:cs="Arial"/>
          <w:b/>
          <w:bCs/>
          <w:color w:val="FF9900"/>
          <w:sz w:val="24"/>
          <w:lang w:val="el-GR"/>
        </w:rPr>
        <w:lastRenderedPageBreak/>
        <w:t>Β</w:t>
      </w:r>
      <w:r w:rsidR="007C51EB" w:rsidRPr="005671DD">
        <w:rPr>
          <w:rFonts w:ascii="Arial" w:hAnsi="Arial" w:cs="Arial"/>
          <w:b/>
          <w:bCs/>
          <w:color w:val="FF9900"/>
          <w:sz w:val="24"/>
          <w:lang w:val="el-GR"/>
        </w:rPr>
        <w:t xml:space="preserve">. Οικονομικά Αποτελέσματα Συγκροτήματος – Υποκείμενη Βάση </w:t>
      </w:r>
      <w:r w:rsidR="007C51EB" w:rsidRPr="005671DD">
        <w:rPr>
          <w:rFonts w:ascii="Arial" w:hAnsi="Arial" w:cs="Arial"/>
          <w:color w:val="FF9900"/>
          <w:sz w:val="24"/>
          <w:lang w:val="el-GR"/>
        </w:rPr>
        <w:t>(συνέχεια)</w:t>
      </w:r>
    </w:p>
    <w:p w14:paraId="742C9E8E" w14:textId="2D8687F7" w:rsidR="00352599" w:rsidRPr="005671DD" w:rsidRDefault="0026008F" w:rsidP="00B043BD">
      <w:pPr>
        <w:rPr>
          <w:rFonts w:ascii="Arial" w:hAnsi="Arial" w:cs="Arial"/>
          <w:b/>
          <w:bCs/>
          <w:color w:val="FF9900"/>
          <w:sz w:val="23"/>
          <w:szCs w:val="23"/>
          <w:lang w:val="el-GR"/>
        </w:rPr>
      </w:pPr>
      <w:r w:rsidRPr="005671DD">
        <w:rPr>
          <w:rFonts w:ascii="Arial" w:hAnsi="Arial" w:cs="Arial"/>
          <w:b/>
          <w:bCs/>
          <w:color w:val="FF9900"/>
          <w:sz w:val="23"/>
          <w:szCs w:val="23"/>
          <w:lang w:val="el-GR"/>
        </w:rPr>
        <w:t>Β</w:t>
      </w:r>
      <w:r w:rsidR="00352599" w:rsidRPr="005671DD">
        <w:rPr>
          <w:rFonts w:ascii="Arial" w:hAnsi="Arial" w:cs="Arial"/>
          <w:b/>
          <w:bCs/>
          <w:color w:val="FF9900"/>
          <w:sz w:val="23"/>
          <w:szCs w:val="23"/>
          <w:lang w:val="el-GR"/>
        </w:rPr>
        <w:t>.</w:t>
      </w:r>
      <w:r w:rsidR="00E74AC4" w:rsidRPr="005671DD">
        <w:rPr>
          <w:rFonts w:ascii="Arial" w:hAnsi="Arial" w:cs="Arial"/>
          <w:b/>
          <w:bCs/>
          <w:color w:val="FF9900"/>
          <w:sz w:val="23"/>
          <w:szCs w:val="23"/>
          <w:lang w:val="el-GR"/>
        </w:rPr>
        <w:t xml:space="preserve">2 </w:t>
      </w:r>
      <w:r w:rsidR="00352599" w:rsidRPr="005671DD">
        <w:rPr>
          <w:rFonts w:ascii="Arial" w:hAnsi="Arial" w:cs="Arial"/>
          <w:b/>
          <w:bCs/>
          <w:color w:val="FF9900"/>
          <w:sz w:val="23"/>
          <w:szCs w:val="23"/>
          <w:lang w:val="el-GR"/>
        </w:rPr>
        <w:t>Ανάλυση Ισολογισμού</w:t>
      </w:r>
    </w:p>
    <w:p w14:paraId="6ECBB235" w14:textId="1D1ADA7C" w:rsidR="00352599" w:rsidRPr="005671DD" w:rsidRDefault="0026008F" w:rsidP="00B043BD">
      <w:pPr>
        <w:rPr>
          <w:rFonts w:ascii="Arial" w:hAnsi="Arial" w:cs="Arial"/>
          <w:b/>
          <w:bCs/>
          <w:color w:val="FF9900"/>
          <w:lang w:val="el-GR"/>
        </w:rPr>
      </w:pPr>
      <w:r w:rsidRPr="005671DD">
        <w:rPr>
          <w:rFonts w:ascii="Arial" w:hAnsi="Arial" w:cs="Arial"/>
          <w:b/>
          <w:bCs/>
          <w:color w:val="FF9900"/>
          <w:lang w:val="el-GR"/>
        </w:rPr>
        <w:t>Β</w:t>
      </w:r>
      <w:r w:rsidR="00352599" w:rsidRPr="005671DD">
        <w:rPr>
          <w:rFonts w:ascii="Arial" w:hAnsi="Arial" w:cs="Arial"/>
          <w:b/>
          <w:bCs/>
          <w:color w:val="FF9900"/>
          <w:lang w:val="el-GR"/>
        </w:rPr>
        <w:t>.</w:t>
      </w:r>
      <w:r w:rsidR="00E74AC4" w:rsidRPr="005671DD">
        <w:rPr>
          <w:rFonts w:ascii="Arial" w:hAnsi="Arial" w:cs="Arial"/>
          <w:b/>
          <w:bCs/>
          <w:color w:val="FF9900"/>
          <w:lang w:val="el-GR"/>
        </w:rPr>
        <w:t>2</w:t>
      </w:r>
      <w:r w:rsidR="00352599" w:rsidRPr="005671DD">
        <w:rPr>
          <w:rFonts w:ascii="Arial" w:hAnsi="Arial" w:cs="Arial"/>
          <w:b/>
          <w:bCs/>
          <w:color w:val="FF9900"/>
          <w:lang w:val="el-GR"/>
        </w:rPr>
        <w:t>.1</w:t>
      </w:r>
      <w:r w:rsidR="00E74AC4" w:rsidRPr="005671DD">
        <w:rPr>
          <w:rFonts w:ascii="Arial" w:hAnsi="Arial" w:cs="Arial"/>
          <w:b/>
          <w:bCs/>
          <w:color w:val="FF9900"/>
          <w:lang w:val="el-GR"/>
        </w:rPr>
        <w:t xml:space="preserve"> </w:t>
      </w:r>
      <w:r w:rsidR="00352599" w:rsidRPr="005671DD">
        <w:rPr>
          <w:rFonts w:ascii="Arial" w:hAnsi="Arial" w:cs="Arial"/>
          <w:b/>
          <w:bCs/>
          <w:color w:val="FF9900"/>
          <w:lang w:val="el-GR"/>
        </w:rPr>
        <w:t xml:space="preserve">Κεφαλαιακή Βάση </w:t>
      </w:r>
    </w:p>
    <w:p w14:paraId="17808894" w14:textId="33060D93" w:rsidR="00352599" w:rsidRPr="005671DD" w:rsidRDefault="00352599" w:rsidP="00CB0EEF">
      <w:pPr>
        <w:spacing w:after="0" w:line="240" w:lineRule="auto"/>
        <w:jc w:val="both"/>
        <w:rPr>
          <w:rFonts w:ascii="Arial" w:hAnsi="Arial" w:cs="Arial"/>
          <w:sz w:val="18"/>
          <w:szCs w:val="18"/>
          <w:lang w:val="el-GR"/>
        </w:rPr>
      </w:pPr>
      <w:r w:rsidRPr="005671DD">
        <w:rPr>
          <w:rFonts w:ascii="Arial" w:hAnsi="Arial" w:cs="Arial"/>
          <w:sz w:val="18"/>
          <w:szCs w:val="18"/>
          <w:lang w:val="el-GR"/>
        </w:rPr>
        <w:t xml:space="preserve">Το </w:t>
      </w:r>
      <w:r w:rsidRPr="005671DD">
        <w:rPr>
          <w:rFonts w:ascii="Arial" w:hAnsi="Arial" w:cs="Arial"/>
          <w:b/>
          <w:bCs/>
          <w:sz w:val="18"/>
          <w:szCs w:val="18"/>
          <w:lang w:val="el-GR"/>
        </w:rPr>
        <w:t xml:space="preserve">σύνολο </w:t>
      </w:r>
      <w:r w:rsidR="002C2201" w:rsidRPr="005671DD">
        <w:rPr>
          <w:rFonts w:ascii="Arial" w:hAnsi="Arial" w:cs="Arial"/>
          <w:b/>
          <w:bCs/>
          <w:sz w:val="18"/>
          <w:szCs w:val="18"/>
          <w:lang w:val="el-GR"/>
        </w:rPr>
        <w:t xml:space="preserve">ιδίων </w:t>
      </w:r>
      <w:r w:rsidRPr="005671DD">
        <w:rPr>
          <w:rFonts w:ascii="Arial" w:hAnsi="Arial" w:cs="Arial"/>
          <w:b/>
          <w:bCs/>
          <w:sz w:val="18"/>
          <w:szCs w:val="18"/>
          <w:lang w:val="el-GR"/>
        </w:rPr>
        <w:t>κεφαλαίων εξαιρουμένων των δικαιωμάτων μειοψηφίας</w:t>
      </w:r>
      <w:r w:rsidRPr="005671DD">
        <w:rPr>
          <w:rFonts w:ascii="Arial" w:hAnsi="Arial" w:cs="Arial"/>
          <w:sz w:val="18"/>
          <w:szCs w:val="18"/>
          <w:lang w:val="el-GR"/>
        </w:rPr>
        <w:t xml:space="preserve"> ανήλθε </w:t>
      </w:r>
      <w:r w:rsidR="00C85957" w:rsidRPr="005671DD">
        <w:rPr>
          <w:rFonts w:ascii="Arial" w:hAnsi="Arial" w:cs="Arial"/>
          <w:sz w:val="18"/>
          <w:szCs w:val="18"/>
          <w:lang w:val="el-GR"/>
        </w:rPr>
        <w:t xml:space="preserve">σε </w:t>
      </w:r>
      <w:r w:rsidR="00DE6AC0" w:rsidRPr="005671DD">
        <w:rPr>
          <w:rFonts w:ascii="Arial" w:hAnsi="Arial" w:cs="Arial"/>
          <w:bCs/>
          <w:sz w:val="18"/>
          <w:szCs w:val="18"/>
          <w:lang w:val="el-GR"/>
        </w:rPr>
        <w:t>€</w:t>
      </w:r>
      <w:r w:rsidR="005671DD" w:rsidRPr="006A1797">
        <w:rPr>
          <w:rFonts w:ascii="Arial" w:hAnsi="Arial" w:cs="Arial"/>
          <w:bCs/>
          <w:sz w:val="18"/>
          <w:szCs w:val="18"/>
          <w:lang w:val="el-GR"/>
        </w:rPr>
        <w:t>2,607</w:t>
      </w:r>
      <w:r w:rsidR="005671DD" w:rsidRPr="005671DD">
        <w:rPr>
          <w:rFonts w:ascii="Arial" w:hAnsi="Arial" w:cs="Arial"/>
          <w:bCs/>
          <w:sz w:val="18"/>
          <w:szCs w:val="18"/>
          <w:lang w:val="el-GR"/>
        </w:rPr>
        <w:t xml:space="preserve"> </w:t>
      </w:r>
      <w:r w:rsidR="00C85957" w:rsidRPr="005671DD">
        <w:rPr>
          <w:rFonts w:ascii="Arial" w:hAnsi="Arial" w:cs="Arial"/>
          <w:sz w:val="18"/>
          <w:szCs w:val="18"/>
          <w:lang w:val="el-GR"/>
        </w:rPr>
        <w:t xml:space="preserve">εκατ. στις </w:t>
      </w:r>
      <w:r w:rsidR="00B53267" w:rsidRPr="005671DD">
        <w:rPr>
          <w:rFonts w:ascii="Arial" w:hAnsi="Arial" w:cs="Arial"/>
          <w:sz w:val="18"/>
          <w:szCs w:val="18"/>
          <w:lang w:val="el-GR"/>
        </w:rPr>
        <w:t xml:space="preserve">30 Ιουνίου </w:t>
      </w:r>
      <w:r w:rsidR="00835D84" w:rsidRPr="005671DD">
        <w:rPr>
          <w:rFonts w:ascii="Arial" w:hAnsi="Arial" w:cs="Arial"/>
          <w:sz w:val="18"/>
          <w:szCs w:val="18"/>
          <w:lang w:val="el-GR"/>
        </w:rPr>
        <w:t>2024</w:t>
      </w:r>
      <w:r w:rsidR="00C85957" w:rsidRPr="005671DD">
        <w:rPr>
          <w:rFonts w:ascii="Arial" w:hAnsi="Arial" w:cs="Arial"/>
          <w:sz w:val="18"/>
          <w:szCs w:val="18"/>
          <w:lang w:val="el-GR"/>
        </w:rPr>
        <w:t>, σε σύγκριση με</w:t>
      </w:r>
      <w:r w:rsidR="00B53267" w:rsidRPr="005671DD">
        <w:rPr>
          <w:rFonts w:ascii="Arial" w:hAnsi="Arial" w:cs="Arial"/>
          <w:sz w:val="18"/>
          <w:szCs w:val="18"/>
          <w:lang w:val="el-GR"/>
        </w:rPr>
        <w:t xml:space="preserve"> </w:t>
      </w:r>
      <w:r w:rsidR="00B53267" w:rsidRPr="005671DD">
        <w:rPr>
          <w:rFonts w:ascii="Arial" w:hAnsi="Arial" w:cs="Arial"/>
          <w:bCs/>
          <w:sz w:val="18"/>
          <w:szCs w:val="18"/>
          <w:lang w:val="el-GR"/>
        </w:rPr>
        <w:t xml:space="preserve">€2,601 </w:t>
      </w:r>
      <w:r w:rsidR="00B53267" w:rsidRPr="005671DD">
        <w:rPr>
          <w:rFonts w:ascii="Arial" w:hAnsi="Arial" w:cs="Arial"/>
          <w:sz w:val="18"/>
          <w:szCs w:val="18"/>
          <w:lang w:val="el-GR"/>
        </w:rPr>
        <w:t>εκατ. στις 31 Μαρτίου 2024</w:t>
      </w:r>
      <w:r w:rsidR="00C85957" w:rsidRPr="005671DD">
        <w:rPr>
          <w:rFonts w:ascii="Arial" w:hAnsi="Arial" w:cs="Arial"/>
          <w:sz w:val="18"/>
          <w:szCs w:val="18"/>
          <w:lang w:val="el-GR"/>
        </w:rPr>
        <w:t xml:space="preserve"> </w:t>
      </w:r>
      <w:r w:rsidR="00B53267" w:rsidRPr="005671DD">
        <w:rPr>
          <w:rFonts w:ascii="Arial" w:hAnsi="Arial" w:cs="Arial"/>
          <w:sz w:val="18"/>
          <w:szCs w:val="18"/>
          <w:lang w:val="el-GR"/>
        </w:rPr>
        <w:t xml:space="preserve">και με </w:t>
      </w:r>
      <w:r w:rsidR="00E74AC4" w:rsidRPr="005671DD">
        <w:rPr>
          <w:rFonts w:ascii="Arial" w:hAnsi="Arial" w:cs="Arial"/>
          <w:bCs/>
          <w:sz w:val="18"/>
          <w:szCs w:val="18"/>
          <w:lang w:val="el-GR"/>
        </w:rPr>
        <w:t>€</w:t>
      </w:r>
      <w:r w:rsidR="00835D84" w:rsidRPr="005671DD">
        <w:rPr>
          <w:rFonts w:ascii="Arial" w:hAnsi="Arial" w:cs="Arial"/>
          <w:bCs/>
          <w:sz w:val="18"/>
          <w:szCs w:val="18"/>
          <w:lang w:val="el-GR"/>
        </w:rPr>
        <w:t xml:space="preserve">2,467 </w:t>
      </w:r>
      <w:r w:rsidR="00E74AC4" w:rsidRPr="005671DD">
        <w:rPr>
          <w:rFonts w:ascii="Arial" w:hAnsi="Arial" w:cs="Arial"/>
          <w:sz w:val="18"/>
          <w:szCs w:val="18"/>
          <w:lang w:val="el-GR"/>
        </w:rPr>
        <w:t xml:space="preserve">εκατ. στις </w:t>
      </w:r>
      <w:r w:rsidR="00835D84" w:rsidRPr="005671DD">
        <w:rPr>
          <w:rFonts w:ascii="Arial" w:hAnsi="Arial" w:cs="Arial"/>
          <w:sz w:val="18"/>
          <w:szCs w:val="18"/>
          <w:lang w:val="el-GR"/>
        </w:rPr>
        <w:t xml:space="preserve">31 Δεκεμβρίου </w:t>
      </w:r>
      <w:r w:rsidR="00E74AC4" w:rsidRPr="005671DD">
        <w:rPr>
          <w:rFonts w:ascii="Arial" w:hAnsi="Arial" w:cs="Arial"/>
          <w:sz w:val="18"/>
          <w:szCs w:val="18"/>
          <w:lang w:val="el-GR"/>
        </w:rPr>
        <w:t>2023</w:t>
      </w:r>
      <w:r w:rsidR="00B53267" w:rsidRPr="005671DD">
        <w:rPr>
          <w:rFonts w:ascii="Arial" w:hAnsi="Arial" w:cs="Arial"/>
          <w:sz w:val="18"/>
          <w:szCs w:val="18"/>
          <w:lang w:val="el-GR"/>
        </w:rPr>
        <w:t xml:space="preserve">. </w:t>
      </w:r>
      <w:r w:rsidR="00B137E1" w:rsidRPr="005671DD">
        <w:rPr>
          <w:rFonts w:ascii="Arial" w:hAnsi="Arial" w:cs="Arial"/>
          <w:sz w:val="18"/>
          <w:szCs w:val="18"/>
          <w:lang w:val="el-GR"/>
        </w:rPr>
        <w:t xml:space="preserve">Τα </w:t>
      </w:r>
      <w:r w:rsidRPr="005671DD">
        <w:rPr>
          <w:rFonts w:ascii="Arial" w:hAnsi="Arial" w:cs="Arial"/>
          <w:sz w:val="18"/>
          <w:szCs w:val="18"/>
          <w:lang w:val="el-GR"/>
        </w:rPr>
        <w:t xml:space="preserve">ίδια κεφάλαια </w:t>
      </w:r>
      <w:r w:rsidR="002C2201" w:rsidRPr="005671DD">
        <w:rPr>
          <w:rFonts w:ascii="Arial" w:hAnsi="Arial" w:cs="Arial"/>
          <w:sz w:val="18"/>
          <w:szCs w:val="18"/>
          <w:lang w:val="el-GR"/>
        </w:rPr>
        <w:t xml:space="preserve">που αναλογούν στους ιδιοκτήτες </w:t>
      </w:r>
      <w:r w:rsidRPr="005671DD">
        <w:rPr>
          <w:rFonts w:ascii="Arial" w:hAnsi="Arial" w:cs="Arial"/>
          <w:sz w:val="18"/>
          <w:szCs w:val="18"/>
          <w:lang w:val="el-GR"/>
        </w:rPr>
        <w:t>της Εταιρίας διαμορφώθηκαν</w:t>
      </w:r>
      <w:r w:rsidRPr="005671DD">
        <w:rPr>
          <w:rFonts w:ascii="Arial" w:hAnsi="Arial" w:cs="Arial"/>
          <w:bCs/>
          <w:sz w:val="18"/>
          <w:szCs w:val="28"/>
          <w:lang w:val="el-GR"/>
        </w:rPr>
        <w:t xml:space="preserve"> σε</w:t>
      </w:r>
      <w:r w:rsidR="00B137E1" w:rsidRPr="005671DD">
        <w:rPr>
          <w:rFonts w:ascii="Arial" w:hAnsi="Arial" w:cs="Arial"/>
          <w:bCs/>
          <w:sz w:val="18"/>
          <w:szCs w:val="28"/>
          <w:lang w:val="el-GR"/>
        </w:rPr>
        <w:t xml:space="preserve"> </w:t>
      </w:r>
      <w:r w:rsidR="00DE6AC0" w:rsidRPr="005671DD">
        <w:rPr>
          <w:rFonts w:ascii="Arial" w:hAnsi="Arial" w:cs="Arial"/>
          <w:sz w:val="18"/>
          <w:szCs w:val="18"/>
          <w:lang w:val="el-GR"/>
        </w:rPr>
        <w:t>€</w:t>
      </w:r>
      <w:r w:rsidR="005671DD" w:rsidRPr="006A1797">
        <w:rPr>
          <w:rFonts w:ascii="Arial" w:hAnsi="Arial" w:cs="Arial"/>
          <w:sz w:val="18"/>
          <w:szCs w:val="18"/>
          <w:lang w:val="el-GR"/>
        </w:rPr>
        <w:t>2,387</w:t>
      </w:r>
      <w:r w:rsidR="005671DD" w:rsidRPr="005671DD">
        <w:rPr>
          <w:rFonts w:ascii="Arial" w:hAnsi="Arial" w:cs="Arial"/>
          <w:color w:val="FF0000"/>
          <w:sz w:val="18"/>
          <w:szCs w:val="18"/>
          <w:lang w:val="el-GR"/>
        </w:rPr>
        <w:t xml:space="preserve"> </w:t>
      </w:r>
      <w:r w:rsidR="00B137E1" w:rsidRPr="005671DD">
        <w:rPr>
          <w:rFonts w:ascii="Arial" w:hAnsi="Arial" w:cs="Arial"/>
          <w:sz w:val="18"/>
          <w:szCs w:val="18"/>
          <w:lang w:val="el-GR"/>
        </w:rPr>
        <w:t xml:space="preserve">εκατ. στις </w:t>
      </w:r>
      <w:r w:rsidR="00B53267" w:rsidRPr="005671DD">
        <w:rPr>
          <w:rFonts w:ascii="Arial" w:hAnsi="Arial" w:cs="Arial"/>
          <w:sz w:val="18"/>
          <w:szCs w:val="18"/>
          <w:lang w:val="el-GR"/>
        </w:rPr>
        <w:t xml:space="preserve">30 Ιουνίου </w:t>
      </w:r>
      <w:r w:rsidR="00835D84" w:rsidRPr="005671DD">
        <w:rPr>
          <w:rFonts w:ascii="Arial" w:hAnsi="Arial" w:cs="Arial"/>
          <w:sz w:val="18"/>
          <w:szCs w:val="18"/>
          <w:lang w:val="el-GR"/>
        </w:rPr>
        <w:t>2024</w:t>
      </w:r>
      <w:r w:rsidR="00B137E1" w:rsidRPr="005671DD">
        <w:rPr>
          <w:rFonts w:ascii="Arial" w:hAnsi="Arial" w:cs="Arial"/>
          <w:sz w:val="18"/>
          <w:szCs w:val="18"/>
          <w:lang w:val="el-GR"/>
        </w:rPr>
        <w:t>, σε σύγκριση με</w:t>
      </w:r>
      <w:r w:rsidR="00B53267" w:rsidRPr="005671DD">
        <w:rPr>
          <w:rFonts w:ascii="Arial" w:hAnsi="Arial" w:cs="Arial"/>
          <w:sz w:val="18"/>
          <w:szCs w:val="18"/>
          <w:lang w:val="el-GR"/>
        </w:rPr>
        <w:t xml:space="preserve"> €2,381 εκατ. στις 31 Μαρτίου 2024</w:t>
      </w:r>
      <w:r w:rsidR="00B137E1" w:rsidRPr="005671DD">
        <w:rPr>
          <w:rFonts w:ascii="Arial" w:hAnsi="Arial" w:cs="Arial"/>
          <w:sz w:val="18"/>
          <w:szCs w:val="18"/>
          <w:lang w:val="el-GR"/>
        </w:rPr>
        <w:t xml:space="preserve"> </w:t>
      </w:r>
      <w:r w:rsidR="00B53267" w:rsidRPr="005671DD">
        <w:rPr>
          <w:rFonts w:ascii="Arial" w:hAnsi="Arial" w:cs="Arial"/>
          <w:sz w:val="18"/>
          <w:szCs w:val="18"/>
          <w:lang w:val="el-GR"/>
        </w:rPr>
        <w:t xml:space="preserve">και με </w:t>
      </w:r>
      <w:r w:rsidR="00257F18" w:rsidRPr="005671DD">
        <w:rPr>
          <w:rFonts w:ascii="Arial" w:hAnsi="Arial" w:cs="Arial"/>
          <w:sz w:val="18"/>
          <w:szCs w:val="18"/>
          <w:lang w:val="el-GR"/>
        </w:rPr>
        <w:t>€</w:t>
      </w:r>
      <w:r w:rsidR="00835D84" w:rsidRPr="005671DD">
        <w:rPr>
          <w:rFonts w:ascii="Arial" w:hAnsi="Arial" w:cs="Arial"/>
          <w:sz w:val="18"/>
          <w:szCs w:val="18"/>
          <w:lang w:val="el-GR"/>
        </w:rPr>
        <w:t xml:space="preserve">2,247 </w:t>
      </w:r>
      <w:r w:rsidR="00D426B6" w:rsidRPr="005671DD">
        <w:rPr>
          <w:rFonts w:ascii="Arial" w:hAnsi="Arial" w:cs="Arial"/>
          <w:sz w:val="18"/>
          <w:szCs w:val="18"/>
          <w:lang w:val="el-GR"/>
        </w:rPr>
        <w:t xml:space="preserve">εκατ. στις </w:t>
      </w:r>
      <w:r w:rsidR="00835D84" w:rsidRPr="005671DD">
        <w:rPr>
          <w:rFonts w:ascii="Arial" w:hAnsi="Arial" w:cs="Arial"/>
          <w:sz w:val="18"/>
          <w:szCs w:val="18"/>
          <w:lang w:val="el-GR"/>
        </w:rPr>
        <w:t xml:space="preserve">31 Δεκεμβρίου </w:t>
      </w:r>
      <w:r w:rsidR="00D426B6" w:rsidRPr="005671DD">
        <w:rPr>
          <w:rFonts w:ascii="Arial" w:hAnsi="Arial" w:cs="Arial"/>
          <w:sz w:val="18"/>
          <w:szCs w:val="18"/>
          <w:lang w:val="el-GR"/>
        </w:rPr>
        <w:t>2023</w:t>
      </w:r>
      <w:r w:rsidR="00B53267" w:rsidRPr="005671DD">
        <w:rPr>
          <w:rFonts w:ascii="Arial" w:hAnsi="Arial" w:cs="Arial"/>
          <w:sz w:val="18"/>
          <w:szCs w:val="18"/>
          <w:lang w:val="el-GR"/>
        </w:rPr>
        <w:t>.</w:t>
      </w:r>
    </w:p>
    <w:p w14:paraId="390449D7" w14:textId="77777777" w:rsidR="00352599" w:rsidRPr="005671DD" w:rsidRDefault="00352599" w:rsidP="00CB0EEF">
      <w:pPr>
        <w:spacing w:after="0" w:line="240" w:lineRule="auto"/>
        <w:jc w:val="both"/>
        <w:rPr>
          <w:rFonts w:ascii="Arial" w:hAnsi="Arial" w:cs="Arial"/>
          <w:sz w:val="18"/>
          <w:szCs w:val="18"/>
          <w:lang w:val="el-GR"/>
        </w:rPr>
      </w:pPr>
    </w:p>
    <w:p w14:paraId="4991D8A3" w14:textId="11D49B70" w:rsidR="003F2BB4" w:rsidRPr="00F4518C" w:rsidRDefault="00352599" w:rsidP="00CB0EEF">
      <w:pPr>
        <w:spacing w:after="0" w:line="240" w:lineRule="auto"/>
        <w:jc w:val="both"/>
        <w:rPr>
          <w:rFonts w:ascii="Arial" w:hAnsi="Arial" w:cs="Arial"/>
          <w:sz w:val="18"/>
          <w:szCs w:val="18"/>
          <w:highlight w:val="yellow"/>
          <w:lang w:val="el-GR"/>
        </w:rPr>
      </w:pPr>
      <w:r w:rsidRPr="005671DD">
        <w:rPr>
          <w:rFonts w:ascii="Arial" w:hAnsi="Arial" w:cs="Arial"/>
          <w:bCs/>
          <w:sz w:val="18"/>
          <w:szCs w:val="18"/>
          <w:lang w:val="el-GR"/>
        </w:rPr>
        <w:t xml:space="preserve">Ο </w:t>
      </w:r>
      <w:r w:rsidRPr="005671DD">
        <w:rPr>
          <w:rFonts w:ascii="Arial" w:hAnsi="Arial" w:cs="Arial"/>
          <w:b/>
          <w:bCs/>
          <w:sz w:val="18"/>
          <w:szCs w:val="18"/>
          <w:lang w:val="el-GR"/>
        </w:rPr>
        <w:t>δείκτης Κεφαλαίου Κοινών Μετοχών Κατηγορίας 1 (CET1) με μεταβατικές διατάξεις</w:t>
      </w:r>
      <w:r w:rsidR="00DF5FD1" w:rsidRPr="005671DD">
        <w:rPr>
          <w:rFonts w:ascii="Arial" w:hAnsi="Arial" w:cs="Arial"/>
          <w:b/>
          <w:bCs/>
          <w:sz w:val="18"/>
          <w:szCs w:val="18"/>
          <w:lang w:val="el-GR"/>
        </w:rPr>
        <w:t xml:space="preserve"> </w:t>
      </w:r>
      <w:r w:rsidR="00761A46" w:rsidRPr="005671DD">
        <w:rPr>
          <w:rFonts w:ascii="Arial" w:hAnsi="Arial" w:cs="Arial"/>
          <w:b/>
          <w:bCs/>
          <w:sz w:val="18"/>
          <w:lang w:val="el-GR"/>
        </w:rPr>
        <w:t>υπολογισμένος για εποπτικούς σκοπούς</w:t>
      </w:r>
      <w:r w:rsidR="00DF5FD1" w:rsidRPr="005671DD">
        <w:rPr>
          <w:rFonts w:ascii="Arial" w:hAnsi="Arial" w:cs="Arial"/>
          <w:sz w:val="18"/>
          <w:szCs w:val="18"/>
          <w:lang w:val="el-GR"/>
        </w:rPr>
        <w:t xml:space="preserve"> </w:t>
      </w:r>
      <w:r w:rsidRPr="005671DD">
        <w:rPr>
          <w:rFonts w:ascii="Arial" w:hAnsi="Arial" w:cs="Arial"/>
          <w:bCs/>
          <w:sz w:val="18"/>
          <w:szCs w:val="18"/>
          <w:lang w:val="el-GR"/>
        </w:rPr>
        <w:t xml:space="preserve">ανήλθε </w:t>
      </w:r>
      <w:r w:rsidR="006E3CD7">
        <w:rPr>
          <w:rFonts w:ascii="Arial" w:hAnsi="Arial" w:cs="Arial"/>
          <w:bCs/>
          <w:sz w:val="18"/>
          <w:szCs w:val="18"/>
          <w:lang w:val="el-GR"/>
        </w:rPr>
        <w:t xml:space="preserve">σε </w:t>
      </w:r>
      <w:r w:rsidR="005671DD" w:rsidRPr="006A1797">
        <w:rPr>
          <w:rFonts w:ascii="Arial" w:hAnsi="Arial" w:cs="Arial"/>
          <w:bCs/>
          <w:sz w:val="18"/>
          <w:szCs w:val="18"/>
          <w:lang w:val="el-GR"/>
        </w:rPr>
        <w:t>18.3</w:t>
      </w:r>
      <w:r w:rsidR="00590687" w:rsidRPr="005671DD">
        <w:rPr>
          <w:rFonts w:ascii="Arial" w:hAnsi="Arial" w:cs="Arial"/>
          <w:bCs/>
          <w:sz w:val="18"/>
          <w:szCs w:val="18"/>
          <w:lang w:val="el-GR"/>
        </w:rPr>
        <w:t>% στις 30 Ιουνίου 2024 σε σύγκριση με 1</w:t>
      </w:r>
      <w:r w:rsidR="00017B11" w:rsidRPr="005671DD">
        <w:rPr>
          <w:rFonts w:ascii="Arial" w:hAnsi="Arial" w:cs="Arial"/>
          <w:bCs/>
          <w:sz w:val="18"/>
          <w:szCs w:val="18"/>
          <w:lang w:val="el-GR"/>
        </w:rPr>
        <w:t>7</w:t>
      </w:r>
      <w:r w:rsidR="002221F1" w:rsidRPr="005671DD">
        <w:rPr>
          <w:rFonts w:ascii="Arial" w:hAnsi="Arial" w:cs="Arial"/>
          <w:bCs/>
          <w:sz w:val="18"/>
          <w:szCs w:val="18"/>
          <w:lang w:val="el-GR"/>
        </w:rPr>
        <w:t>.</w:t>
      </w:r>
      <w:r w:rsidR="007B0B94" w:rsidRPr="005671DD">
        <w:rPr>
          <w:rFonts w:ascii="Arial" w:hAnsi="Arial" w:cs="Arial"/>
          <w:bCs/>
          <w:sz w:val="18"/>
          <w:szCs w:val="18"/>
          <w:lang w:val="el-GR"/>
        </w:rPr>
        <w:t>1</w:t>
      </w:r>
      <w:r w:rsidR="00FD1FF7" w:rsidRPr="005671DD">
        <w:rPr>
          <w:rFonts w:ascii="Arial" w:hAnsi="Arial" w:cs="Arial"/>
          <w:bCs/>
          <w:sz w:val="18"/>
          <w:szCs w:val="18"/>
          <w:lang w:val="el-GR"/>
        </w:rPr>
        <w:t xml:space="preserve">% στις </w:t>
      </w:r>
      <w:r w:rsidR="00AA5B33" w:rsidRPr="005671DD">
        <w:rPr>
          <w:rFonts w:ascii="Arial" w:hAnsi="Arial" w:cs="Arial"/>
          <w:sz w:val="18"/>
          <w:szCs w:val="18"/>
          <w:lang w:val="el-GR"/>
        </w:rPr>
        <w:t xml:space="preserve">31 </w:t>
      </w:r>
      <w:r w:rsidR="007B0B94" w:rsidRPr="002F7ED3">
        <w:rPr>
          <w:rFonts w:ascii="Arial" w:hAnsi="Arial" w:cs="Arial"/>
          <w:sz w:val="18"/>
          <w:szCs w:val="18"/>
          <w:lang w:val="el-GR"/>
        </w:rPr>
        <w:t>Μαρτίου 2024</w:t>
      </w:r>
      <w:r w:rsidR="00590687" w:rsidRPr="002F7ED3">
        <w:rPr>
          <w:rFonts w:ascii="Arial" w:hAnsi="Arial" w:cs="Arial"/>
          <w:sz w:val="18"/>
          <w:szCs w:val="18"/>
          <w:lang w:val="el-GR"/>
        </w:rPr>
        <w:t xml:space="preserve"> (ή 17.6% συμπεριλαμβάνοντας τα κέρδη για το α’ τρίμηνο 2024, μειωμένα για σχετική πρόβλεψη για διανομή) και με </w:t>
      </w:r>
      <w:r w:rsidR="00AA5B33" w:rsidRPr="002F7ED3">
        <w:rPr>
          <w:rFonts w:ascii="Arial" w:hAnsi="Arial" w:cs="Arial"/>
          <w:sz w:val="18"/>
          <w:szCs w:val="18"/>
          <w:lang w:val="el-GR"/>
        </w:rPr>
        <w:t>1</w:t>
      </w:r>
      <w:r w:rsidR="007B0B94" w:rsidRPr="002F7ED3">
        <w:rPr>
          <w:rFonts w:ascii="Arial" w:hAnsi="Arial" w:cs="Arial"/>
          <w:sz w:val="18"/>
          <w:szCs w:val="18"/>
          <w:lang w:val="el-GR"/>
        </w:rPr>
        <w:t>7</w:t>
      </w:r>
      <w:r w:rsidR="00AA5B33" w:rsidRPr="002F7ED3">
        <w:rPr>
          <w:rFonts w:ascii="Arial" w:hAnsi="Arial" w:cs="Arial"/>
          <w:sz w:val="18"/>
          <w:szCs w:val="18"/>
          <w:lang w:val="el-GR"/>
        </w:rPr>
        <w:t>.</w:t>
      </w:r>
      <w:r w:rsidR="007B0B94" w:rsidRPr="002F7ED3">
        <w:rPr>
          <w:rFonts w:ascii="Arial" w:hAnsi="Arial" w:cs="Arial"/>
          <w:sz w:val="18"/>
          <w:szCs w:val="18"/>
          <w:lang w:val="el-GR"/>
        </w:rPr>
        <w:t>4</w:t>
      </w:r>
      <w:r w:rsidR="00AA5B33" w:rsidRPr="002F7ED3">
        <w:rPr>
          <w:rFonts w:ascii="Arial" w:hAnsi="Arial" w:cs="Arial"/>
          <w:sz w:val="18"/>
          <w:szCs w:val="18"/>
          <w:lang w:val="el-GR"/>
        </w:rPr>
        <w:t xml:space="preserve">% στις </w:t>
      </w:r>
      <w:r w:rsidR="007B0B94" w:rsidRPr="002F7ED3">
        <w:rPr>
          <w:rFonts w:ascii="Arial" w:hAnsi="Arial" w:cs="Arial"/>
          <w:sz w:val="18"/>
          <w:szCs w:val="18"/>
          <w:lang w:val="el-GR"/>
        </w:rPr>
        <w:t xml:space="preserve">31 Δεκεμβρίου </w:t>
      </w:r>
      <w:r w:rsidR="00AA5B33" w:rsidRPr="002F7ED3">
        <w:rPr>
          <w:rFonts w:ascii="Arial" w:hAnsi="Arial" w:cs="Arial"/>
          <w:sz w:val="18"/>
          <w:szCs w:val="18"/>
          <w:lang w:val="el-GR"/>
        </w:rPr>
        <w:t>2023</w:t>
      </w:r>
      <w:r w:rsidR="007B0B94" w:rsidRPr="002F7ED3">
        <w:rPr>
          <w:rFonts w:ascii="Arial" w:hAnsi="Arial" w:cs="Arial"/>
          <w:sz w:val="18"/>
          <w:szCs w:val="18"/>
          <w:lang w:val="el-GR"/>
        </w:rPr>
        <w:t>.</w:t>
      </w:r>
      <w:r w:rsidR="00590687" w:rsidRPr="002F7ED3">
        <w:rPr>
          <w:rFonts w:ascii="Arial" w:hAnsi="Arial" w:cs="Arial"/>
          <w:sz w:val="18"/>
          <w:szCs w:val="18"/>
          <w:lang w:val="el-GR"/>
        </w:rPr>
        <w:t xml:space="preserve"> </w:t>
      </w:r>
      <w:r w:rsidR="005E53BC" w:rsidRPr="002F7ED3">
        <w:rPr>
          <w:rFonts w:ascii="Arial" w:hAnsi="Arial" w:cs="Arial"/>
          <w:sz w:val="18"/>
          <w:szCs w:val="18"/>
          <w:lang w:val="el-GR"/>
        </w:rPr>
        <w:t xml:space="preserve">Σε αυτή την ανακοίνωση, </w:t>
      </w:r>
      <w:r w:rsidR="005E53BC" w:rsidRPr="002F7ED3">
        <w:rPr>
          <w:rFonts w:ascii="Arial" w:hAnsi="Arial" w:cs="Arial"/>
          <w:sz w:val="18"/>
          <w:szCs w:val="18"/>
          <w:lang w:val="en-US"/>
        </w:rPr>
        <w:t>o</w:t>
      </w:r>
      <w:r w:rsidR="005E53BC" w:rsidRPr="002F7ED3">
        <w:rPr>
          <w:rFonts w:ascii="Arial" w:hAnsi="Arial" w:cs="Arial"/>
          <w:sz w:val="18"/>
          <w:szCs w:val="18"/>
          <w:lang w:val="el-GR"/>
        </w:rPr>
        <w:t xml:space="preserve">ι δείκτες κεφαλαίων υπολογισμένοι για εποπτικούς σκοπούς στις </w:t>
      </w:r>
      <w:r w:rsidR="00590687" w:rsidRPr="002F7ED3">
        <w:rPr>
          <w:rFonts w:ascii="Arial" w:hAnsi="Arial" w:cs="Arial"/>
          <w:sz w:val="18"/>
          <w:szCs w:val="18"/>
          <w:lang w:val="el-GR"/>
        </w:rPr>
        <w:t xml:space="preserve">30 Ιουνίου </w:t>
      </w:r>
      <w:r w:rsidR="005E53BC" w:rsidRPr="002F7ED3">
        <w:rPr>
          <w:rFonts w:ascii="Arial" w:hAnsi="Arial" w:cs="Arial"/>
          <w:sz w:val="18"/>
          <w:szCs w:val="18"/>
          <w:lang w:val="el-GR"/>
        </w:rPr>
        <w:t>2024</w:t>
      </w:r>
      <w:r w:rsidR="00590687" w:rsidRPr="002F7ED3">
        <w:rPr>
          <w:rFonts w:ascii="Arial" w:hAnsi="Arial" w:cs="Arial"/>
          <w:sz w:val="18"/>
          <w:szCs w:val="18"/>
          <w:lang w:val="el-GR"/>
        </w:rPr>
        <w:t xml:space="preserve"> περιλαμβάνουν επισκοπημένα κέρδη για το α΄ εξάμηνο 2024</w:t>
      </w:r>
      <w:r w:rsidR="002F7ED3" w:rsidRPr="006A1797">
        <w:rPr>
          <w:rFonts w:ascii="Arial" w:hAnsi="Arial" w:cs="Arial"/>
          <w:sz w:val="18"/>
          <w:szCs w:val="18"/>
          <w:lang w:val="el-GR"/>
        </w:rPr>
        <w:t>, βάσει της απόφασης (ΕΕ) (2015/656) της Ευρωπαϊκής Κεντρικής Τράπεζας (‘ΕΚΤ’) όπου επιτρέπεται η αναγνώριση της ενδιάμεσης</w:t>
      </w:r>
      <w:r w:rsidR="00D2651C">
        <w:rPr>
          <w:rFonts w:ascii="Arial" w:hAnsi="Arial" w:cs="Arial"/>
          <w:sz w:val="18"/>
          <w:szCs w:val="18"/>
          <w:lang w:val="el-GR"/>
        </w:rPr>
        <w:t xml:space="preserve"> ή τελικής</w:t>
      </w:r>
      <w:r w:rsidR="002F7ED3" w:rsidRPr="006A1797">
        <w:rPr>
          <w:rFonts w:ascii="Arial" w:hAnsi="Arial" w:cs="Arial"/>
          <w:sz w:val="18"/>
          <w:szCs w:val="18"/>
          <w:lang w:val="el-GR"/>
        </w:rPr>
        <w:t xml:space="preserve"> κερδοφορίας στο δείκτη Κεφαλαίου Κοινών Μετοχών Κατηγορίας 1 (</w:t>
      </w:r>
      <w:r w:rsidR="002F7ED3" w:rsidRPr="006A1797">
        <w:rPr>
          <w:rFonts w:ascii="Arial" w:hAnsi="Arial" w:cs="Arial"/>
          <w:sz w:val="18"/>
          <w:szCs w:val="18"/>
        </w:rPr>
        <w:t>CET</w:t>
      </w:r>
      <w:r w:rsidR="002F7ED3" w:rsidRPr="006A1797">
        <w:rPr>
          <w:rFonts w:ascii="Arial" w:hAnsi="Arial" w:cs="Arial"/>
          <w:sz w:val="18"/>
          <w:szCs w:val="18"/>
          <w:lang w:val="el-GR"/>
        </w:rPr>
        <w:t>1) σύμφωνα με το άρθρο 26(2) του Κανονισμού Κεφαλαιακών Απαιτήσεων (</w:t>
      </w:r>
      <w:r w:rsidR="002F7ED3" w:rsidRPr="006A1797">
        <w:rPr>
          <w:rFonts w:ascii="Arial" w:hAnsi="Arial" w:cs="Arial"/>
          <w:sz w:val="18"/>
          <w:szCs w:val="18"/>
        </w:rPr>
        <w:t>CRR</w:t>
      </w:r>
      <w:r w:rsidR="002F7ED3" w:rsidRPr="006A1797">
        <w:rPr>
          <w:rFonts w:ascii="Arial" w:hAnsi="Arial" w:cs="Arial"/>
          <w:sz w:val="18"/>
          <w:szCs w:val="18"/>
          <w:lang w:val="el-GR"/>
        </w:rPr>
        <w:t>),</w:t>
      </w:r>
      <w:r w:rsidR="00590687" w:rsidRPr="002F7ED3">
        <w:rPr>
          <w:rFonts w:ascii="Arial" w:hAnsi="Arial" w:cs="Arial"/>
          <w:sz w:val="18"/>
          <w:szCs w:val="18"/>
          <w:lang w:val="el-GR"/>
        </w:rPr>
        <w:t xml:space="preserve"> μειωμένα για σχετική πρόβλεψη για διανομή </w:t>
      </w:r>
      <w:r w:rsidR="005E53BC" w:rsidRPr="002F7ED3">
        <w:rPr>
          <w:rFonts w:ascii="Arial" w:hAnsi="Arial" w:cs="Arial"/>
          <w:sz w:val="18"/>
          <w:szCs w:val="18"/>
          <w:lang w:val="el-GR"/>
        </w:rPr>
        <w:t>στο υψηλότερο ποσοστό (‘payout ratio’) της εγκεκριμένης πολιτικής διανομής του Συγκροτήματος</w:t>
      </w:r>
      <w:r w:rsidR="00590687" w:rsidRPr="002F7ED3">
        <w:rPr>
          <w:rFonts w:ascii="Arial" w:hAnsi="Arial" w:cs="Arial"/>
          <w:sz w:val="18"/>
          <w:szCs w:val="18"/>
          <w:lang w:val="el-GR"/>
        </w:rPr>
        <w:t xml:space="preserve">, </w:t>
      </w:r>
      <w:r w:rsidR="00FC7B3F" w:rsidRPr="002F7ED3">
        <w:rPr>
          <w:rFonts w:ascii="Arial" w:hAnsi="Arial" w:cs="Arial"/>
          <w:sz w:val="18"/>
          <w:szCs w:val="18"/>
          <w:lang w:val="el-GR"/>
        </w:rPr>
        <w:t xml:space="preserve">σύμφωνα με τις </w:t>
      </w:r>
      <w:r w:rsidR="00FC7B3F" w:rsidRPr="000A6583">
        <w:rPr>
          <w:rFonts w:ascii="Arial" w:hAnsi="Arial" w:cs="Arial"/>
          <w:sz w:val="18"/>
          <w:szCs w:val="18"/>
          <w:lang w:val="el-GR"/>
        </w:rPr>
        <w:t>αρχές του κατ’ εξουσιοδότηση Κανονισμού της (ΕΕ) αριθ. 241/2014</w:t>
      </w:r>
      <w:r w:rsidR="00590687" w:rsidRPr="000A6583">
        <w:rPr>
          <w:rFonts w:ascii="Arial" w:hAnsi="Arial" w:cs="Arial"/>
          <w:sz w:val="18"/>
          <w:szCs w:val="18"/>
          <w:lang w:val="el-GR"/>
        </w:rPr>
        <w:t xml:space="preserve"> (οι δείκτες αυτοί αναφέρονται ως εποπτικοί). </w:t>
      </w:r>
      <w:bookmarkStart w:id="6" w:name="_Hlk134961273"/>
      <w:r w:rsidR="002879B6" w:rsidRPr="000A6583">
        <w:rPr>
          <w:rFonts w:ascii="Arial" w:hAnsi="Arial" w:cs="Arial"/>
          <w:sz w:val="18"/>
          <w:szCs w:val="18"/>
          <w:lang w:val="el-GR"/>
        </w:rPr>
        <w:t xml:space="preserve">Με βάση την </w:t>
      </w:r>
      <w:r w:rsidR="00E25C49" w:rsidRPr="000A6583">
        <w:rPr>
          <w:rFonts w:ascii="Arial" w:hAnsi="Arial" w:cs="Arial"/>
          <w:sz w:val="18"/>
          <w:szCs w:val="18"/>
          <w:lang w:val="el-GR"/>
        </w:rPr>
        <w:t>τελευταία</w:t>
      </w:r>
      <w:r w:rsidR="002879B6" w:rsidRPr="000A6583">
        <w:rPr>
          <w:rFonts w:ascii="Arial" w:hAnsi="Arial" w:cs="Arial"/>
          <w:sz w:val="18"/>
          <w:szCs w:val="18"/>
          <w:lang w:val="el-GR"/>
        </w:rPr>
        <w:t xml:space="preserve"> απόφαση ΔΕΕΑ, οποιαδήποτε διανομή</w:t>
      </w:r>
      <w:r w:rsidR="00D81D0A" w:rsidRPr="000A6583">
        <w:rPr>
          <w:rFonts w:ascii="Arial" w:hAnsi="Arial" w:cs="Arial"/>
          <w:sz w:val="18"/>
          <w:szCs w:val="18"/>
          <w:lang w:val="el-GR"/>
        </w:rPr>
        <w:t xml:space="preserve"> </w:t>
      </w:r>
      <w:r w:rsidR="002879B6" w:rsidRPr="000A6583">
        <w:rPr>
          <w:rFonts w:ascii="Arial" w:hAnsi="Arial" w:cs="Arial"/>
          <w:sz w:val="18"/>
          <w:szCs w:val="18"/>
          <w:lang w:val="el-GR"/>
        </w:rPr>
        <w:t>υπόκειται σε εποπτική έγκριση.</w:t>
      </w:r>
      <w:r w:rsidR="00C23775" w:rsidRPr="000A6583">
        <w:rPr>
          <w:rFonts w:ascii="Arial" w:hAnsi="Arial" w:cs="Arial"/>
          <w:sz w:val="18"/>
          <w:szCs w:val="18"/>
          <w:lang w:val="el-GR"/>
        </w:rPr>
        <w:t xml:space="preserve"> </w:t>
      </w:r>
      <w:r w:rsidR="00FE6150" w:rsidRPr="000A6583">
        <w:rPr>
          <w:rFonts w:ascii="Arial" w:hAnsi="Arial" w:cs="Arial"/>
          <w:sz w:val="18"/>
          <w:szCs w:val="18"/>
          <w:lang w:val="el-GR"/>
        </w:rPr>
        <w:t>Η πρόβλεψη για διανομή από τα κέρδη του 2024 δεν αποτελεί δέσμευση για πληρωμή διανομής ούτε αποτελεί εγγύηση ή διαβεβαίωση ότι θα γίνει πληρωμή διανομής.</w:t>
      </w:r>
      <w:r w:rsidR="00B5190E" w:rsidRPr="000A6583">
        <w:rPr>
          <w:rFonts w:ascii="Arial" w:hAnsi="Arial" w:cs="Arial"/>
          <w:sz w:val="18"/>
          <w:szCs w:val="18"/>
          <w:lang w:val="el-GR"/>
        </w:rPr>
        <w:t xml:space="preserve"> </w:t>
      </w:r>
      <w:r w:rsidR="001000B3" w:rsidRPr="000A6583">
        <w:rPr>
          <w:rFonts w:ascii="Arial" w:hAnsi="Arial" w:cs="Arial"/>
          <w:sz w:val="18"/>
          <w:szCs w:val="18"/>
          <w:lang w:val="el-GR"/>
        </w:rPr>
        <w:t xml:space="preserve">Από τον Σεπτέμβριο 2023, </w:t>
      </w:r>
      <w:r w:rsidR="00DD6416" w:rsidRPr="000A6583">
        <w:rPr>
          <w:rFonts w:ascii="Arial" w:hAnsi="Arial" w:cs="Arial"/>
          <w:sz w:val="18"/>
          <w:szCs w:val="18"/>
          <w:lang w:val="el-GR"/>
        </w:rPr>
        <w:t>επιβάρυνση</w:t>
      </w:r>
      <w:r w:rsidR="001000B3" w:rsidRPr="000A6583">
        <w:rPr>
          <w:rFonts w:ascii="Arial" w:hAnsi="Arial" w:cs="Arial"/>
          <w:sz w:val="18"/>
          <w:szCs w:val="18"/>
          <w:lang w:val="el-GR"/>
        </w:rPr>
        <w:t xml:space="preserve"> </w:t>
      </w:r>
      <w:r w:rsidR="00DD6416" w:rsidRPr="000A6583">
        <w:rPr>
          <w:rFonts w:ascii="Arial" w:hAnsi="Arial" w:cs="Arial"/>
          <w:sz w:val="18"/>
          <w:szCs w:val="18"/>
          <w:lang w:val="el-GR"/>
        </w:rPr>
        <w:t>αφαιρείται από τα ίδια κεφάλαια και αφορά τις προληπτικές προβλέψεις της ΕΚΤ για τα Μη Εξυπηρετούμενα Δάνεια</w:t>
      </w:r>
      <w:r w:rsidR="001000B3" w:rsidRPr="000A6583">
        <w:rPr>
          <w:rFonts w:ascii="Arial" w:hAnsi="Arial" w:cs="Arial"/>
          <w:sz w:val="18"/>
          <w:szCs w:val="18"/>
          <w:lang w:val="el-GR"/>
        </w:rPr>
        <w:t>, η οποία ανήλθε σε</w:t>
      </w:r>
      <w:r w:rsidR="00B2282B" w:rsidRPr="000A6583">
        <w:rPr>
          <w:rFonts w:ascii="Arial" w:hAnsi="Arial" w:cs="Arial"/>
          <w:sz w:val="18"/>
          <w:szCs w:val="18"/>
          <w:lang w:val="el-GR"/>
        </w:rPr>
        <w:t xml:space="preserve"> </w:t>
      </w:r>
      <w:r w:rsidR="000A6583" w:rsidRPr="006A1797">
        <w:rPr>
          <w:rFonts w:ascii="Arial" w:hAnsi="Arial" w:cs="Arial"/>
          <w:sz w:val="18"/>
          <w:szCs w:val="18"/>
          <w:lang w:val="el-GR"/>
        </w:rPr>
        <w:t xml:space="preserve">26 </w:t>
      </w:r>
      <w:r w:rsidR="00B2282B" w:rsidRPr="000A6583">
        <w:rPr>
          <w:rFonts w:ascii="Arial" w:hAnsi="Arial" w:cs="Arial"/>
          <w:sz w:val="18"/>
          <w:szCs w:val="18"/>
          <w:lang w:val="el-GR"/>
        </w:rPr>
        <w:t>μ.β</w:t>
      </w:r>
      <w:r w:rsidR="000537EC">
        <w:rPr>
          <w:rFonts w:ascii="Arial" w:hAnsi="Arial" w:cs="Arial"/>
          <w:sz w:val="18"/>
          <w:szCs w:val="18"/>
          <w:lang w:val="el-GR"/>
        </w:rPr>
        <w:t>.</w:t>
      </w:r>
      <w:r w:rsidR="00B2282B" w:rsidRPr="000A6583">
        <w:rPr>
          <w:rFonts w:ascii="Arial" w:hAnsi="Arial" w:cs="Arial"/>
          <w:sz w:val="18"/>
          <w:szCs w:val="18"/>
          <w:lang w:val="el-GR"/>
        </w:rPr>
        <w:t xml:space="preserve"> στις 30 Ιουνίου 2024, σε σύγκριση με</w:t>
      </w:r>
      <w:r w:rsidR="001000B3" w:rsidRPr="000A6583">
        <w:rPr>
          <w:rFonts w:ascii="Arial" w:hAnsi="Arial" w:cs="Arial"/>
          <w:sz w:val="18"/>
          <w:szCs w:val="18"/>
          <w:lang w:val="el-GR"/>
        </w:rPr>
        <w:t xml:space="preserve"> 32 μ.β. στις 31 Μαρτίου 2024</w:t>
      </w:r>
      <w:r w:rsidR="00B2282B" w:rsidRPr="000A6583">
        <w:rPr>
          <w:rFonts w:ascii="Arial" w:hAnsi="Arial" w:cs="Arial"/>
          <w:sz w:val="18"/>
          <w:szCs w:val="18"/>
          <w:lang w:val="el-GR"/>
        </w:rPr>
        <w:t xml:space="preserve"> και</w:t>
      </w:r>
      <w:r w:rsidR="000A6583" w:rsidRPr="006A1797">
        <w:rPr>
          <w:rFonts w:ascii="Arial" w:hAnsi="Arial" w:cs="Arial"/>
          <w:sz w:val="18"/>
          <w:szCs w:val="18"/>
          <w:lang w:val="el-GR"/>
        </w:rPr>
        <w:t xml:space="preserve"> </w:t>
      </w:r>
      <w:r w:rsidR="00B2282B" w:rsidRPr="000A6583">
        <w:rPr>
          <w:rFonts w:ascii="Arial" w:hAnsi="Arial" w:cs="Arial"/>
          <w:sz w:val="18"/>
          <w:szCs w:val="18"/>
          <w:lang w:val="el-GR"/>
        </w:rPr>
        <w:t>31 Δεκεμβρίου 2023.</w:t>
      </w:r>
      <w:r w:rsidR="001000B3" w:rsidRPr="000A6583">
        <w:rPr>
          <w:rFonts w:ascii="Arial" w:hAnsi="Arial" w:cs="Arial"/>
          <w:sz w:val="18"/>
          <w:szCs w:val="18"/>
          <w:lang w:val="el-GR"/>
        </w:rPr>
        <w:t xml:space="preserve"> </w:t>
      </w:r>
      <w:r w:rsidR="00DE4728" w:rsidRPr="000A6583">
        <w:rPr>
          <w:rFonts w:ascii="Arial" w:hAnsi="Arial" w:cs="Arial"/>
          <w:sz w:val="18"/>
          <w:szCs w:val="18"/>
          <w:lang w:val="el-GR"/>
        </w:rPr>
        <w:t>Εποπτική επιβάρυνση, σε σχέση με</w:t>
      </w:r>
      <w:r w:rsidR="001000B3" w:rsidRPr="000A6583">
        <w:rPr>
          <w:rFonts w:ascii="Arial" w:hAnsi="Arial" w:cs="Arial"/>
          <w:sz w:val="18"/>
          <w:szCs w:val="18"/>
          <w:lang w:val="el-GR"/>
        </w:rPr>
        <w:t xml:space="preserve"> μια</w:t>
      </w:r>
      <w:r w:rsidR="00DE4728" w:rsidRPr="000A6583">
        <w:rPr>
          <w:rFonts w:ascii="Arial" w:hAnsi="Arial" w:cs="Arial"/>
          <w:sz w:val="18"/>
          <w:szCs w:val="18"/>
          <w:lang w:val="el-GR"/>
        </w:rPr>
        <w:t xml:space="preserve"> επιτόπια επιθεώρηση που αφορά την αξία των περιουσιακών στοιχείων που περιέρχονται στην κυριότητα του Συγκροτήματος μέσω εκποιήσεων, αφαιρείται από τα ίδια κεφάλαια από τον Ιούνιο 2021, η επίδραση της οποίας </w:t>
      </w:r>
      <w:r w:rsidR="00B5190E" w:rsidRPr="000A6583">
        <w:rPr>
          <w:rFonts w:ascii="Arial" w:hAnsi="Arial" w:cs="Arial"/>
          <w:sz w:val="18"/>
          <w:szCs w:val="18"/>
          <w:lang w:val="el-GR"/>
        </w:rPr>
        <w:t xml:space="preserve">ανήλθε </w:t>
      </w:r>
      <w:r w:rsidR="00DE4728" w:rsidRPr="000A6583">
        <w:rPr>
          <w:rFonts w:ascii="Arial" w:hAnsi="Arial" w:cs="Arial"/>
          <w:sz w:val="18"/>
          <w:szCs w:val="18"/>
          <w:lang w:val="el-GR"/>
        </w:rPr>
        <w:t xml:space="preserve">σε </w:t>
      </w:r>
      <w:r w:rsidR="000A6583" w:rsidRPr="006A1797">
        <w:rPr>
          <w:rFonts w:ascii="Arial" w:hAnsi="Arial" w:cs="Arial"/>
          <w:sz w:val="18"/>
          <w:szCs w:val="18"/>
          <w:lang w:val="el-GR"/>
        </w:rPr>
        <w:t xml:space="preserve">7 </w:t>
      </w:r>
      <w:r w:rsidR="00DE4728" w:rsidRPr="000A6583">
        <w:rPr>
          <w:rFonts w:ascii="Arial" w:hAnsi="Arial" w:cs="Arial"/>
          <w:sz w:val="18"/>
          <w:szCs w:val="18"/>
          <w:lang w:val="el-GR"/>
        </w:rPr>
        <w:t xml:space="preserve">μ.β. στον δείκτη Κεφαλαίου Κοινών Μετοχών Κατηγορίας 1 (CET1) του Συγκροτήματος στις </w:t>
      </w:r>
      <w:r w:rsidR="00B2282B" w:rsidRPr="000A6583">
        <w:rPr>
          <w:rFonts w:ascii="Arial" w:hAnsi="Arial" w:cs="Arial"/>
          <w:sz w:val="18"/>
          <w:szCs w:val="18"/>
          <w:lang w:val="el-GR"/>
        </w:rPr>
        <w:t xml:space="preserve">30 Ιουνίου </w:t>
      </w:r>
      <w:r w:rsidR="00DD6416" w:rsidRPr="000A6583">
        <w:rPr>
          <w:rFonts w:ascii="Arial" w:hAnsi="Arial" w:cs="Arial"/>
          <w:sz w:val="18"/>
          <w:szCs w:val="18"/>
          <w:lang w:val="el-GR"/>
        </w:rPr>
        <w:t>2024</w:t>
      </w:r>
      <w:r w:rsidR="001000B3" w:rsidRPr="000A6583">
        <w:rPr>
          <w:rFonts w:ascii="Arial" w:hAnsi="Arial" w:cs="Arial"/>
          <w:sz w:val="18"/>
          <w:szCs w:val="18"/>
          <w:lang w:val="el-GR"/>
        </w:rPr>
        <w:t xml:space="preserve"> (σε σύγκριση με</w:t>
      </w:r>
      <w:r w:rsidR="00B2282B" w:rsidRPr="000A6583">
        <w:rPr>
          <w:rFonts w:ascii="Arial" w:hAnsi="Arial" w:cs="Arial"/>
          <w:sz w:val="18"/>
          <w:szCs w:val="18"/>
          <w:lang w:val="el-GR"/>
        </w:rPr>
        <w:t xml:space="preserve"> 10 μ.β. στον δείκτη Κεφαλαίου Κοινών Μετοχών Κατηγορίας 1 (CET1) στις 31 Μαρτίου 2024 και με</w:t>
      </w:r>
      <w:r w:rsidR="001000B3" w:rsidRPr="000A6583">
        <w:rPr>
          <w:rFonts w:ascii="Arial" w:hAnsi="Arial" w:cs="Arial"/>
          <w:sz w:val="18"/>
          <w:szCs w:val="18"/>
          <w:lang w:val="el-GR"/>
        </w:rPr>
        <w:t xml:space="preserve"> 12 μ.β. στις 31 Δεκεμβρίου 2023)</w:t>
      </w:r>
      <w:r w:rsidR="00DE4728" w:rsidRPr="000A6583">
        <w:rPr>
          <w:rFonts w:ascii="Arial" w:hAnsi="Arial" w:cs="Arial"/>
          <w:sz w:val="18"/>
          <w:szCs w:val="18"/>
          <w:lang w:val="el-GR"/>
        </w:rPr>
        <w:t>.</w:t>
      </w:r>
      <w:r w:rsidR="00B2282B" w:rsidRPr="000A6583">
        <w:rPr>
          <w:rFonts w:ascii="Arial" w:hAnsi="Arial" w:cs="Arial"/>
          <w:sz w:val="18"/>
          <w:szCs w:val="18"/>
          <w:lang w:val="el-GR"/>
        </w:rPr>
        <w:t xml:space="preserve"> </w:t>
      </w:r>
      <w:r w:rsidR="00DE4728" w:rsidRPr="000A6583">
        <w:rPr>
          <w:rFonts w:ascii="Arial" w:hAnsi="Arial" w:cs="Arial"/>
          <w:sz w:val="18"/>
          <w:szCs w:val="18"/>
          <w:lang w:val="el-GR"/>
        </w:rPr>
        <w:t>Επιπλέον, το Συγκρότημα υπόκειται σε</w:t>
      </w:r>
      <w:r w:rsidR="00FB0FE7" w:rsidRPr="000A6583">
        <w:rPr>
          <w:rFonts w:ascii="Arial" w:hAnsi="Arial" w:cs="Arial"/>
          <w:sz w:val="18"/>
          <w:szCs w:val="18"/>
          <w:lang w:val="el-GR"/>
        </w:rPr>
        <w:t xml:space="preserve"> αυξημένες</w:t>
      </w:r>
      <w:r w:rsidR="00DE4728" w:rsidRPr="000A6583">
        <w:rPr>
          <w:rFonts w:ascii="Arial" w:hAnsi="Arial" w:cs="Arial"/>
          <w:sz w:val="18"/>
          <w:szCs w:val="18"/>
          <w:lang w:val="el-GR"/>
        </w:rPr>
        <w:t xml:space="preserve"> κεφαλαιακές απαιτήσεις σε σχέση με το χαρτοφυλάκιο ανακτηθέντων ακινήτων, οι οποίες ακολουθούν πρόνοια της ΔΕΕΑ για τήρηση ενός ελάχιστου επίπεδου κεφαλαίου έναντι ακίνητων περιουσιακών στοιχείων που κατέχονται μακροπρόθεσμα. Το επίπεδο κεφαλαίου που τηρείται παραμένει δυναμικό και μεταβάλλεται σε σχέση με τα ακίνητα εντός του πεδίου εφαρμογής που διαχειρίζεται η Διεύθυνση Διαχείρισης Ακινήτων (ΔΔΑ) του Συγκροτήματος τα οποία παραμένουν στον ισολογισμό του Συγκροτήματος και την αξία των εν λόγω ακινήτων. Στις </w:t>
      </w:r>
      <w:r w:rsidR="008D4934" w:rsidRPr="000A6583">
        <w:rPr>
          <w:rFonts w:ascii="Arial" w:hAnsi="Arial" w:cs="Arial"/>
          <w:sz w:val="18"/>
          <w:szCs w:val="18"/>
          <w:lang w:val="el-GR"/>
        </w:rPr>
        <w:t xml:space="preserve">30 Ιουνίου </w:t>
      </w:r>
      <w:r w:rsidR="00DD6416" w:rsidRPr="000A6583">
        <w:rPr>
          <w:rFonts w:ascii="Arial" w:hAnsi="Arial" w:cs="Arial"/>
          <w:sz w:val="18"/>
          <w:szCs w:val="18"/>
          <w:lang w:val="el-GR"/>
        </w:rPr>
        <w:t>2024</w:t>
      </w:r>
      <w:r w:rsidR="00DE4728" w:rsidRPr="000A6583">
        <w:rPr>
          <w:rFonts w:ascii="Arial" w:hAnsi="Arial" w:cs="Arial"/>
          <w:sz w:val="18"/>
          <w:szCs w:val="18"/>
          <w:lang w:val="el-GR"/>
        </w:rPr>
        <w:t xml:space="preserve">, η επίδραση της απαίτησης αυτής </w:t>
      </w:r>
      <w:r w:rsidR="00CD3D6D" w:rsidRPr="000A6583">
        <w:rPr>
          <w:rFonts w:ascii="Arial" w:hAnsi="Arial" w:cs="Arial"/>
          <w:sz w:val="18"/>
          <w:szCs w:val="18"/>
          <w:lang w:val="el-GR"/>
        </w:rPr>
        <w:t xml:space="preserve">ανήλθε </w:t>
      </w:r>
      <w:r w:rsidR="00DE4728" w:rsidRPr="000A6583">
        <w:rPr>
          <w:rFonts w:ascii="Arial" w:hAnsi="Arial" w:cs="Arial"/>
          <w:sz w:val="18"/>
          <w:szCs w:val="18"/>
          <w:lang w:val="el-GR"/>
        </w:rPr>
        <w:t xml:space="preserve">σε </w:t>
      </w:r>
      <w:r w:rsidR="000A6583" w:rsidRPr="006A1797">
        <w:rPr>
          <w:rFonts w:ascii="Arial" w:hAnsi="Arial" w:cs="Arial"/>
          <w:sz w:val="18"/>
          <w:szCs w:val="18"/>
          <w:lang w:val="el-GR"/>
        </w:rPr>
        <w:t>47</w:t>
      </w:r>
      <w:r w:rsidR="000A6583" w:rsidRPr="000A6583">
        <w:rPr>
          <w:rFonts w:ascii="Arial" w:hAnsi="Arial" w:cs="Arial"/>
          <w:sz w:val="18"/>
          <w:szCs w:val="18"/>
          <w:lang w:val="el-GR"/>
        </w:rPr>
        <w:t xml:space="preserve"> </w:t>
      </w:r>
      <w:r w:rsidR="00DE4728" w:rsidRPr="000A6583">
        <w:rPr>
          <w:rFonts w:ascii="Arial" w:hAnsi="Arial" w:cs="Arial"/>
          <w:sz w:val="18"/>
          <w:szCs w:val="18"/>
          <w:lang w:val="el-GR"/>
        </w:rPr>
        <w:t>μ.β. στον δείκτη Κεφαλαίου Κοινών Μετοχών Κατηγορίας 1 (CET1) του Συγκροτήματος</w:t>
      </w:r>
      <w:r w:rsidR="0094392F" w:rsidRPr="000A6583">
        <w:rPr>
          <w:rFonts w:ascii="Arial" w:hAnsi="Arial" w:cs="Arial"/>
          <w:sz w:val="18"/>
          <w:szCs w:val="18"/>
          <w:lang w:val="el-GR"/>
        </w:rPr>
        <w:t xml:space="preserve">, σε σύγκριση με </w:t>
      </w:r>
      <w:r w:rsidR="008D4934" w:rsidRPr="000A6583">
        <w:rPr>
          <w:rFonts w:ascii="Arial" w:hAnsi="Arial" w:cs="Arial"/>
          <w:sz w:val="18"/>
          <w:szCs w:val="18"/>
          <w:lang w:val="el-GR"/>
        </w:rPr>
        <w:t>41 μ.β.</w:t>
      </w:r>
      <w:r w:rsidR="000A6583" w:rsidRPr="006A1797">
        <w:rPr>
          <w:rFonts w:ascii="Arial" w:hAnsi="Arial" w:cs="Arial"/>
          <w:sz w:val="18"/>
          <w:szCs w:val="18"/>
          <w:lang w:val="el-GR"/>
        </w:rPr>
        <w:t xml:space="preserve"> </w:t>
      </w:r>
      <w:r w:rsidR="008D4934" w:rsidRPr="000A6583">
        <w:rPr>
          <w:rFonts w:ascii="Arial" w:hAnsi="Arial" w:cs="Arial"/>
          <w:sz w:val="18"/>
          <w:szCs w:val="18"/>
          <w:lang w:val="el-GR"/>
        </w:rPr>
        <w:t xml:space="preserve">στις 31 Μαρτίου 2024 και με </w:t>
      </w:r>
      <w:r w:rsidR="0094392F" w:rsidRPr="000A6583">
        <w:rPr>
          <w:rFonts w:ascii="Arial" w:hAnsi="Arial" w:cs="Arial"/>
          <w:sz w:val="18"/>
          <w:szCs w:val="18"/>
          <w:lang w:val="el-GR"/>
        </w:rPr>
        <w:t>24 μ.β. στις 31 Δεκεμβρίου 2023</w:t>
      </w:r>
      <w:r w:rsidR="00DE4728" w:rsidRPr="000A6583">
        <w:rPr>
          <w:rFonts w:ascii="Arial" w:hAnsi="Arial" w:cs="Arial"/>
          <w:sz w:val="18"/>
          <w:szCs w:val="18"/>
          <w:lang w:val="el-GR"/>
        </w:rPr>
        <w:t>.</w:t>
      </w:r>
      <w:r w:rsidR="000A6583" w:rsidRPr="000A6583">
        <w:rPr>
          <w:lang w:val="el-GR"/>
        </w:rPr>
        <w:t xml:space="preserve"> </w:t>
      </w:r>
      <w:r w:rsidR="00844551" w:rsidRPr="000A6583">
        <w:rPr>
          <w:rFonts w:ascii="Arial" w:hAnsi="Arial" w:cs="Arial"/>
          <w:sz w:val="18"/>
          <w:szCs w:val="18"/>
          <w:lang w:val="el-GR"/>
        </w:rPr>
        <w:t>Οι προαναφερόμενες απαιτήσεις περιλαμβάνονται στα κεφαλαιακά πλάνα του Συγκροτήματος και αντικατοπτρίζονται στις κεφαλαιακές προβλέψεις.</w:t>
      </w:r>
    </w:p>
    <w:bookmarkEnd w:id="6"/>
    <w:p w14:paraId="1AC4AF3D" w14:textId="77777777" w:rsidR="003F2BB4" w:rsidRPr="000A6583" w:rsidRDefault="003F2BB4" w:rsidP="005D7FFC">
      <w:pPr>
        <w:spacing w:after="0" w:line="240" w:lineRule="auto"/>
        <w:jc w:val="both"/>
        <w:rPr>
          <w:rFonts w:ascii="Arial" w:hAnsi="Arial" w:cs="Arial"/>
          <w:sz w:val="18"/>
          <w:szCs w:val="18"/>
          <w:lang w:val="el-GR"/>
        </w:rPr>
      </w:pPr>
    </w:p>
    <w:p w14:paraId="25051977" w14:textId="291AAE2A" w:rsidR="0058408C" w:rsidRPr="006A1797" w:rsidRDefault="00352599" w:rsidP="005D7FFC">
      <w:pPr>
        <w:spacing w:after="0" w:line="240" w:lineRule="auto"/>
        <w:jc w:val="both"/>
        <w:rPr>
          <w:rFonts w:ascii="Arial" w:hAnsi="Arial" w:cs="Arial"/>
          <w:bCs/>
          <w:sz w:val="18"/>
          <w:szCs w:val="18"/>
          <w:lang w:val="el-GR"/>
        </w:rPr>
      </w:pPr>
      <w:r w:rsidRPr="000A6583">
        <w:rPr>
          <w:rFonts w:ascii="Arial" w:hAnsi="Arial" w:cs="Arial"/>
          <w:bCs/>
          <w:sz w:val="18"/>
          <w:szCs w:val="18"/>
          <w:lang w:val="en-US"/>
        </w:rPr>
        <w:t>O</w:t>
      </w:r>
      <w:r w:rsidRPr="000A6583">
        <w:rPr>
          <w:rFonts w:ascii="Arial" w:hAnsi="Arial" w:cs="Arial"/>
          <w:bCs/>
          <w:sz w:val="18"/>
          <w:szCs w:val="18"/>
          <w:lang w:val="el-GR"/>
        </w:rPr>
        <w:t xml:space="preserve"> </w:t>
      </w:r>
      <w:r w:rsidRPr="000A6583">
        <w:rPr>
          <w:rFonts w:ascii="Arial" w:hAnsi="Arial" w:cs="Arial"/>
          <w:b/>
          <w:sz w:val="18"/>
          <w:szCs w:val="18"/>
          <w:lang w:val="el-GR"/>
        </w:rPr>
        <w:t>Συνολικός Δείκτης Κεφαλαιακής Επάρκειας</w:t>
      </w:r>
      <w:r w:rsidR="001F152D" w:rsidRPr="000A6583">
        <w:rPr>
          <w:rFonts w:ascii="Arial" w:hAnsi="Arial" w:cs="Arial"/>
          <w:b/>
          <w:bCs/>
          <w:sz w:val="18"/>
          <w:szCs w:val="18"/>
          <w:lang w:val="el-GR"/>
        </w:rPr>
        <w:t xml:space="preserve"> με μεταβατικές διατάξεις</w:t>
      </w:r>
      <w:r w:rsidR="003B74C5" w:rsidRPr="000A6583">
        <w:rPr>
          <w:rFonts w:ascii="Arial" w:hAnsi="Arial" w:cs="Arial"/>
          <w:b/>
          <w:bCs/>
          <w:sz w:val="18"/>
          <w:szCs w:val="18"/>
          <w:lang w:val="el-GR"/>
        </w:rPr>
        <w:t xml:space="preserve"> </w:t>
      </w:r>
      <w:r w:rsidR="00790AB6" w:rsidRPr="000A6583">
        <w:rPr>
          <w:rFonts w:ascii="Arial" w:hAnsi="Arial" w:cs="Arial"/>
          <w:b/>
          <w:bCs/>
          <w:sz w:val="18"/>
          <w:lang w:val="el-GR"/>
        </w:rPr>
        <w:t>υπολογισμένος για εποπτικούς σκοπούς</w:t>
      </w:r>
      <w:r w:rsidR="003B74C5" w:rsidRPr="000A6583">
        <w:rPr>
          <w:rFonts w:ascii="Arial" w:hAnsi="Arial" w:cs="Arial"/>
          <w:sz w:val="18"/>
          <w:szCs w:val="18"/>
          <w:lang w:val="el-GR"/>
        </w:rPr>
        <w:t xml:space="preserve"> </w:t>
      </w:r>
      <w:r w:rsidRPr="000A6583">
        <w:rPr>
          <w:rFonts w:ascii="Arial" w:hAnsi="Arial" w:cs="Arial"/>
          <w:bCs/>
          <w:sz w:val="18"/>
          <w:szCs w:val="18"/>
          <w:lang w:val="el-GR"/>
        </w:rPr>
        <w:t>ανήλθε σε</w:t>
      </w:r>
      <w:r w:rsidR="00165890" w:rsidRPr="000A6583">
        <w:rPr>
          <w:rFonts w:ascii="Arial" w:hAnsi="Arial" w:cs="Arial"/>
          <w:bCs/>
          <w:sz w:val="18"/>
          <w:szCs w:val="18"/>
          <w:lang w:val="el-GR"/>
        </w:rPr>
        <w:t xml:space="preserve"> </w:t>
      </w:r>
      <w:r w:rsidR="000A6583" w:rsidRPr="006A1797">
        <w:rPr>
          <w:rFonts w:ascii="Arial" w:hAnsi="Arial" w:cs="Arial"/>
          <w:sz w:val="18"/>
          <w:szCs w:val="18"/>
          <w:lang w:val="el-GR"/>
        </w:rPr>
        <w:t>23.3</w:t>
      </w:r>
      <w:r w:rsidR="00165890" w:rsidRPr="000A6583">
        <w:rPr>
          <w:rFonts w:ascii="Arial" w:hAnsi="Arial" w:cs="Arial"/>
          <w:bCs/>
          <w:sz w:val="18"/>
          <w:szCs w:val="18"/>
          <w:lang w:val="el-GR"/>
        </w:rPr>
        <w:t xml:space="preserve">% στις </w:t>
      </w:r>
      <w:r w:rsidR="0020560A" w:rsidRPr="000A6583">
        <w:rPr>
          <w:rFonts w:ascii="Arial" w:hAnsi="Arial" w:cs="Arial"/>
          <w:bCs/>
          <w:sz w:val="18"/>
          <w:szCs w:val="18"/>
          <w:lang w:val="el-GR"/>
        </w:rPr>
        <w:t xml:space="preserve">30 </w:t>
      </w:r>
      <w:r w:rsidR="0020560A" w:rsidRPr="000A6583">
        <w:rPr>
          <w:rFonts w:ascii="Arial" w:hAnsi="Arial" w:cs="Arial"/>
          <w:sz w:val="18"/>
          <w:szCs w:val="18"/>
          <w:lang w:val="el-GR"/>
        </w:rPr>
        <w:t xml:space="preserve">Ιουνίου </w:t>
      </w:r>
      <w:r w:rsidR="0094392F" w:rsidRPr="000A6583">
        <w:rPr>
          <w:rFonts w:ascii="Arial" w:hAnsi="Arial" w:cs="Arial"/>
          <w:bCs/>
          <w:sz w:val="18"/>
          <w:szCs w:val="18"/>
          <w:lang w:val="el-GR"/>
        </w:rPr>
        <w:t>2024</w:t>
      </w:r>
      <w:r w:rsidR="004036B6" w:rsidRPr="000A6583">
        <w:rPr>
          <w:rFonts w:ascii="Arial" w:hAnsi="Arial" w:cs="Arial"/>
          <w:bCs/>
          <w:sz w:val="18"/>
          <w:szCs w:val="18"/>
          <w:lang w:val="el-GR"/>
        </w:rPr>
        <w:t>,</w:t>
      </w:r>
      <w:r w:rsidR="0094392F" w:rsidRPr="000A6583">
        <w:rPr>
          <w:rFonts w:ascii="Arial" w:hAnsi="Arial" w:cs="Arial"/>
          <w:bCs/>
          <w:sz w:val="18"/>
          <w:szCs w:val="18"/>
          <w:lang w:val="el-GR"/>
        </w:rPr>
        <w:t xml:space="preserve"> </w:t>
      </w:r>
      <w:r w:rsidR="00165890" w:rsidRPr="000A6583">
        <w:rPr>
          <w:rFonts w:ascii="Arial" w:hAnsi="Arial" w:cs="Arial"/>
          <w:bCs/>
          <w:sz w:val="18"/>
          <w:szCs w:val="18"/>
          <w:lang w:val="el-GR"/>
        </w:rPr>
        <w:t xml:space="preserve">σε σύγκριση με </w:t>
      </w:r>
      <w:r w:rsidR="0020560A" w:rsidRPr="000A6583">
        <w:rPr>
          <w:rFonts w:ascii="Arial" w:hAnsi="Arial" w:cs="Arial"/>
          <w:bCs/>
          <w:sz w:val="18"/>
          <w:szCs w:val="18"/>
          <w:lang w:val="el-GR"/>
        </w:rPr>
        <w:t xml:space="preserve">22.0% στις 31 </w:t>
      </w:r>
      <w:r w:rsidR="0020560A" w:rsidRPr="000A6583">
        <w:rPr>
          <w:rFonts w:ascii="Arial" w:hAnsi="Arial" w:cs="Arial"/>
          <w:sz w:val="18"/>
          <w:szCs w:val="18"/>
          <w:lang w:val="el-GR"/>
        </w:rPr>
        <w:t xml:space="preserve">Μαρτίου </w:t>
      </w:r>
      <w:r w:rsidR="0020560A" w:rsidRPr="000A6583">
        <w:rPr>
          <w:rFonts w:ascii="Arial" w:hAnsi="Arial" w:cs="Arial"/>
          <w:bCs/>
          <w:sz w:val="18"/>
          <w:szCs w:val="18"/>
          <w:lang w:val="el-GR"/>
        </w:rPr>
        <w:t xml:space="preserve">2024 </w:t>
      </w:r>
      <w:r w:rsidR="0020560A" w:rsidRPr="000A6583">
        <w:rPr>
          <w:rFonts w:ascii="Arial" w:hAnsi="Arial" w:cs="Arial"/>
          <w:sz w:val="18"/>
          <w:szCs w:val="18"/>
          <w:lang w:val="el-GR"/>
        </w:rPr>
        <w:t>(ή 22.5% συμπεριλαμβάνοντας τα κέρδη για το α’ τρίμηνο 2024, μειωμένα για σχετική πρόβλεψη για διανομή)</w:t>
      </w:r>
      <w:r w:rsidR="0020560A" w:rsidRPr="000A6583">
        <w:rPr>
          <w:rFonts w:ascii="Arial" w:hAnsi="Arial" w:cs="Arial"/>
          <w:bCs/>
          <w:sz w:val="18"/>
          <w:szCs w:val="18"/>
          <w:lang w:val="el-GR"/>
        </w:rPr>
        <w:t xml:space="preserve"> και με </w:t>
      </w:r>
      <w:r w:rsidR="0094392F" w:rsidRPr="000A6583">
        <w:rPr>
          <w:rFonts w:ascii="Arial" w:hAnsi="Arial" w:cs="Arial"/>
          <w:bCs/>
          <w:sz w:val="18"/>
          <w:szCs w:val="18"/>
          <w:lang w:val="el-GR"/>
        </w:rPr>
        <w:t>22</w:t>
      </w:r>
      <w:r w:rsidR="00FD6899" w:rsidRPr="000A6583">
        <w:rPr>
          <w:rFonts w:ascii="Arial" w:hAnsi="Arial" w:cs="Arial"/>
          <w:bCs/>
          <w:sz w:val="18"/>
          <w:szCs w:val="18"/>
          <w:lang w:val="el-GR"/>
        </w:rPr>
        <w:t xml:space="preserve">.4% στις </w:t>
      </w:r>
      <w:r w:rsidR="0094392F" w:rsidRPr="000A6583">
        <w:rPr>
          <w:rFonts w:ascii="Arial" w:hAnsi="Arial" w:cs="Arial"/>
          <w:bCs/>
          <w:sz w:val="18"/>
          <w:szCs w:val="18"/>
          <w:lang w:val="el-GR"/>
        </w:rPr>
        <w:t xml:space="preserve">31 </w:t>
      </w:r>
      <w:r w:rsidR="0094392F" w:rsidRPr="000A6583">
        <w:rPr>
          <w:rFonts w:ascii="Arial" w:hAnsi="Arial" w:cs="Arial"/>
          <w:sz w:val="18"/>
          <w:szCs w:val="18"/>
          <w:lang w:val="el-GR"/>
        </w:rPr>
        <w:t xml:space="preserve">Δεκεμβρίου </w:t>
      </w:r>
      <w:r w:rsidR="00FD6899" w:rsidRPr="000A6583">
        <w:rPr>
          <w:rFonts w:ascii="Arial" w:hAnsi="Arial" w:cs="Arial"/>
          <w:bCs/>
          <w:sz w:val="18"/>
          <w:szCs w:val="18"/>
          <w:lang w:val="el-GR"/>
        </w:rPr>
        <w:t>202</w:t>
      </w:r>
      <w:r w:rsidR="003B74C5" w:rsidRPr="000A6583">
        <w:rPr>
          <w:rFonts w:ascii="Arial" w:hAnsi="Arial" w:cs="Arial"/>
          <w:bCs/>
          <w:sz w:val="18"/>
          <w:szCs w:val="18"/>
          <w:lang w:val="el-GR"/>
        </w:rPr>
        <w:t>3</w:t>
      </w:r>
      <w:r w:rsidR="0094392F" w:rsidRPr="000A6583">
        <w:rPr>
          <w:rFonts w:ascii="Arial" w:hAnsi="Arial" w:cs="Arial"/>
          <w:bCs/>
          <w:sz w:val="18"/>
          <w:szCs w:val="18"/>
          <w:lang w:val="el-GR"/>
        </w:rPr>
        <w:t>.</w:t>
      </w:r>
      <w:r w:rsidR="0020560A" w:rsidRPr="000A6583">
        <w:rPr>
          <w:rFonts w:ascii="Arial" w:hAnsi="Arial" w:cs="Arial"/>
          <w:bCs/>
          <w:sz w:val="18"/>
          <w:szCs w:val="18"/>
          <w:lang w:val="el-GR"/>
        </w:rPr>
        <w:t xml:space="preserve"> </w:t>
      </w:r>
    </w:p>
    <w:p w14:paraId="38971C2A" w14:textId="182039CC" w:rsidR="0058408C" w:rsidRPr="000A6583" w:rsidRDefault="0058408C" w:rsidP="00CB0EEF">
      <w:pPr>
        <w:spacing w:after="0" w:line="240" w:lineRule="auto"/>
        <w:jc w:val="both"/>
        <w:rPr>
          <w:rFonts w:ascii="Arial" w:hAnsi="Arial" w:cs="Arial"/>
          <w:bCs/>
          <w:sz w:val="18"/>
          <w:szCs w:val="18"/>
          <w:lang w:val="el-GR"/>
        </w:rPr>
      </w:pPr>
    </w:p>
    <w:p w14:paraId="2A300A82" w14:textId="14B54793" w:rsidR="0058408C" w:rsidRPr="000A6583" w:rsidRDefault="0058408C" w:rsidP="00CB0EEF">
      <w:pPr>
        <w:spacing w:after="0" w:line="240" w:lineRule="auto"/>
        <w:jc w:val="both"/>
        <w:rPr>
          <w:rFonts w:ascii="Arial" w:hAnsi="Arial" w:cs="Arial"/>
          <w:bCs/>
          <w:sz w:val="18"/>
          <w:szCs w:val="28"/>
          <w:lang w:val="el-GR"/>
        </w:rPr>
      </w:pPr>
      <w:r w:rsidRPr="000A6583">
        <w:rPr>
          <w:rFonts w:ascii="Arial" w:hAnsi="Arial" w:cs="Arial"/>
          <w:bCs/>
          <w:sz w:val="18"/>
          <w:szCs w:val="28"/>
          <w:lang w:val="el-GR"/>
        </w:rPr>
        <w:t>Οι κεφαλαιακοί δείκτες του Συγκροτήματος παραμένουν πάνω από τις απαιτήσεις που απορρέουν από τη Διαδικασία Εποπτικής Εξέτασης και Αξιολόγησης (ΔΕΕΑ).</w:t>
      </w:r>
    </w:p>
    <w:p w14:paraId="4629C296" w14:textId="77777777" w:rsidR="006B1F4F" w:rsidRPr="000A6583" w:rsidRDefault="006B1F4F" w:rsidP="008723F0">
      <w:pPr>
        <w:pStyle w:val="Default"/>
        <w:jc w:val="both"/>
        <w:rPr>
          <w:sz w:val="18"/>
          <w:szCs w:val="18"/>
          <w:lang w:val="el-GR"/>
        </w:rPr>
      </w:pPr>
    </w:p>
    <w:p w14:paraId="09C983FA" w14:textId="726172D9" w:rsidR="000A6583" w:rsidRPr="006A1797" w:rsidRDefault="000A6583" w:rsidP="000A6583">
      <w:pPr>
        <w:pStyle w:val="Default"/>
        <w:jc w:val="both"/>
        <w:rPr>
          <w:sz w:val="18"/>
          <w:szCs w:val="18"/>
          <w:lang w:val="el-GR"/>
        </w:rPr>
      </w:pPr>
      <w:r w:rsidRPr="006A1797">
        <w:rPr>
          <w:sz w:val="18"/>
          <w:szCs w:val="18"/>
          <w:lang w:val="el-GR"/>
        </w:rPr>
        <w:t>Στις 30 Νοεμβρίου 2022, η Κεντρική Τράπεζα της Κύπρου (ΚΤΚ), σε συνέχεια αναθεωρημένης μεθοδολογίας όπως περιλαμβάνεται στη μακροπροληπτική πολιτική της, αποφάσισε να αυξήσει το Αντικυκλικό Απόθεμα Ασφαλείας (</w:t>
      </w:r>
      <w:r w:rsidRPr="006A1797">
        <w:rPr>
          <w:sz w:val="18"/>
          <w:szCs w:val="18"/>
        </w:rPr>
        <w:t>CcyB</w:t>
      </w:r>
      <w:r w:rsidRPr="006A1797">
        <w:rPr>
          <w:sz w:val="18"/>
          <w:szCs w:val="18"/>
          <w:lang w:val="el-GR"/>
        </w:rPr>
        <w:t xml:space="preserve">) από 0.00% στο 0.50% του συνολικού ποσού έκθεσης σε κίνδυνο στην Κύπρο για κάθε αδειοδοτημένο πιστωτικό ίδρυμα που έχει συσταθεί στην Κύπρο, το οποίο τέθηκε σε εφαρμογή στις 30 Νοεμβρίου 2023. Επιπρόσθετα, τον Ιούνιο 2023 η ΚΤΚ ανακοίνωσε επιπρόσθετη αύξηση ύψους 0.50% στο Αντικυκλικό Απόθεμα Ασφαλείας (CcyB) του συνολικού ποσού έκθεσης σε κίνδυνο στην Κύπρο για κάθε αδειοδοτημένο πιστωτικό ίδρυμα που έχει συσταθεί στην Κύπρο. Η αύξηση αυτή </w:t>
      </w:r>
      <w:r w:rsidR="000537EC">
        <w:rPr>
          <w:sz w:val="18"/>
          <w:szCs w:val="18"/>
          <w:lang w:val="el-GR"/>
        </w:rPr>
        <w:t xml:space="preserve">τέθηκε </w:t>
      </w:r>
      <w:r w:rsidRPr="006A1797">
        <w:rPr>
          <w:sz w:val="18"/>
          <w:szCs w:val="18"/>
          <w:lang w:val="el-GR"/>
        </w:rPr>
        <w:t>σε εφαρμογή τον Ιούνιο 2024, αυξάνοντας το Αντικυκλικό Απόθεμα Ασφαλείας (</w:t>
      </w:r>
      <w:r w:rsidRPr="006A1797">
        <w:rPr>
          <w:sz w:val="18"/>
          <w:szCs w:val="18"/>
        </w:rPr>
        <w:t>CcyB</w:t>
      </w:r>
      <w:r w:rsidRPr="006A1797">
        <w:rPr>
          <w:sz w:val="18"/>
          <w:szCs w:val="18"/>
          <w:lang w:val="el-GR"/>
        </w:rPr>
        <w:t>) σε 1.00%.</w:t>
      </w:r>
      <w:r>
        <w:rPr>
          <w:sz w:val="18"/>
          <w:szCs w:val="18"/>
          <w:lang w:val="el-GR"/>
        </w:rPr>
        <w:t xml:space="preserve"> Ως αποτέλεσμα, </w:t>
      </w:r>
      <w:r w:rsidRPr="00132262">
        <w:rPr>
          <w:sz w:val="18"/>
          <w:szCs w:val="18"/>
          <w:lang w:val="el-GR"/>
        </w:rPr>
        <w:t>το Αντικυκλικό Απόθεμα Ασφαλείας (</w:t>
      </w:r>
      <w:r w:rsidRPr="00132262">
        <w:rPr>
          <w:sz w:val="18"/>
          <w:szCs w:val="18"/>
        </w:rPr>
        <w:t>CcyB</w:t>
      </w:r>
      <w:r w:rsidRPr="00132262">
        <w:rPr>
          <w:sz w:val="18"/>
          <w:szCs w:val="18"/>
          <w:lang w:val="el-GR"/>
        </w:rPr>
        <w:t>)</w:t>
      </w:r>
      <w:r>
        <w:rPr>
          <w:sz w:val="18"/>
          <w:szCs w:val="18"/>
          <w:lang w:val="el-GR"/>
        </w:rPr>
        <w:t xml:space="preserve"> του Συγκροτήματος </w:t>
      </w:r>
      <w:r w:rsidR="009072B6">
        <w:rPr>
          <w:sz w:val="18"/>
          <w:szCs w:val="18"/>
          <w:lang w:val="el-GR"/>
        </w:rPr>
        <w:t>ανήλθε</w:t>
      </w:r>
      <w:r>
        <w:rPr>
          <w:sz w:val="18"/>
          <w:szCs w:val="18"/>
          <w:lang w:val="el-GR"/>
        </w:rPr>
        <w:t xml:space="preserve"> σε </w:t>
      </w:r>
      <w:r w:rsidR="000537EC">
        <w:rPr>
          <w:sz w:val="18"/>
          <w:szCs w:val="18"/>
          <w:lang w:val="el-GR"/>
        </w:rPr>
        <w:t xml:space="preserve">περίπου </w:t>
      </w:r>
      <w:r>
        <w:rPr>
          <w:sz w:val="18"/>
          <w:szCs w:val="18"/>
          <w:lang w:val="el-GR"/>
        </w:rPr>
        <w:t>0.94% στις 30 Ιουνίου 2024.</w:t>
      </w:r>
    </w:p>
    <w:p w14:paraId="0048135E" w14:textId="77777777" w:rsidR="004B12E2" w:rsidRPr="006A1797" w:rsidRDefault="004B12E2" w:rsidP="000A6583">
      <w:pPr>
        <w:pStyle w:val="Default"/>
        <w:jc w:val="both"/>
        <w:rPr>
          <w:sz w:val="18"/>
          <w:szCs w:val="18"/>
          <w:lang w:val="el-GR"/>
        </w:rPr>
      </w:pPr>
    </w:p>
    <w:p w14:paraId="4FE39F7A" w14:textId="10013157" w:rsidR="004B12E2" w:rsidRPr="00132262" w:rsidRDefault="004B12E2" w:rsidP="004B12E2">
      <w:pPr>
        <w:spacing w:line="240" w:lineRule="auto"/>
        <w:jc w:val="both"/>
        <w:rPr>
          <w:rFonts w:ascii="Arial" w:hAnsi="Arial" w:cs="Arial"/>
          <w:sz w:val="18"/>
          <w:szCs w:val="18"/>
          <w:highlight w:val="yellow"/>
          <w:lang w:val="el-GR"/>
        </w:rPr>
      </w:pPr>
      <w:r w:rsidRPr="006A1797">
        <w:rPr>
          <w:rFonts w:ascii="Arial" w:hAnsi="Arial" w:cs="Arial"/>
          <w:sz w:val="18"/>
          <w:szCs w:val="18"/>
          <w:lang w:val="el-GR"/>
        </w:rPr>
        <w:t>Η Τράπεζα έχει προσδιοριστεί ως Άλλο Συστημικά Σημαντικό Ίδρυμα (</w:t>
      </w:r>
      <w:r w:rsidRPr="006A1797">
        <w:rPr>
          <w:rFonts w:ascii="Arial" w:hAnsi="Arial" w:cs="Arial"/>
          <w:b/>
          <w:bCs/>
          <w:sz w:val="18"/>
          <w:szCs w:val="18"/>
          <w:lang w:val="en-US"/>
        </w:rPr>
        <w:t>O</w:t>
      </w:r>
      <w:r w:rsidRPr="006A1797">
        <w:rPr>
          <w:rFonts w:ascii="Arial" w:hAnsi="Arial" w:cs="Arial"/>
          <w:b/>
          <w:bCs/>
          <w:sz w:val="18"/>
          <w:szCs w:val="18"/>
          <w:lang w:val="el-GR"/>
        </w:rPr>
        <w:t>-</w:t>
      </w:r>
      <w:r w:rsidRPr="006A1797">
        <w:rPr>
          <w:rFonts w:ascii="Arial" w:hAnsi="Arial" w:cs="Arial"/>
          <w:b/>
          <w:bCs/>
          <w:sz w:val="18"/>
          <w:szCs w:val="18"/>
          <w:lang w:val="en-US"/>
        </w:rPr>
        <w:t>SII</w:t>
      </w:r>
      <w:r w:rsidRPr="006A1797">
        <w:rPr>
          <w:rFonts w:ascii="Arial" w:hAnsi="Arial" w:cs="Arial"/>
          <w:sz w:val="18"/>
          <w:szCs w:val="18"/>
          <w:lang w:val="el-GR"/>
        </w:rPr>
        <w:t xml:space="preserve">) από την ΚΤΚ σύμφωνα με τις διατάξεις του περί Μακροπροληπτικής Εποπτείας των Ιδρυμάτων Νόμου του 2015 και το </w:t>
      </w:r>
      <w:r>
        <w:rPr>
          <w:rFonts w:ascii="Arial" w:hAnsi="Arial" w:cs="Arial"/>
          <w:sz w:val="18"/>
          <w:szCs w:val="18"/>
          <w:lang w:val="el-GR"/>
        </w:rPr>
        <w:t xml:space="preserve">σχετικό </w:t>
      </w:r>
      <w:r w:rsidRPr="006A1797">
        <w:rPr>
          <w:rFonts w:ascii="Arial" w:hAnsi="Arial" w:cs="Arial"/>
          <w:sz w:val="18"/>
          <w:szCs w:val="18"/>
          <w:lang w:val="el-GR"/>
        </w:rPr>
        <w:t>κεφαλαιακό Απόθεμα Ασφαλείας των Άλλων Συστημικά Σημαντικών Ιδρυμάτων</w:t>
      </w:r>
      <w:r w:rsidRPr="006A1797" w:rsidDel="00657F4D">
        <w:rPr>
          <w:rFonts w:ascii="Arial" w:hAnsi="Arial" w:cs="Arial"/>
          <w:sz w:val="18"/>
          <w:szCs w:val="18"/>
          <w:lang w:val="el-GR"/>
        </w:rPr>
        <w:t xml:space="preserve"> </w:t>
      </w:r>
      <w:r w:rsidRPr="006A1797">
        <w:rPr>
          <w:rFonts w:ascii="Arial" w:hAnsi="Arial" w:cs="Arial"/>
          <w:sz w:val="18"/>
          <w:szCs w:val="18"/>
          <w:lang w:val="el-GR"/>
        </w:rPr>
        <w:t>(O-SII) του Συγκροτήματος αυξήθηκε κατά 37.5 μ.β. σε 1.875% την 1 Ιανουαρίου 2024. Τον Απρίλιο 2024, σε συνέχεια αναθεώρησης της πολιτικής της ΚΤΚ για τον προσδιορισμό πιστωτικών ιδρυμάτων ως Άλλα Συστημικά Σημαντικά Ιδρύματα (O-SII) και τον καθορισμό του αποθέματος που πρέπει να τηρείται, το κεφαλαιακό Απόθεμα Ασφαλείας των Άλλων Συστημικά Σημαντικών Ιδρυμάτων</w:t>
      </w:r>
      <w:r w:rsidRPr="006A1797" w:rsidDel="00657F4D">
        <w:rPr>
          <w:rFonts w:ascii="Arial" w:hAnsi="Arial" w:cs="Arial"/>
          <w:sz w:val="18"/>
          <w:szCs w:val="18"/>
          <w:lang w:val="el-GR"/>
        </w:rPr>
        <w:t xml:space="preserve"> </w:t>
      </w:r>
      <w:r w:rsidRPr="006A1797">
        <w:rPr>
          <w:rFonts w:ascii="Arial" w:hAnsi="Arial" w:cs="Arial"/>
          <w:sz w:val="18"/>
          <w:szCs w:val="18"/>
          <w:lang w:val="el-GR"/>
        </w:rPr>
        <w:t>(O-SII) του Συγκροτήματος έχει μειωθεί σε 2.00% κατά την 1 Ιανουαρίου 2026 (σε σύγκριση με το την προηγούμενή αξιολόγηση που καθόριζε το κεφαλαιακό Απόθεμα Ασφαλείας των Άλλων Συστημικά Σημαντικών Ιδρυμάτων</w:t>
      </w:r>
      <w:r w:rsidRPr="006A1797" w:rsidDel="00657F4D">
        <w:rPr>
          <w:rFonts w:ascii="Arial" w:hAnsi="Arial" w:cs="Arial"/>
          <w:sz w:val="18"/>
          <w:szCs w:val="18"/>
          <w:lang w:val="el-GR"/>
        </w:rPr>
        <w:t xml:space="preserve"> </w:t>
      </w:r>
      <w:r w:rsidRPr="006A1797">
        <w:rPr>
          <w:rFonts w:ascii="Arial" w:hAnsi="Arial" w:cs="Arial"/>
          <w:sz w:val="18"/>
          <w:szCs w:val="18"/>
          <w:lang w:val="el-GR"/>
        </w:rPr>
        <w:t>(O-SII) του Συγκροτήματος σε 2.25% κατά την 1 Ιανουαρίου 2025). Το αναθεωρημένο Απόθεμα Ασφαλείας των Άλλων Συστημικά Σημαντικών Ιδρυμάτων</w:t>
      </w:r>
      <w:r w:rsidRPr="006A1797" w:rsidDel="00657F4D">
        <w:rPr>
          <w:rFonts w:ascii="Arial" w:hAnsi="Arial" w:cs="Arial"/>
          <w:sz w:val="18"/>
          <w:szCs w:val="18"/>
          <w:lang w:val="el-GR"/>
        </w:rPr>
        <w:t xml:space="preserve"> </w:t>
      </w:r>
      <w:r w:rsidRPr="006A1797">
        <w:rPr>
          <w:rFonts w:ascii="Arial" w:hAnsi="Arial" w:cs="Arial"/>
          <w:sz w:val="18"/>
          <w:szCs w:val="18"/>
          <w:lang w:val="el-GR"/>
        </w:rPr>
        <w:t xml:space="preserve">(O-SII) του Συγκροτήματος θα εφαρμόζεται σταδιακά κατά 6.25 μ.β. ανά έτος από τα σημερινά επίπεδα ύψους 1.875%, και θα ανέλθει σε 1.9375% την 1 Ιανουαρίου 2025 και σε 2.00% την 1 Ιανουαρίου 2026.  </w:t>
      </w:r>
    </w:p>
    <w:p w14:paraId="11200D89" w14:textId="77777777" w:rsidR="004B12E2" w:rsidRPr="006A1797" w:rsidRDefault="004B12E2" w:rsidP="000A6583">
      <w:pPr>
        <w:pStyle w:val="Default"/>
        <w:jc w:val="both"/>
        <w:rPr>
          <w:sz w:val="18"/>
          <w:szCs w:val="18"/>
          <w:lang w:val="el-GR"/>
        </w:rPr>
      </w:pPr>
    </w:p>
    <w:p w14:paraId="61447802" w14:textId="18CE9ADE" w:rsidR="004B12E2" w:rsidRPr="006A1797" w:rsidRDefault="004B12E2" w:rsidP="004B12E2">
      <w:pPr>
        <w:pStyle w:val="Default"/>
        <w:jc w:val="both"/>
        <w:rPr>
          <w:color w:val="FF9900"/>
          <w:lang w:val="el-GR"/>
        </w:rPr>
      </w:pPr>
      <w:r w:rsidRPr="006A1797">
        <w:rPr>
          <w:b/>
          <w:bCs/>
          <w:color w:val="FF9900"/>
          <w:lang w:val="el-GR"/>
        </w:rPr>
        <w:lastRenderedPageBreak/>
        <w:t xml:space="preserve">Β. Οικονομικά Αποτελέσματα Συγκροτήματος – Υποκείμενη Βάση </w:t>
      </w:r>
      <w:r w:rsidRPr="006A1797">
        <w:rPr>
          <w:color w:val="FF9900"/>
          <w:lang w:val="el-GR"/>
        </w:rPr>
        <w:t>(συνέχεια)</w:t>
      </w:r>
    </w:p>
    <w:p w14:paraId="1ABCDEB6" w14:textId="77777777" w:rsidR="004B12E2" w:rsidRPr="006A1797" w:rsidRDefault="004B12E2" w:rsidP="004B12E2">
      <w:pPr>
        <w:pStyle w:val="Default"/>
        <w:jc w:val="both"/>
        <w:rPr>
          <w:sz w:val="22"/>
          <w:szCs w:val="22"/>
          <w:lang w:val="el-GR"/>
        </w:rPr>
      </w:pPr>
    </w:p>
    <w:p w14:paraId="5AB8BADE" w14:textId="77777777" w:rsidR="004B12E2" w:rsidRPr="006A1797" w:rsidRDefault="004B12E2" w:rsidP="004B12E2">
      <w:pPr>
        <w:rPr>
          <w:rFonts w:ascii="Arial" w:hAnsi="Arial" w:cs="Arial"/>
          <w:b/>
          <w:bCs/>
          <w:color w:val="FF9900"/>
          <w:sz w:val="23"/>
          <w:szCs w:val="23"/>
          <w:lang w:val="el-GR"/>
        </w:rPr>
      </w:pPr>
      <w:r w:rsidRPr="006A1797">
        <w:rPr>
          <w:rFonts w:ascii="Arial" w:hAnsi="Arial" w:cs="Arial"/>
          <w:b/>
          <w:bCs/>
          <w:color w:val="FF9900"/>
          <w:sz w:val="23"/>
          <w:szCs w:val="23"/>
          <w:lang w:val="el-GR"/>
        </w:rPr>
        <w:t xml:space="preserve">Β.2 Ανάλυση Ισολογισμού </w:t>
      </w:r>
      <w:r w:rsidRPr="006A1797">
        <w:rPr>
          <w:rFonts w:ascii="Arial" w:hAnsi="Arial" w:cs="Arial"/>
          <w:color w:val="FF9900"/>
          <w:sz w:val="23"/>
          <w:szCs w:val="23"/>
          <w:lang w:val="el-GR"/>
        </w:rPr>
        <w:t>(συνέχεια)</w:t>
      </w:r>
    </w:p>
    <w:p w14:paraId="7D0C3B80" w14:textId="7F984836" w:rsidR="004B12E2" w:rsidRPr="006A1797" w:rsidRDefault="004B12E2" w:rsidP="006A1797">
      <w:pPr>
        <w:spacing w:line="240" w:lineRule="auto"/>
        <w:jc w:val="both"/>
        <w:rPr>
          <w:lang w:val="el-GR"/>
        </w:rPr>
      </w:pPr>
      <w:r w:rsidRPr="006A1797">
        <w:rPr>
          <w:rFonts w:ascii="Arial" w:hAnsi="Arial" w:cs="Arial"/>
          <w:b/>
          <w:bCs/>
          <w:color w:val="FF9900"/>
          <w:lang w:val="el-GR"/>
        </w:rPr>
        <w:t xml:space="preserve">Β.2.1 Κεφαλαιακή Βάση </w:t>
      </w:r>
      <w:r w:rsidRPr="006A1797">
        <w:rPr>
          <w:rFonts w:ascii="Arial" w:hAnsi="Arial" w:cs="Arial"/>
          <w:color w:val="FF9900"/>
          <w:lang w:val="el-GR"/>
        </w:rPr>
        <w:t>(συνέχεια)</w:t>
      </w:r>
    </w:p>
    <w:p w14:paraId="45580069" w14:textId="796ABAF1" w:rsidR="00870528" w:rsidRPr="00EF52C6" w:rsidRDefault="004B5FA7" w:rsidP="008723F0">
      <w:pPr>
        <w:pStyle w:val="Default"/>
        <w:jc w:val="both"/>
        <w:rPr>
          <w:sz w:val="18"/>
          <w:szCs w:val="18"/>
          <w:lang w:val="el-GR"/>
        </w:rPr>
      </w:pPr>
      <w:r w:rsidRPr="00EF52C6">
        <w:rPr>
          <w:sz w:val="18"/>
          <w:szCs w:val="18"/>
          <w:lang w:val="el-GR"/>
        </w:rPr>
        <w:t xml:space="preserve">Στις </w:t>
      </w:r>
      <w:r w:rsidR="00676C10" w:rsidRPr="00EF52C6">
        <w:rPr>
          <w:sz w:val="18"/>
          <w:szCs w:val="18"/>
          <w:lang w:val="el-GR"/>
        </w:rPr>
        <w:t xml:space="preserve">30 Ιουνίου </w:t>
      </w:r>
      <w:r w:rsidRPr="00EF52C6">
        <w:rPr>
          <w:sz w:val="18"/>
          <w:szCs w:val="18"/>
          <w:lang w:val="el-GR"/>
        </w:rPr>
        <w:t>2024</w:t>
      </w:r>
      <w:r w:rsidR="008723F0" w:rsidRPr="00EF52C6">
        <w:rPr>
          <w:sz w:val="18"/>
          <w:szCs w:val="18"/>
          <w:lang w:val="el-GR"/>
        </w:rPr>
        <w:t>,</w:t>
      </w:r>
      <w:r w:rsidRPr="00EF52C6">
        <w:rPr>
          <w:sz w:val="18"/>
          <w:szCs w:val="18"/>
          <w:lang w:val="el-GR"/>
        </w:rPr>
        <w:t xml:space="preserve"> </w:t>
      </w:r>
      <w:r w:rsidR="008723F0" w:rsidRPr="00EF52C6">
        <w:rPr>
          <w:sz w:val="18"/>
          <w:szCs w:val="18"/>
          <w:lang w:val="el-GR"/>
        </w:rPr>
        <w:t xml:space="preserve">η ελάχιστη απαίτηση για τον </w:t>
      </w:r>
      <w:r w:rsidR="008723F0" w:rsidRPr="00EF52C6">
        <w:rPr>
          <w:color w:val="auto"/>
          <w:sz w:val="18"/>
          <w:szCs w:val="18"/>
          <w:lang w:val="el-GR"/>
        </w:rPr>
        <w:t>δείκτη Κεφαλαίου Κοινών Μετοχών Κατηγορίας 1 (</w:t>
      </w:r>
      <w:r w:rsidR="008723F0" w:rsidRPr="00EF52C6">
        <w:rPr>
          <w:color w:val="auto"/>
          <w:sz w:val="18"/>
          <w:szCs w:val="18"/>
        </w:rPr>
        <w:t>CET</w:t>
      </w:r>
      <w:r w:rsidR="008723F0" w:rsidRPr="00EF52C6">
        <w:rPr>
          <w:color w:val="auto"/>
          <w:sz w:val="18"/>
          <w:szCs w:val="18"/>
          <w:lang w:val="el-GR"/>
        </w:rPr>
        <w:t>1) με μεταβατικές διατάξεις του Συγκροτήματος έχει καθοριστεί σε</w:t>
      </w:r>
      <w:r w:rsidRPr="00EF52C6">
        <w:rPr>
          <w:color w:val="auto"/>
          <w:sz w:val="18"/>
          <w:szCs w:val="18"/>
          <w:lang w:val="el-GR"/>
        </w:rPr>
        <w:t xml:space="preserve"> </w:t>
      </w:r>
      <w:r w:rsidR="004B12E2" w:rsidRPr="006A1797">
        <w:rPr>
          <w:b/>
          <w:bCs/>
          <w:sz w:val="18"/>
          <w:szCs w:val="18"/>
          <w:lang w:val="el-GR"/>
        </w:rPr>
        <w:t>11.36%</w:t>
      </w:r>
      <w:r w:rsidR="004B12E2" w:rsidRPr="006A1797">
        <w:rPr>
          <w:sz w:val="18"/>
          <w:szCs w:val="18"/>
          <w:lang w:val="el-GR"/>
        </w:rPr>
        <w:t>,</w:t>
      </w:r>
      <w:r w:rsidR="004B12E2" w:rsidRPr="00EF52C6">
        <w:rPr>
          <w:sz w:val="18"/>
          <w:szCs w:val="18"/>
          <w:lang w:val="el-GR"/>
        </w:rPr>
        <w:t xml:space="preserve"> </w:t>
      </w:r>
      <w:r w:rsidR="008723F0" w:rsidRPr="00EF52C6">
        <w:rPr>
          <w:sz w:val="18"/>
          <w:szCs w:val="18"/>
          <w:lang w:val="el-GR"/>
        </w:rPr>
        <w:t xml:space="preserve">ο οποίος αποτελείται από απαιτήσεις του Πυλώνα Ι ύψους 4.50%, απαιτήσεις του Πυλώνα ΙΙ ύψους 1.55%, Απόθεμα Ασφαλείας Διατήρησης Κεφαλαίου (CCB) ύψους 2.50%, </w:t>
      </w:r>
      <w:r w:rsidR="008723F0" w:rsidRPr="006A1797">
        <w:rPr>
          <w:color w:val="auto"/>
          <w:sz w:val="18"/>
          <w:szCs w:val="18"/>
          <w:lang w:val="el-GR"/>
        </w:rPr>
        <w:t xml:space="preserve">Απόθεμα Ασφαλείας των Άλλων </w:t>
      </w:r>
      <w:r w:rsidR="008723F0" w:rsidRPr="00EF52C6">
        <w:rPr>
          <w:color w:val="auto"/>
          <w:sz w:val="18"/>
          <w:szCs w:val="18"/>
          <w:lang w:val="el-GR"/>
        </w:rPr>
        <w:t>Συστημικά Σημαντικών Ιδρυμάτων (O-SII) ύψους 1.875% και Αντικυκλικό Απόθεμα Ασφαλείας (</w:t>
      </w:r>
      <w:r w:rsidR="008723F0" w:rsidRPr="00EF52C6">
        <w:rPr>
          <w:color w:val="auto"/>
          <w:sz w:val="18"/>
          <w:szCs w:val="18"/>
        </w:rPr>
        <w:t>CcyB</w:t>
      </w:r>
      <w:r w:rsidR="008723F0" w:rsidRPr="00EF52C6">
        <w:rPr>
          <w:color w:val="auto"/>
          <w:sz w:val="18"/>
          <w:szCs w:val="18"/>
          <w:lang w:val="el-GR"/>
        </w:rPr>
        <w:t xml:space="preserve">) ύψους </w:t>
      </w:r>
      <w:r w:rsidR="009D7A00">
        <w:rPr>
          <w:color w:val="auto"/>
          <w:sz w:val="18"/>
          <w:szCs w:val="18"/>
          <w:lang w:val="el-GR"/>
        </w:rPr>
        <w:t xml:space="preserve">περίπου </w:t>
      </w:r>
      <w:r w:rsidR="004B12E2" w:rsidRPr="006A1797">
        <w:rPr>
          <w:color w:val="auto"/>
          <w:sz w:val="18"/>
          <w:szCs w:val="18"/>
          <w:lang w:val="el-GR"/>
        </w:rPr>
        <w:t>0.94</w:t>
      </w:r>
      <w:r w:rsidR="008723F0" w:rsidRPr="006A1797">
        <w:rPr>
          <w:color w:val="auto"/>
          <w:sz w:val="18"/>
          <w:szCs w:val="18"/>
          <w:lang w:val="el-GR"/>
        </w:rPr>
        <w:t xml:space="preserve">%. </w:t>
      </w:r>
      <w:r w:rsidR="008723F0" w:rsidRPr="00EF52C6">
        <w:rPr>
          <w:sz w:val="18"/>
          <w:szCs w:val="18"/>
          <w:lang w:val="el-GR"/>
        </w:rPr>
        <w:t>Αντίστοιχα,</w:t>
      </w:r>
      <w:r w:rsidR="008723F0" w:rsidRPr="00EF52C6">
        <w:rPr>
          <w:color w:val="auto"/>
          <w:sz w:val="18"/>
          <w:szCs w:val="18"/>
          <w:lang w:val="el-GR"/>
        </w:rPr>
        <w:t xml:space="preserve"> η </w:t>
      </w:r>
      <w:r w:rsidR="008723F0" w:rsidRPr="00EF52C6">
        <w:rPr>
          <w:sz w:val="18"/>
          <w:szCs w:val="18"/>
          <w:lang w:val="el-GR"/>
        </w:rPr>
        <w:t xml:space="preserve">ελάχιστη απαίτηση για τον Συνολικό Δείκτη Κεφαλαιακής Επάρκειας </w:t>
      </w:r>
      <w:r w:rsidR="008723F0" w:rsidRPr="00EF52C6">
        <w:rPr>
          <w:color w:val="auto"/>
          <w:sz w:val="18"/>
          <w:szCs w:val="18"/>
          <w:lang w:val="el-GR"/>
        </w:rPr>
        <w:t xml:space="preserve">με μεταβατικές διατάξεις </w:t>
      </w:r>
      <w:r w:rsidR="008723F0" w:rsidRPr="00EF52C6">
        <w:rPr>
          <w:sz w:val="18"/>
          <w:szCs w:val="18"/>
          <w:lang w:val="el-GR"/>
        </w:rPr>
        <w:t xml:space="preserve">του Συγκροτήματος </w:t>
      </w:r>
      <w:r w:rsidR="008723F0" w:rsidRPr="00EF52C6">
        <w:rPr>
          <w:color w:val="auto"/>
          <w:sz w:val="18"/>
          <w:szCs w:val="18"/>
          <w:lang w:val="el-GR"/>
        </w:rPr>
        <w:t>έχει καθοριστεί</w:t>
      </w:r>
      <w:r w:rsidR="008723F0" w:rsidRPr="00EF52C6" w:rsidDel="00BA08C0">
        <w:rPr>
          <w:sz w:val="18"/>
          <w:szCs w:val="18"/>
          <w:lang w:val="el-GR"/>
        </w:rPr>
        <w:t xml:space="preserve"> </w:t>
      </w:r>
      <w:r w:rsidR="008723F0" w:rsidRPr="00EF52C6">
        <w:rPr>
          <w:sz w:val="18"/>
          <w:szCs w:val="18"/>
          <w:lang w:val="el-GR"/>
        </w:rPr>
        <w:t xml:space="preserve">σε </w:t>
      </w:r>
      <w:r w:rsidR="00AC7A39" w:rsidRPr="006A1797">
        <w:rPr>
          <w:b/>
          <w:bCs/>
          <w:sz w:val="18"/>
          <w:szCs w:val="18"/>
          <w:lang w:val="el-GR"/>
        </w:rPr>
        <w:t>16.</w:t>
      </w:r>
      <w:r w:rsidR="00AC7A39" w:rsidRPr="006A1797">
        <w:rPr>
          <w:b/>
          <w:bCs/>
          <w:color w:val="auto"/>
          <w:sz w:val="18"/>
          <w:szCs w:val="18"/>
          <w:lang w:val="el-GR"/>
        </w:rPr>
        <w:t>06</w:t>
      </w:r>
      <w:r w:rsidR="008723F0" w:rsidRPr="006A1797">
        <w:rPr>
          <w:b/>
          <w:bCs/>
          <w:color w:val="auto"/>
          <w:sz w:val="18"/>
          <w:szCs w:val="18"/>
          <w:lang w:val="el-GR"/>
        </w:rPr>
        <w:t>%,</w:t>
      </w:r>
      <w:r w:rsidR="008723F0" w:rsidRPr="006A1797">
        <w:rPr>
          <w:color w:val="auto"/>
          <w:sz w:val="18"/>
          <w:szCs w:val="18"/>
          <w:lang w:val="el-GR"/>
        </w:rPr>
        <w:t xml:space="preserve"> ο </w:t>
      </w:r>
      <w:r w:rsidR="008723F0" w:rsidRPr="00EF52C6">
        <w:rPr>
          <w:sz w:val="18"/>
          <w:szCs w:val="18"/>
          <w:lang w:val="el-GR"/>
        </w:rPr>
        <w:t xml:space="preserve">οποίος αποτελείται από απαιτήσεις του Πυλώνα Ι ύψους 8.00%, εκ των οποίων 1.50% μπορεί να είναι υπό μορφή Πρόσθετων Κεφαλαίων Κατηγορίας 1 (ΑΤ1) και μέχρι 2.00% υπό μορφή Κεφαλαίου Κατηγορίας 2 </w:t>
      </w:r>
      <w:r w:rsidR="008723F0" w:rsidRPr="00EF52C6">
        <w:rPr>
          <w:color w:val="auto"/>
          <w:sz w:val="18"/>
          <w:szCs w:val="18"/>
          <w:lang w:val="el-GR"/>
        </w:rPr>
        <w:t>(Τ2),  απαιτήσεις του Πυλώνα ΙΙ ύψους 2.75%, Απόθεμα Ασφαλείας Διατήρησης Κεφαλαίου (CCB) ύψους 2.50%, Απόθεμα Ασφαλείας των Άλλων Συστημικά Σημαντικών Ιδρυμάτων (O-SII) ύψους 1.875% και Αντικυκλικό Απόθεμα Ασφαλείας (</w:t>
      </w:r>
      <w:r w:rsidR="008723F0" w:rsidRPr="00EF52C6">
        <w:rPr>
          <w:color w:val="auto"/>
          <w:sz w:val="18"/>
          <w:szCs w:val="18"/>
        </w:rPr>
        <w:t>CcyB</w:t>
      </w:r>
      <w:r w:rsidR="008723F0" w:rsidRPr="00EF52C6">
        <w:rPr>
          <w:color w:val="auto"/>
          <w:sz w:val="18"/>
          <w:szCs w:val="18"/>
          <w:lang w:val="el-GR"/>
        </w:rPr>
        <w:t>) ύψους</w:t>
      </w:r>
      <w:r w:rsidR="009D7A00" w:rsidRPr="009D7A00">
        <w:rPr>
          <w:color w:val="auto"/>
          <w:sz w:val="18"/>
          <w:szCs w:val="18"/>
          <w:lang w:val="el-GR"/>
        </w:rPr>
        <w:t xml:space="preserve"> </w:t>
      </w:r>
      <w:r w:rsidR="009D7A00">
        <w:rPr>
          <w:color w:val="auto"/>
          <w:sz w:val="18"/>
          <w:szCs w:val="18"/>
          <w:lang w:val="el-GR"/>
        </w:rPr>
        <w:t xml:space="preserve">περίπου </w:t>
      </w:r>
      <w:r w:rsidR="00AC7A39" w:rsidRPr="00EF52C6">
        <w:rPr>
          <w:color w:val="auto"/>
          <w:sz w:val="18"/>
          <w:szCs w:val="18"/>
          <w:lang w:val="el-GR"/>
        </w:rPr>
        <w:t>0.94</w:t>
      </w:r>
      <w:r w:rsidR="008723F0" w:rsidRPr="006A1797">
        <w:rPr>
          <w:color w:val="auto"/>
          <w:sz w:val="18"/>
          <w:szCs w:val="18"/>
          <w:lang w:val="el-GR"/>
        </w:rPr>
        <w:t>%</w:t>
      </w:r>
      <w:r w:rsidR="008723F0" w:rsidRPr="00EF52C6">
        <w:rPr>
          <w:color w:val="auto"/>
          <w:sz w:val="18"/>
          <w:szCs w:val="18"/>
          <w:lang w:val="el-GR"/>
        </w:rPr>
        <w:t xml:space="preserve">. </w:t>
      </w:r>
      <w:r w:rsidR="008723F0" w:rsidRPr="00EF52C6">
        <w:rPr>
          <w:sz w:val="18"/>
          <w:szCs w:val="18"/>
          <w:lang w:val="el-GR"/>
        </w:rPr>
        <w:t xml:space="preserve">Η ΕΚΤ έχει </w:t>
      </w:r>
      <w:r w:rsidR="008D5538" w:rsidRPr="00EF52C6">
        <w:rPr>
          <w:sz w:val="18"/>
          <w:szCs w:val="18"/>
          <w:lang w:val="el-GR"/>
        </w:rPr>
        <w:t>δώσει</w:t>
      </w:r>
      <w:r w:rsidR="008723F0" w:rsidRPr="00EF52C6">
        <w:rPr>
          <w:sz w:val="18"/>
          <w:szCs w:val="18"/>
          <w:lang w:val="el-GR"/>
        </w:rPr>
        <w:t xml:space="preserve"> επίσης αναθεωρημένη χαμηλότερη μη δημόσια καθοδήγηση για πρόσθετα αποθέματα του δείκτη Κεφαλαίου Κοινών Μετοχών Κατηγορίας 1 (CET1) με βάση τις κεφαλαιακές απαιτήσεις του Πυλώνα ΙΙ, σε σύγκριση με το προηγούμενο έτος. </w:t>
      </w:r>
    </w:p>
    <w:p w14:paraId="7C39B517" w14:textId="77777777" w:rsidR="00870528" w:rsidRPr="00EF52C6" w:rsidRDefault="00870528" w:rsidP="008723F0">
      <w:pPr>
        <w:pStyle w:val="Default"/>
        <w:jc w:val="both"/>
        <w:rPr>
          <w:sz w:val="18"/>
          <w:szCs w:val="18"/>
          <w:lang w:val="el-GR"/>
        </w:rPr>
      </w:pPr>
    </w:p>
    <w:p w14:paraId="5E237AA4" w14:textId="77777777" w:rsidR="00352599" w:rsidRPr="00EF52C6" w:rsidRDefault="00352599" w:rsidP="00D26789">
      <w:pPr>
        <w:spacing w:after="0" w:line="240" w:lineRule="auto"/>
        <w:jc w:val="both"/>
        <w:rPr>
          <w:rFonts w:ascii="Arial" w:hAnsi="Arial" w:cs="Arial"/>
          <w:sz w:val="18"/>
          <w:szCs w:val="18"/>
          <w:lang w:val="el-GR"/>
        </w:rPr>
      </w:pPr>
      <w:r w:rsidRPr="00EF52C6">
        <w:rPr>
          <w:rFonts w:ascii="Arial" w:hAnsi="Arial" w:cs="Arial"/>
          <w:sz w:val="18"/>
          <w:szCs w:val="18"/>
          <w:lang w:val="el-GR"/>
        </w:rPr>
        <w:t xml:space="preserve">Τα ίδια κεφάλαια που κατέχονται για σκοπούς Καθοδήγησης του Πυλώνα II δεν μπορούν να χρησιμοποιηθούν για την ικανοποίηση οποιωνδήποτε άλλων κεφαλαιακών απαιτήσεων (απαιτήσεις του Πυλώνα Ι, απαιτήσεις του Πυλώνα ΙΙ ή την απαίτηση του συνδυασμένου αποθέματος ασφαλείας), κι ως εκ τούτου δεν μπορούν να χρησιμοποιηθούν δύο φορές. </w:t>
      </w:r>
    </w:p>
    <w:p w14:paraId="6C49DA82" w14:textId="77777777" w:rsidR="00FF36F2" w:rsidRPr="00EF52C6" w:rsidRDefault="00FF36F2" w:rsidP="00D26789">
      <w:pPr>
        <w:pStyle w:val="Default"/>
        <w:jc w:val="both"/>
        <w:rPr>
          <w:color w:val="auto"/>
          <w:sz w:val="18"/>
          <w:szCs w:val="18"/>
          <w:lang w:val="el-GR"/>
        </w:rPr>
      </w:pPr>
    </w:p>
    <w:p w14:paraId="3E949270" w14:textId="7A1A39A2" w:rsidR="00A45823" w:rsidRPr="006A1797" w:rsidRDefault="00A45823" w:rsidP="00A45823">
      <w:pPr>
        <w:pStyle w:val="Default"/>
        <w:jc w:val="both"/>
        <w:rPr>
          <w:sz w:val="18"/>
          <w:szCs w:val="18"/>
          <w:highlight w:val="yellow"/>
          <w:lang w:val="el-GR"/>
        </w:rPr>
      </w:pPr>
      <w:r w:rsidRPr="00EF52C6">
        <w:rPr>
          <w:color w:val="auto"/>
          <w:sz w:val="18"/>
          <w:szCs w:val="18"/>
          <w:lang w:val="el-GR"/>
        </w:rPr>
        <w:t xml:space="preserve">H ελάχιστη απαίτηση για τον δείκτη Κεφαλαίου Κοινών Μετοχών Κατηγορίας 1 (CET1) με μεταβατικές διατάξεις στις 31 Δεκεμβρίου 2023 καθορίστηκε σε </w:t>
      </w:r>
      <w:r w:rsidRPr="00EF52C6">
        <w:rPr>
          <w:b/>
          <w:bCs/>
          <w:color w:val="auto"/>
          <w:sz w:val="18"/>
          <w:szCs w:val="18"/>
          <w:lang w:val="el-GR"/>
        </w:rPr>
        <w:t>10.72%</w:t>
      </w:r>
      <w:r w:rsidRPr="00EF52C6">
        <w:rPr>
          <w:color w:val="auto"/>
          <w:sz w:val="18"/>
          <w:szCs w:val="18"/>
          <w:lang w:val="el-GR"/>
        </w:rPr>
        <w:t>,</w:t>
      </w:r>
      <w:r w:rsidRPr="00EF52C6">
        <w:rPr>
          <w:b/>
          <w:bCs/>
          <w:color w:val="auto"/>
          <w:sz w:val="18"/>
          <w:szCs w:val="18"/>
          <w:lang w:val="el-GR"/>
        </w:rPr>
        <w:t xml:space="preserve"> </w:t>
      </w:r>
      <w:r w:rsidRPr="00EF52C6">
        <w:rPr>
          <w:sz w:val="18"/>
          <w:szCs w:val="18"/>
          <w:lang w:val="el-GR"/>
        </w:rPr>
        <w:t>ο οποίος αποτελείται από απαιτήσεις του Πυλώνα Ι ύψους 4.50%, απαιτήσεις του Πυλώνα ΙΙ ύψους 1.73%, Απόθεμα Ασφαλείας Διατήρησης Κεφαλαίου (CCB) ύψους 2.50%, Απόθεμα Ασφαλείας των Άλλων Συστημικά Σημαντικών Ιδρυμάτων (O-SII) ύψους 1.50% και Αντικυκλικό Απόθεμα Ασφαλείας (</w:t>
      </w:r>
      <w:r w:rsidRPr="00EF52C6">
        <w:rPr>
          <w:sz w:val="18"/>
          <w:szCs w:val="18"/>
        </w:rPr>
        <w:t>CcyB</w:t>
      </w:r>
      <w:r w:rsidRPr="00EF52C6">
        <w:rPr>
          <w:sz w:val="18"/>
          <w:szCs w:val="18"/>
          <w:lang w:val="el-GR"/>
        </w:rPr>
        <w:t xml:space="preserve">) ύψους περίπου </w:t>
      </w:r>
      <w:r w:rsidRPr="00EF52C6">
        <w:rPr>
          <w:color w:val="auto"/>
          <w:sz w:val="18"/>
          <w:szCs w:val="18"/>
          <w:lang w:val="el-GR"/>
        </w:rPr>
        <w:t xml:space="preserve">0.48%. </w:t>
      </w:r>
      <w:r w:rsidRPr="00EF52C6">
        <w:rPr>
          <w:sz w:val="18"/>
          <w:szCs w:val="18"/>
          <w:lang w:val="en-US"/>
        </w:rPr>
        <w:t>H</w:t>
      </w:r>
      <w:r w:rsidRPr="00EF52C6">
        <w:rPr>
          <w:sz w:val="18"/>
          <w:szCs w:val="18"/>
          <w:lang w:val="el-GR"/>
        </w:rPr>
        <w:t xml:space="preserve"> ελάχιστη απαίτηση για τον Συνολικό Δείκτη Κεφαλαιακής Επάρκειας με μεταβατικές διατάξεις του Συγκροτήματος </w:t>
      </w:r>
      <w:r w:rsidRPr="00EF52C6">
        <w:rPr>
          <w:color w:val="auto"/>
          <w:sz w:val="18"/>
          <w:szCs w:val="18"/>
          <w:lang w:val="el-GR"/>
        </w:rPr>
        <w:t>καθορίστηκε</w:t>
      </w:r>
      <w:r w:rsidRPr="00EF52C6" w:rsidDel="00BA08C0">
        <w:rPr>
          <w:color w:val="auto"/>
          <w:sz w:val="18"/>
          <w:szCs w:val="18"/>
          <w:lang w:val="el-GR"/>
        </w:rPr>
        <w:t xml:space="preserve"> </w:t>
      </w:r>
      <w:r w:rsidRPr="00EF52C6">
        <w:rPr>
          <w:color w:val="auto"/>
          <w:sz w:val="18"/>
          <w:szCs w:val="18"/>
          <w:lang w:val="el-GR"/>
        </w:rPr>
        <w:t xml:space="preserve">σε </w:t>
      </w:r>
      <w:r w:rsidRPr="00EF52C6">
        <w:rPr>
          <w:b/>
          <w:bCs/>
          <w:color w:val="auto"/>
          <w:sz w:val="18"/>
          <w:szCs w:val="18"/>
          <w:lang w:val="el-GR"/>
        </w:rPr>
        <w:t>15.56%,</w:t>
      </w:r>
      <w:r w:rsidRPr="00EF52C6">
        <w:rPr>
          <w:color w:val="auto"/>
          <w:sz w:val="18"/>
          <w:szCs w:val="18"/>
          <w:lang w:val="el-GR"/>
        </w:rPr>
        <w:t xml:space="preserve"> ο οποίος αποτελείται από απαιτήσεις του Πυλώνα Ι ύψους 8.00%, εκ των οποίων 1.50% μπορεί να είναι υπό μορφή Πρόσθετων Κεφαλαίων Κατηγορίας 1 (ΑΤ1) και μέχρι 2.00% υπό μορφή Κεφαλαίου Κατηγορίας 2 (Τ2), απαιτήσεις του Πυλώνα ΙΙ ύψους 3.08%, Απόθεμα Ασφαλείας Διατήρησης Κεφαλαίου (CCB) ύψους 2.50%, Απόθεμα Ασφαλείας των Άλλων Συστημικά Σημαντικών Ιδρυμάτων (O-SII) ύψους 1.50% και Αντικυκλικό Απόθεμα Ασφαλείας (</w:t>
      </w:r>
      <w:r w:rsidRPr="00EF52C6">
        <w:rPr>
          <w:color w:val="auto"/>
          <w:sz w:val="18"/>
          <w:szCs w:val="18"/>
        </w:rPr>
        <w:t>CcyB</w:t>
      </w:r>
      <w:r w:rsidRPr="00EF52C6">
        <w:rPr>
          <w:color w:val="auto"/>
          <w:sz w:val="18"/>
          <w:szCs w:val="18"/>
          <w:lang w:val="el-GR"/>
        </w:rPr>
        <w:t xml:space="preserve">) ύψους περίπου 0.48%. </w:t>
      </w:r>
      <w:r w:rsidR="00AC7A39" w:rsidRPr="006A1797">
        <w:rPr>
          <w:color w:val="auto"/>
          <w:sz w:val="18"/>
          <w:szCs w:val="18"/>
          <w:lang w:val="el-GR"/>
        </w:rPr>
        <w:t>Σε συνέχεια της ετήσιας</w:t>
      </w:r>
      <w:r w:rsidRPr="00EF52C6">
        <w:rPr>
          <w:sz w:val="18"/>
          <w:szCs w:val="18"/>
          <w:lang w:val="el-GR"/>
        </w:rPr>
        <w:t xml:space="preserve"> ΔΕΕΑ που πραγματοποιήθηκε από την ΕΚΤ το 2022, η ΕΚΤ έχει επίσης διατηρήσει στο ίδιο επίπεδο, τη μη δημόσια καθοδήγηση για πρόσθετα αποθέματα του δείκτη Κεφαλαίου Κοινών Μετοχών Κατηγορίας 1 (CET1) με βάση τις κεφαλαιακές απαιτήσεις του Πυλώνα ΙΙ</w:t>
      </w:r>
      <w:r w:rsidR="00063F9B">
        <w:rPr>
          <w:sz w:val="18"/>
          <w:szCs w:val="18"/>
          <w:lang w:val="el-GR"/>
        </w:rPr>
        <w:t xml:space="preserve"> για το 2023</w:t>
      </w:r>
      <w:r w:rsidR="00F10DC5" w:rsidRPr="00F10DC5">
        <w:rPr>
          <w:sz w:val="18"/>
          <w:szCs w:val="18"/>
          <w:lang w:val="el-GR"/>
        </w:rPr>
        <w:t>,</w:t>
      </w:r>
      <w:r w:rsidRPr="00EF52C6">
        <w:rPr>
          <w:sz w:val="18"/>
          <w:szCs w:val="18"/>
          <w:lang w:val="el-GR"/>
        </w:rPr>
        <w:t xml:space="preserve"> σε σύγκριση με το </w:t>
      </w:r>
      <w:r w:rsidR="00C36CFA" w:rsidRPr="00EF52C6">
        <w:rPr>
          <w:sz w:val="18"/>
          <w:szCs w:val="18"/>
          <w:lang w:val="el-GR"/>
        </w:rPr>
        <w:t>2022</w:t>
      </w:r>
      <w:r w:rsidRPr="00EF52C6">
        <w:rPr>
          <w:sz w:val="18"/>
          <w:szCs w:val="18"/>
          <w:lang w:val="el-GR"/>
        </w:rPr>
        <w:t>.</w:t>
      </w:r>
    </w:p>
    <w:p w14:paraId="7E58CEBA" w14:textId="77777777" w:rsidR="006B1F4F" w:rsidRPr="00F4518C" w:rsidRDefault="006B1F4F">
      <w:pPr>
        <w:pStyle w:val="Default"/>
        <w:jc w:val="both"/>
        <w:rPr>
          <w:color w:val="FF0000"/>
          <w:sz w:val="18"/>
          <w:szCs w:val="18"/>
          <w:highlight w:val="yellow"/>
          <w:lang w:val="el-GR"/>
        </w:rPr>
      </w:pPr>
    </w:p>
    <w:p w14:paraId="4BC9C706" w14:textId="0BC2D74E" w:rsidR="00C4407A" w:rsidRPr="006A1797" w:rsidRDefault="006E6709" w:rsidP="006A1797">
      <w:pPr>
        <w:pStyle w:val="BodyText3"/>
        <w:spacing w:line="360" w:lineRule="auto"/>
        <w:jc w:val="both"/>
        <w:rPr>
          <w:lang w:val="el-GR"/>
        </w:rPr>
      </w:pPr>
      <w:r w:rsidRPr="00EF52C6">
        <w:rPr>
          <w:rFonts w:ascii="Arial" w:hAnsi="Arial" w:cs="Arial"/>
          <w:b/>
          <w:bCs/>
          <w:color w:val="FF9900"/>
          <w:sz w:val="20"/>
          <w:lang w:val="el-GR"/>
        </w:rPr>
        <w:t>Διανομές</w:t>
      </w:r>
    </w:p>
    <w:p w14:paraId="40A31B32" w14:textId="4CCA9584" w:rsidR="00EC3823" w:rsidRPr="00EF52C6" w:rsidRDefault="00EC3823" w:rsidP="00EC3823">
      <w:pPr>
        <w:spacing w:after="0" w:line="240" w:lineRule="auto"/>
        <w:jc w:val="both"/>
        <w:rPr>
          <w:rFonts w:ascii="Arial" w:hAnsi="Arial" w:cs="Arial"/>
          <w:bCs/>
          <w:sz w:val="18"/>
          <w:szCs w:val="28"/>
          <w:lang w:val="el-GR"/>
        </w:rPr>
      </w:pPr>
      <w:r w:rsidRPr="00EF52C6">
        <w:rPr>
          <w:rFonts w:ascii="Arial" w:hAnsi="Arial" w:cs="Arial"/>
          <w:bCs/>
          <w:sz w:val="18"/>
          <w:szCs w:val="28"/>
          <w:lang w:val="el-GR"/>
        </w:rPr>
        <w:t>Τον Απρίλιο 2023, η Εταιρία έλαβε την έγκριση από την ΕΚΤ για πληρωμή μερίσματος</w:t>
      </w:r>
      <w:r w:rsidR="00EF0C5E" w:rsidRPr="00EF52C6">
        <w:rPr>
          <w:rFonts w:ascii="Arial" w:hAnsi="Arial" w:cs="Arial"/>
          <w:bCs/>
          <w:sz w:val="18"/>
          <w:szCs w:val="28"/>
          <w:lang w:val="el-GR"/>
        </w:rPr>
        <w:t xml:space="preserve"> </w:t>
      </w:r>
      <w:r w:rsidRPr="00EF52C6">
        <w:rPr>
          <w:rFonts w:ascii="Arial" w:hAnsi="Arial" w:cs="Arial"/>
          <w:bCs/>
          <w:sz w:val="18"/>
          <w:szCs w:val="28"/>
          <w:lang w:val="el-GR"/>
        </w:rPr>
        <w:t>ύψους €0.05 ανά συνήθη</w:t>
      </w:r>
      <w:r w:rsidR="00EF0C5E" w:rsidRPr="00EF52C6">
        <w:rPr>
          <w:rFonts w:ascii="Arial" w:hAnsi="Arial" w:cs="Arial"/>
          <w:bCs/>
          <w:sz w:val="18"/>
          <w:szCs w:val="28"/>
          <w:lang w:val="el-GR"/>
        </w:rPr>
        <w:t xml:space="preserve"> </w:t>
      </w:r>
      <w:r w:rsidRPr="00EF52C6">
        <w:rPr>
          <w:rFonts w:ascii="Arial" w:hAnsi="Arial" w:cs="Arial"/>
          <w:bCs/>
          <w:sz w:val="18"/>
          <w:szCs w:val="28"/>
          <w:lang w:val="el-GR"/>
        </w:rPr>
        <w:t>μετοχή από τα κέρδη για το έτος που έληξε στις 31 Δεκεμβρίου 2022</w:t>
      </w:r>
      <w:r w:rsidR="00EF0C5E" w:rsidRPr="00EF52C6">
        <w:rPr>
          <w:rFonts w:ascii="Arial" w:hAnsi="Arial" w:cs="Arial"/>
          <w:bCs/>
          <w:sz w:val="18"/>
          <w:szCs w:val="28"/>
          <w:lang w:val="el-GR"/>
        </w:rPr>
        <w:t xml:space="preserve">. Αυτό </w:t>
      </w:r>
      <w:r w:rsidR="00AC7A39" w:rsidRPr="006A1797">
        <w:rPr>
          <w:rFonts w:ascii="Arial" w:hAnsi="Arial" w:cs="Arial"/>
          <w:bCs/>
          <w:sz w:val="18"/>
          <w:szCs w:val="28"/>
          <w:lang w:val="el-GR"/>
        </w:rPr>
        <w:t>σηματοδοτούσε</w:t>
      </w:r>
      <w:r w:rsidR="00AC7A39" w:rsidRPr="00EF52C6">
        <w:rPr>
          <w:rFonts w:ascii="Arial" w:hAnsi="Arial" w:cs="Arial"/>
          <w:bCs/>
          <w:sz w:val="18"/>
          <w:szCs w:val="28"/>
          <w:lang w:val="el-GR"/>
        </w:rPr>
        <w:t xml:space="preserve"> </w:t>
      </w:r>
      <w:r w:rsidR="00EF0C5E" w:rsidRPr="00EF52C6">
        <w:rPr>
          <w:rFonts w:ascii="Arial" w:hAnsi="Arial" w:cs="Arial"/>
          <w:bCs/>
          <w:sz w:val="18"/>
          <w:szCs w:val="28"/>
          <w:lang w:val="el-GR"/>
        </w:rPr>
        <w:t>την πρώτη πληρωμή μερισμάτων μετά από 12 χρόνια, υποστηρίζοντας τη θέση του Συγκροτήματος ως ένα δυνατό και καλά διαφοροποιημένο οργανισμό, ικανό για παροχή σταθερής απόδοσης στους μετόχους.</w:t>
      </w:r>
      <w:r w:rsidR="00EF0C5E" w:rsidRPr="00EF52C6">
        <w:rPr>
          <w:rFonts w:ascii="Arial" w:hAnsi="Arial" w:cs="Arial"/>
          <w:bCs/>
          <w:sz w:val="18"/>
          <w:szCs w:val="28"/>
          <w:lang w:val="el-GR"/>
        </w:rPr>
        <w:cr/>
      </w:r>
    </w:p>
    <w:p w14:paraId="4B76CF81" w14:textId="52F9030E" w:rsidR="00F77A70" w:rsidRPr="00F4518C" w:rsidRDefault="00FE2A9E" w:rsidP="00FE2A9E">
      <w:pPr>
        <w:spacing w:after="0" w:line="240" w:lineRule="auto"/>
        <w:jc w:val="both"/>
        <w:rPr>
          <w:rFonts w:ascii="Arial" w:hAnsi="Arial" w:cs="Arial"/>
          <w:bCs/>
          <w:sz w:val="18"/>
          <w:szCs w:val="28"/>
          <w:highlight w:val="yellow"/>
          <w:lang w:val="el-GR"/>
        </w:rPr>
      </w:pPr>
      <w:r w:rsidRPr="00EF52C6">
        <w:rPr>
          <w:rFonts w:ascii="Arial" w:hAnsi="Arial" w:cs="Arial"/>
          <w:bCs/>
          <w:sz w:val="18"/>
          <w:szCs w:val="28"/>
          <w:lang w:val="el-GR"/>
        </w:rPr>
        <w:t>Τον Μάρτιο 2024, η Εταιρία έλαβε έγκριση από την ΕΚΤ για πληρωμή μερίσματος σε μετρητά και έναρξη προγράμματος επαναγοράς ιδίων μετοχών (μαζί αναφέρονται ως ‘Διανομή’).</w:t>
      </w:r>
      <w:r w:rsidR="00F77A70" w:rsidRPr="00EF52C6">
        <w:rPr>
          <w:rFonts w:ascii="Arial" w:hAnsi="Arial" w:cs="Arial"/>
          <w:bCs/>
          <w:sz w:val="18"/>
          <w:szCs w:val="28"/>
          <w:lang w:val="el-GR"/>
        </w:rPr>
        <w:t xml:space="preserve"> </w:t>
      </w:r>
      <w:r w:rsidRPr="00EF52C6">
        <w:rPr>
          <w:rFonts w:ascii="Arial" w:hAnsi="Arial" w:cs="Arial"/>
          <w:bCs/>
          <w:sz w:val="18"/>
          <w:szCs w:val="28"/>
          <w:lang w:val="el-GR"/>
        </w:rPr>
        <w:t>Η Διανομή αντιστοιχ</w:t>
      </w:r>
      <w:r w:rsidR="00AC7A39" w:rsidRPr="006A1797">
        <w:rPr>
          <w:rFonts w:ascii="Arial" w:hAnsi="Arial" w:cs="Arial"/>
          <w:bCs/>
          <w:sz w:val="18"/>
          <w:szCs w:val="28"/>
          <w:lang w:val="el-GR"/>
        </w:rPr>
        <w:t>ούσε</w:t>
      </w:r>
      <w:r w:rsidRPr="00EF52C6">
        <w:rPr>
          <w:rFonts w:ascii="Arial" w:hAnsi="Arial" w:cs="Arial"/>
          <w:bCs/>
          <w:sz w:val="18"/>
          <w:szCs w:val="28"/>
          <w:lang w:val="el-GR"/>
        </w:rPr>
        <w:t xml:space="preserve"> σε ποσοστό (payout ratio) 30% της προσαρμοσμένης κερδοφορίας </w:t>
      </w:r>
      <w:r w:rsidRPr="00EF52C6">
        <w:rPr>
          <w:rFonts w:ascii="Arial" w:hAnsi="Arial" w:cs="Arial"/>
          <w:sz w:val="18"/>
          <w:szCs w:val="18"/>
          <w:lang w:val="el-GR"/>
        </w:rPr>
        <w:t>πριν των μη επαναλαμβανόμενων στοιχείων</w:t>
      </w:r>
      <w:r w:rsidRPr="00EF52C6">
        <w:rPr>
          <w:rFonts w:ascii="Arial" w:hAnsi="Arial" w:cs="Arial"/>
          <w:bCs/>
          <w:sz w:val="18"/>
          <w:szCs w:val="28"/>
          <w:lang w:val="el-GR"/>
        </w:rPr>
        <w:t xml:space="preserve"> για το έτος που έληξε στις 31 Δεκεμβρίου 2023 και </w:t>
      </w:r>
      <w:r w:rsidR="00AC7A39" w:rsidRPr="006A1797">
        <w:rPr>
          <w:rFonts w:ascii="Arial" w:hAnsi="Arial" w:cs="Arial"/>
          <w:bCs/>
          <w:sz w:val="18"/>
          <w:szCs w:val="28"/>
          <w:lang w:val="el-GR"/>
        </w:rPr>
        <w:t>ανήλθε</w:t>
      </w:r>
      <w:r w:rsidR="00AC7A39" w:rsidRPr="00EF52C6">
        <w:rPr>
          <w:rFonts w:ascii="Arial" w:hAnsi="Arial" w:cs="Arial"/>
          <w:bCs/>
          <w:sz w:val="18"/>
          <w:szCs w:val="28"/>
          <w:lang w:val="el-GR"/>
        </w:rPr>
        <w:t xml:space="preserve"> </w:t>
      </w:r>
      <w:r w:rsidRPr="00EF52C6">
        <w:rPr>
          <w:rFonts w:ascii="Arial" w:hAnsi="Arial" w:cs="Arial"/>
          <w:bCs/>
          <w:sz w:val="18"/>
          <w:szCs w:val="28"/>
          <w:lang w:val="el-GR"/>
        </w:rPr>
        <w:t>συνολικά σε €137 εκατ., η οποία αποτελείται από μέρισμα σε μετρητά ύψους €112 εκατ. και επαναγορά ιδίων μετοχών ύψους μέχρι €25 εκατ.</w:t>
      </w:r>
      <w:r w:rsidR="00F77A70" w:rsidRPr="00EF52C6">
        <w:rPr>
          <w:rFonts w:ascii="Arial" w:hAnsi="Arial" w:cs="Arial"/>
          <w:bCs/>
          <w:sz w:val="18"/>
          <w:szCs w:val="28"/>
          <w:lang w:val="el-GR"/>
        </w:rPr>
        <w:t xml:space="preserve"> Το προτεινόμενο τελικό μέρισμα ύψους €0.25 ανά συνήθη μετοχή</w:t>
      </w:r>
      <w:r w:rsidR="008B3F72" w:rsidRPr="00EF52C6">
        <w:rPr>
          <w:rFonts w:ascii="Arial" w:hAnsi="Arial" w:cs="Arial"/>
          <w:bCs/>
          <w:sz w:val="18"/>
          <w:szCs w:val="28"/>
          <w:lang w:val="el-GR"/>
        </w:rPr>
        <w:t xml:space="preserve"> εγκρίθηκε στην</w:t>
      </w:r>
      <w:r w:rsidR="008B3F72" w:rsidRPr="00EF52C6">
        <w:rPr>
          <w:rFonts w:ascii="Arial" w:hAnsi="Arial" w:cs="Arial"/>
          <w:sz w:val="18"/>
          <w:szCs w:val="18"/>
          <w:lang w:val="el-GR"/>
        </w:rPr>
        <w:t xml:space="preserve"> Ετήσια Γενική Συνέλευση</w:t>
      </w:r>
      <w:r w:rsidR="008B3F72" w:rsidRPr="00EF52C6">
        <w:rPr>
          <w:rFonts w:ascii="Arial" w:hAnsi="Arial" w:cs="Arial"/>
          <w:bCs/>
          <w:sz w:val="18"/>
          <w:szCs w:val="28"/>
          <w:lang w:val="el-GR"/>
        </w:rPr>
        <w:t xml:space="preserve"> (‘ΕΓΣ’), η οποία πραγματοποιήθηκε στις 17 Μαΐου 2024. Το μέρισμα πληρώθηκε σε μετρητά στις 14 Ιουνίου 2024. </w:t>
      </w:r>
    </w:p>
    <w:p w14:paraId="1BB3F93E" w14:textId="77777777" w:rsidR="00870528" w:rsidRPr="00EF52C6" w:rsidRDefault="00870528" w:rsidP="00FE2A9E">
      <w:pPr>
        <w:spacing w:after="0" w:line="240" w:lineRule="auto"/>
        <w:jc w:val="both"/>
        <w:rPr>
          <w:rFonts w:ascii="Arial" w:hAnsi="Arial" w:cs="Arial"/>
          <w:bCs/>
          <w:sz w:val="18"/>
          <w:szCs w:val="28"/>
          <w:lang w:val="el-GR"/>
        </w:rPr>
      </w:pPr>
    </w:p>
    <w:p w14:paraId="0A625264" w14:textId="687B824F" w:rsidR="00AF4D3B" w:rsidRPr="00EF52C6" w:rsidRDefault="007D2904" w:rsidP="00FE2A9E">
      <w:pPr>
        <w:spacing w:after="0" w:line="240" w:lineRule="auto"/>
        <w:jc w:val="both"/>
        <w:rPr>
          <w:rFonts w:ascii="Arial" w:hAnsi="Arial" w:cs="Arial"/>
          <w:bCs/>
          <w:sz w:val="18"/>
          <w:szCs w:val="28"/>
          <w:lang w:val="el-GR"/>
        </w:rPr>
      </w:pPr>
      <w:r w:rsidRPr="00EF52C6">
        <w:rPr>
          <w:rFonts w:ascii="Arial" w:hAnsi="Arial" w:cs="Arial"/>
          <w:bCs/>
          <w:sz w:val="18"/>
          <w:szCs w:val="28"/>
          <w:lang w:val="el-GR"/>
        </w:rPr>
        <w:t>Τον Απρίλιο 2024, το Συγκρότημα προχώρησε στην έναρξη του πρώτου προγράμματος επαναγοράς συνήθων μετοχών της Εταιρίας, με το συνολικό ποσό να ανέρχεται μέχρι €25 εκατ. (το ‘Πρόγραμμα’). Σκοπός του Προγράμματος είναι η μείωση του μετοχικού κεφαλαίου της Εταιρίας και επομένως οι μετοχές που θα αγοραστούν στα πλαίσια του Προγράμματος θα ακυρωθούν.</w:t>
      </w:r>
      <w:r w:rsidR="00AC7A39" w:rsidRPr="006A1797">
        <w:rPr>
          <w:rFonts w:ascii="Arial" w:hAnsi="Arial" w:cs="Arial"/>
          <w:bCs/>
          <w:sz w:val="18"/>
          <w:szCs w:val="28"/>
          <w:lang w:val="el-GR"/>
        </w:rPr>
        <w:t xml:space="preserve"> </w:t>
      </w:r>
      <w:r w:rsidRPr="00EF52C6">
        <w:rPr>
          <w:rFonts w:ascii="Arial" w:hAnsi="Arial" w:cs="Arial"/>
          <w:bCs/>
          <w:sz w:val="18"/>
          <w:szCs w:val="28"/>
          <w:lang w:val="el-GR"/>
        </w:rPr>
        <w:t>Η Εταιρία έχει συνάψει συμφωνίες μη διακριτικής ευχέρειας με τους Numis Securities Limited (που διαπραγματεύονται ως ‘Deutsche Numis') και τον Κυπριακό Οργανισμό Επενδύσεων και Αξιών Λτδ (‘CISCO’) που ενεργούν από κοινού ως κύριοι ανάδοχοι (‘Joint Lead Managers’) για τη διεξαγωγή του Προγράμματος, για την επαναγορά των Μετοχών για λογαριασμό της Εταιρίας, καθώς και για τη λήψη αποφάσεων διαπραγμάτευσης στο πλαίσιο του Προγράμματος, ανεξάρτητα από την Εταιρία, σύμφωνα με ορισμένες προκαθορισμένες παραμέτρους.</w:t>
      </w:r>
      <w:r w:rsidR="00AC7A39" w:rsidRPr="006A1797">
        <w:rPr>
          <w:rFonts w:ascii="Arial" w:hAnsi="Arial" w:cs="Arial"/>
          <w:bCs/>
          <w:sz w:val="18"/>
          <w:szCs w:val="28"/>
          <w:lang w:val="el-GR"/>
        </w:rPr>
        <w:t xml:space="preserve"> </w:t>
      </w:r>
      <w:r w:rsidRPr="00EF52C6">
        <w:rPr>
          <w:rFonts w:ascii="Arial" w:hAnsi="Arial" w:cs="Arial"/>
          <w:bCs/>
          <w:sz w:val="18"/>
          <w:szCs w:val="28"/>
          <w:lang w:val="el-GR"/>
        </w:rPr>
        <w:t xml:space="preserve">Το Πρόγραμμα πραγματοποιείται στο Χρηματιστήριο Αξιών του Λονδίνου και στο Χρηματιστήριο Αξιών Κύπρου (‘ΧΑΚ’), και μπορεί να συνεχιστεί μέχρι τις 14 Μαρτίου 2025, καθώς υπόκειται στις συνθήκες της αγοράς, στη συνεχή αξιολόγηση των κεφαλαιακών απαιτήσεων της Εταιρίας και σε δικαιώματα πρόωρης λήξης συνήθη για συναλλαγές αυτής της φύσεως. Η έναρξη του προγράμματος επαναγοράς ιδίων μετοχών εφαρμόζεται σύμφωνα με τη γενική εξουσιοδότηση της Εταιρίας για την επαναγορά συνήθων μετοχών της Εταιρίας, όπως εγκρίθηκε από τους μετόχους κατά την ΕΓΣ στις </w:t>
      </w:r>
      <w:r w:rsidR="00323252" w:rsidRPr="00EF52C6">
        <w:rPr>
          <w:rFonts w:ascii="Arial" w:hAnsi="Arial" w:cs="Arial"/>
          <w:bCs/>
          <w:sz w:val="18"/>
          <w:szCs w:val="28"/>
          <w:lang w:val="el-GR"/>
        </w:rPr>
        <w:t xml:space="preserve">17 </w:t>
      </w:r>
      <w:r w:rsidRPr="00EF52C6">
        <w:rPr>
          <w:rFonts w:ascii="Arial" w:hAnsi="Arial" w:cs="Arial"/>
          <w:bCs/>
          <w:sz w:val="18"/>
          <w:szCs w:val="28"/>
          <w:lang w:val="el-GR"/>
        </w:rPr>
        <w:t xml:space="preserve">Μαΐου </w:t>
      </w:r>
      <w:r w:rsidR="00323252" w:rsidRPr="00EF52C6">
        <w:rPr>
          <w:rFonts w:ascii="Arial" w:hAnsi="Arial" w:cs="Arial"/>
          <w:bCs/>
          <w:sz w:val="18"/>
          <w:szCs w:val="28"/>
          <w:lang w:val="el-GR"/>
        </w:rPr>
        <w:t>2024</w:t>
      </w:r>
      <w:r w:rsidRPr="00EF52C6">
        <w:rPr>
          <w:rFonts w:ascii="Arial" w:hAnsi="Arial" w:cs="Arial"/>
          <w:bCs/>
          <w:sz w:val="18"/>
          <w:szCs w:val="28"/>
          <w:lang w:val="el-GR"/>
        </w:rPr>
        <w:t>,</w:t>
      </w:r>
      <w:r w:rsidR="00323252" w:rsidRPr="00EF52C6">
        <w:rPr>
          <w:rFonts w:ascii="Arial" w:hAnsi="Arial" w:cs="Arial"/>
          <w:bCs/>
          <w:sz w:val="18"/>
          <w:szCs w:val="28"/>
          <w:lang w:val="el-GR"/>
        </w:rPr>
        <w:t xml:space="preserve"> </w:t>
      </w:r>
      <w:r w:rsidRPr="00EF52C6">
        <w:rPr>
          <w:rFonts w:ascii="Arial" w:hAnsi="Arial" w:cs="Arial"/>
          <w:bCs/>
          <w:sz w:val="18"/>
          <w:szCs w:val="28"/>
          <w:lang w:val="el-GR"/>
        </w:rPr>
        <w:t>καθώς και με τους όρους της έγκρισης από την ΕΚΤ. Σύμφωνα με την έγκριση της ΕΚΤ, το ανώτατο όριο επαναγοράς μετοχών ανέρχεται μέχρι το 1.6% του συνόλου των υφιστάμενων μετοχών στις 31 Δεκεμβρίου 2023 (δηλαδή μέχρι 7,343,249 μετοχές).</w:t>
      </w:r>
      <w:r w:rsidR="00D022B5">
        <w:rPr>
          <w:rFonts w:ascii="Arial" w:hAnsi="Arial" w:cs="Arial"/>
          <w:bCs/>
          <w:sz w:val="18"/>
          <w:szCs w:val="28"/>
          <w:lang w:val="el-GR"/>
        </w:rPr>
        <w:t xml:space="preserve"> </w:t>
      </w:r>
      <w:r w:rsidR="00AF4D3B" w:rsidRPr="00EF52C6">
        <w:rPr>
          <w:rFonts w:ascii="Arial" w:hAnsi="Arial" w:cs="Arial"/>
          <w:bCs/>
          <w:sz w:val="18"/>
          <w:szCs w:val="28"/>
          <w:lang w:val="el-GR"/>
        </w:rPr>
        <w:t>Η Διανομή από τα κέρδη του 2023 αντιστοιχούσε σε περίπου 13</w:t>
      </w:r>
      <w:r w:rsidR="006D403C" w:rsidRPr="00EF52C6">
        <w:rPr>
          <w:rFonts w:ascii="Arial" w:hAnsi="Arial" w:cs="Arial"/>
          <w:bCs/>
          <w:sz w:val="18"/>
          <w:szCs w:val="28"/>
          <w:lang w:val="el-GR"/>
        </w:rPr>
        <w:t>0</w:t>
      </w:r>
      <w:r w:rsidR="00AF4D3B" w:rsidRPr="00EF52C6">
        <w:rPr>
          <w:rFonts w:ascii="Arial" w:hAnsi="Arial" w:cs="Arial"/>
          <w:bCs/>
          <w:sz w:val="18"/>
          <w:szCs w:val="28"/>
          <w:lang w:val="el-GR"/>
        </w:rPr>
        <w:t xml:space="preserve"> μ.β. στο Δείκτη Κεφαλαίου Κοινών Μετοχών Κατηγορίας 1 (CET1) στις 31 Δεκεμβρίου 2023.</w:t>
      </w:r>
    </w:p>
    <w:p w14:paraId="3D48098D" w14:textId="77777777" w:rsidR="009E64A6" w:rsidRPr="00132262" w:rsidRDefault="009E64A6" w:rsidP="009E64A6">
      <w:pPr>
        <w:pStyle w:val="Default"/>
        <w:jc w:val="both"/>
        <w:rPr>
          <w:color w:val="FF9900"/>
          <w:lang w:val="el-GR"/>
        </w:rPr>
      </w:pPr>
      <w:r w:rsidRPr="00132262">
        <w:rPr>
          <w:b/>
          <w:bCs/>
          <w:color w:val="FF9900"/>
          <w:lang w:val="el-GR"/>
        </w:rPr>
        <w:lastRenderedPageBreak/>
        <w:t xml:space="preserve">Β. Οικονομικά Αποτελέσματα Συγκροτήματος – Υποκείμενη Βάση </w:t>
      </w:r>
      <w:r w:rsidRPr="00132262">
        <w:rPr>
          <w:color w:val="FF9900"/>
          <w:lang w:val="el-GR"/>
        </w:rPr>
        <w:t>(συνέχεια)</w:t>
      </w:r>
    </w:p>
    <w:p w14:paraId="0FA34529" w14:textId="77777777" w:rsidR="009E64A6" w:rsidRPr="00132262" w:rsidRDefault="009E64A6" w:rsidP="009E64A6">
      <w:pPr>
        <w:pStyle w:val="Default"/>
        <w:jc w:val="both"/>
        <w:rPr>
          <w:sz w:val="22"/>
          <w:szCs w:val="22"/>
          <w:lang w:val="el-GR"/>
        </w:rPr>
      </w:pPr>
    </w:p>
    <w:p w14:paraId="05A0EEB2" w14:textId="77777777" w:rsidR="009E64A6" w:rsidRPr="00132262" w:rsidRDefault="009E64A6" w:rsidP="009E64A6">
      <w:pPr>
        <w:rPr>
          <w:rFonts w:ascii="Arial" w:hAnsi="Arial" w:cs="Arial"/>
          <w:b/>
          <w:bCs/>
          <w:color w:val="FF9900"/>
          <w:sz w:val="23"/>
          <w:szCs w:val="23"/>
          <w:lang w:val="el-GR"/>
        </w:rPr>
      </w:pPr>
      <w:r w:rsidRPr="00132262">
        <w:rPr>
          <w:rFonts w:ascii="Arial" w:hAnsi="Arial" w:cs="Arial"/>
          <w:b/>
          <w:bCs/>
          <w:color w:val="FF9900"/>
          <w:sz w:val="23"/>
          <w:szCs w:val="23"/>
          <w:lang w:val="el-GR"/>
        </w:rPr>
        <w:t xml:space="preserve">Β.2 Ανάλυση Ισολογισμού </w:t>
      </w:r>
      <w:r w:rsidRPr="00132262">
        <w:rPr>
          <w:rFonts w:ascii="Arial" w:hAnsi="Arial" w:cs="Arial"/>
          <w:color w:val="FF9900"/>
          <w:sz w:val="23"/>
          <w:szCs w:val="23"/>
          <w:lang w:val="el-GR"/>
        </w:rPr>
        <w:t>(συνέχεια)</w:t>
      </w:r>
    </w:p>
    <w:p w14:paraId="1BCA5C6A" w14:textId="1BDF49B4" w:rsidR="009E64A6" w:rsidRPr="006A1797" w:rsidRDefault="009E64A6" w:rsidP="006A1797">
      <w:pPr>
        <w:spacing w:line="240" w:lineRule="auto"/>
        <w:jc w:val="both"/>
        <w:rPr>
          <w:lang w:val="el-GR"/>
        </w:rPr>
      </w:pPr>
      <w:r w:rsidRPr="00132262">
        <w:rPr>
          <w:rFonts w:ascii="Arial" w:hAnsi="Arial" w:cs="Arial"/>
          <w:b/>
          <w:bCs/>
          <w:color w:val="FF9900"/>
          <w:lang w:val="el-GR"/>
        </w:rPr>
        <w:t xml:space="preserve">Β.2.1 Κεφαλαιακή Βάση </w:t>
      </w:r>
      <w:r w:rsidRPr="00132262">
        <w:rPr>
          <w:rFonts w:ascii="Arial" w:hAnsi="Arial" w:cs="Arial"/>
          <w:color w:val="FF9900"/>
          <w:lang w:val="el-GR"/>
        </w:rPr>
        <w:t>(συνέχεια)</w:t>
      </w:r>
    </w:p>
    <w:p w14:paraId="021FD1E8" w14:textId="3FCFA3C4" w:rsidR="00352599" w:rsidRPr="00EF52C6" w:rsidRDefault="00352599" w:rsidP="004953BA">
      <w:pPr>
        <w:pStyle w:val="BodyText3"/>
        <w:spacing w:line="360" w:lineRule="auto"/>
        <w:jc w:val="both"/>
        <w:rPr>
          <w:rFonts w:ascii="Arial" w:hAnsi="Arial" w:cs="Arial"/>
          <w:b/>
          <w:bCs/>
          <w:color w:val="FF9900"/>
          <w:sz w:val="20"/>
          <w:lang w:val="el-GR"/>
        </w:rPr>
      </w:pPr>
      <w:r w:rsidRPr="00EF52C6">
        <w:rPr>
          <w:rFonts w:ascii="Arial" w:hAnsi="Arial" w:cs="Arial"/>
          <w:b/>
          <w:bCs/>
          <w:color w:val="FF9900"/>
          <w:sz w:val="20"/>
          <w:lang w:val="el-GR"/>
        </w:rPr>
        <w:t xml:space="preserve">Πολιτική </w:t>
      </w:r>
      <w:r w:rsidR="000A6772" w:rsidRPr="00EF52C6">
        <w:rPr>
          <w:rFonts w:ascii="Arial" w:hAnsi="Arial" w:cs="Arial"/>
          <w:b/>
          <w:bCs/>
          <w:color w:val="FF9900"/>
          <w:sz w:val="20"/>
          <w:lang w:val="el-GR"/>
        </w:rPr>
        <w:t>διανομ</w:t>
      </w:r>
      <w:r w:rsidR="00A95341" w:rsidRPr="00EF52C6">
        <w:rPr>
          <w:rFonts w:ascii="Arial" w:hAnsi="Arial" w:cs="Arial"/>
          <w:b/>
          <w:bCs/>
          <w:color w:val="FF9900"/>
          <w:sz w:val="20"/>
          <w:lang w:val="el-GR"/>
        </w:rPr>
        <w:t>ής</w:t>
      </w:r>
    </w:p>
    <w:p w14:paraId="33A3BA69" w14:textId="5996BDFD" w:rsidR="00EA70D7" w:rsidRDefault="00E716AA" w:rsidP="00041D74">
      <w:pPr>
        <w:spacing w:after="0" w:line="240" w:lineRule="auto"/>
        <w:jc w:val="both"/>
        <w:rPr>
          <w:rFonts w:ascii="Arial" w:hAnsi="Arial" w:cs="Arial"/>
          <w:bCs/>
          <w:sz w:val="18"/>
          <w:szCs w:val="28"/>
          <w:lang w:val="el-GR"/>
        </w:rPr>
      </w:pPr>
      <w:r w:rsidRPr="00E716AA">
        <w:rPr>
          <w:rFonts w:ascii="Arial" w:hAnsi="Arial" w:cs="Arial"/>
          <w:bCs/>
          <w:sz w:val="18"/>
          <w:szCs w:val="28"/>
          <w:lang w:val="el-GR"/>
        </w:rPr>
        <w:t>Στόχος του Συγκροτήματος είναι η παροχή σταθερής απόδοσης στους μετόχους. Σύμφωνα με την πολιτική διανομής του Συγκροτήματος, οι διανομές αναμένεται να σημειώνουν σταδιακή αύξηση με στόχο το ποσοστό (payout ratio) να κυμαίνεται μεταξύ 30-50% της προσαρμοσμένης κερδοφορίας πριν των μη επαναλαμβανόμενων στοιχείων του Συγκροτήματος, και να περιλαμβάνουν μερίσματα σε μετρητά και επαναγορά ιδίων μετοχών</w:t>
      </w:r>
      <w:r w:rsidR="004A6139" w:rsidRPr="004A6139">
        <w:rPr>
          <w:rFonts w:ascii="Arial" w:hAnsi="Arial" w:cs="Arial"/>
          <w:bCs/>
          <w:sz w:val="18"/>
          <w:szCs w:val="28"/>
          <w:lang w:val="el-GR"/>
        </w:rPr>
        <w:t xml:space="preserve">, </w:t>
      </w:r>
      <w:r w:rsidR="004A6139">
        <w:rPr>
          <w:rFonts w:ascii="Arial" w:hAnsi="Arial" w:cs="Arial"/>
          <w:bCs/>
          <w:sz w:val="18"/>
          <w:szCs w:val="28"/>
          <w:lang w:val="el-GR"/>
        </w:rPr>
        <w:t>με οποιαδήποτε διανομή να υπόκειται σε κανονιστικές εγκρίσεις</w:t>
      </w:r>
      <w:r w:rsidRPr="00E716AA">
        <w:rPr>
          <w:rFonts w:ascii="Arial" w:hAnsi="Arial" w:cs="Arial"/>
          <w:bCs/>
          <w:sz w:val="18"/>
          <w:szCs w:val="28"/>
          <w:lang w:val="el-GR"/>
        </w:rPr>
        <w:t xml:space="preserve">. Σύμφωνα με την πολιτική διανομής του Συγκροτήματος, το Συγκρότημα είναι προσηλωμένο στην παροχή σταθερών και αυξανόμενων διανομών, συνδυάζοντας μέρισμα σε μετρητά και επαναγορά ιδίων μετοχών, διατηρώντας παράλληλα την ισχυρή κεφαλαιακή του θέση, στηρίζοντας έτσι την αύξηση της κερδοφορίας και τη συνετή ετοιμασία του Συγκροτήματος ως προς τις επερχόμενες πιθανές κανονιστικές αλλαγές. Υποστηριζόμενο από την συνεχή του πρόοδο ως προς τους στρατηγικούς του στόχους, το Συγκρότημα, για το 2024, επιδιώκει να κινηθεί ως </w:t>
      </w:r>
      <w:r w:rsidR="00A92737" w:rsidRPr="00A92737">
        <w:rPr>
          <w:rFonts w:ascii="Arial" w:hAnsi="Arial" w:cs="Arial"/>
          <w:bCs/>
          <w:sz w:val="18"/>
          <w:szCs w:val="28"/>
          <w:lang w:val="el-GR"/>
        </w:rPr>
        <w:t>προς το υψηλότερο άκρο του εύρους του ποσοστού διανομής (δηλαδή 50%), ανάλογα με τις απαιτούμενες εγκρίσεις</w:t>
      </w:r>
      <w:r w:rsidRPr="00E716AA">
        <w:rPr>
          <w:rFonts w:ascii="Arial" w:hAnsi="Arial" w:cs="Arial"/>
          <w:bCs/>
          <w:sz w:val="18"/>
          <w:szCs w:val="28"/>
          <w:lang w:val="el-GR"/>
        </w:rPr>
        <w:t>. Οποιοδήποτε προτεινόμενο ποσό διανομής, καθώς και η προβλεπόμενη κατανομή μεταξύ μερίσματος σε μετρητά και επαναγοράς ιδίων μετοχών, θα λαμβάνει υπόψη τις συνθήκες της αγοράς όπως επίσης και τα αποτελέσματα του σχεδιασμού κεφαλαίου και ρευστότητας κατά τη δεδομένη χρονική στιγμή. Δεδομένης της ισχυρής δημιουργίας κεφαλαίου, η πολιτική διανομής του Συγκροτήματος αναμένεται να επανεξεταστεί με τα οικονομικά αποτελέσματα για το έτος 2024, στο πλαίσιο των εκάστοτε συνθηκών της αγοράς</w:t>
      </w:r>
      <w:r>
        <w:rPr>
          <w:rFonts w:ascii="Arial" w:hAnsi="Arial" w:cs="Arial"/>
          <w:bCs/>
          <w:sz w:val="18"/>
          <w:szCs w:val="28"/>
          <w:lang w:val="el-GR"/>
        </w:rPr>
        <w:t>.</w:t>
      </w:r>
    </w:p>
    <w:p w14:paraId="5C84C5D7" w14:textId="77777777" w:rsidR="00E716AA" w:rsidRPr="00F4518C" w:rsidRDefault="00E716AA" w:rsidP="00041D74">
      <w:pPr>
        <w:spacing w:after="0" w:line="240" w:lineRule="auto"/>
        <w:jc w:val="both"/>
        <w:rPr>
          <w:rFonts w:ascii="Arial" w:hAnsi="Arial" w:cs="Arial"/>
          <w:bCs/>
          <w:sz w:val="18"/>
          <w:szCs w:val="28"/>
          <w:highlight w:val="yellow"/>
          <w:lang w:val="el-GR"/>
        </w:rPr>
      </w:pPr>
    </w:p>
    <w:p w14:paraId="0847C28E" w14:textId="77777777" w:rsidR="000F7ADA" w:rsidRPr="00EF52C6" w:rsidRDefault="000F7ADA" w:rsidP="00CB38F0">
      <w:pPr>
        <w:spacing w:after="0" w:line="360" w:lineRule="auto"/>
        <w:jc w:val="both"/>
        <w:rPr>
          <w:rFonts w:ascii="Arial" w:hAnsi="Arial" w:cs="Arial"/>
          <w:b/>
          <w:bCs/>
          <w:color w:val="FF9900"/>
          <w:sz w:val="20"/>
          <w:szCs w:val="24"/>
          <w:lang w:val="el-GR"/>
        </w:rPr>
      </w:pPr>
      <w:r w:rsidRPr="00EF52C6">
        <w:rPr>
          <w:rFonts w:ascii="Arial" w:hAnsi="Arial" w:cs="Arial"/>
          <w:b/>
          <w:bCs/>
          <w:color w:val="FF9900"/>
          <w:sz w:val="20"/>
          <w:szCs w:val="24"/>
          <w:lang w:val="el-GR"/>
        </w:rPr>
        <w:t>Μετοχικό κεφάλαιο</w:t>
      </w:r>
    </w:p>
    <w:p w14:paraId="1DDFF15F" w14:textId="732A02B9" w:rsidR="000F7ADA" w:rsidRPr="006A1797" w:rsidRDefault="000F7ADA" w:rsidP="000F7ADA">
      <w:pPr>
        <w:spacing w:after="0" w:line="240" w:lineRule="auto"/>
        <w:jc w:val="both"/>
        <w:rPr>
          <w:rFonts w:ascii="Arial" w:hAnsi="Arial" w:cs="Arial"/>
          <w:bCs/>
          <w:sz w:val="18"/>
          <w:szCs w:val="28"/>
          <w:highlight w:val="yellow"/>
          <w:lang w:val="el-GR"/>
        </w:rPr>
      </w:pPr>
      <w:r w:rsidRPr="00EF52C6">
        <w:rPr>
          <w:rFonts w:ascii="Arial" w:hAnsi="Arial" w:cs="Arial"/>
          <w:bCs/>
          <w:sz w:val="18"/>
          <w:szCs w:val="28"/>
          <w:lang w:val="el-GR"/>
        </w:rPr>
        <w:t>Στις 30 Ιουνίου 2024, οι συνολικές εκδοθέν συνήθεις μετοχές, με ονομαστική αξία ύψους €0.10 η κάθε μία, ανήλθαν σε 444,812,058, σε σύγκριση με 446,199,933 εκδοθέν συνήθεις μετοχές στις 31</w:t>
      </w:r>
      <w:r w:rsidR="00155452" w:rsidRPr="00EF52C6">
        <w:rPr>
          <w:rFonts w:ascii="Arial" w:hAnsi="Arial" w:cs="Arial"/>
          <w:bCs/>
          <w:sz w:val="18"/>
          <w:szCs w:val="28"/>
          <w:lang w:val="el-GR"/>
        </w:rPr>
        <w:t xml:space="preserve"> Μαρτίου 2024 και 31</w:t>
      </w:r>
      <w:r w:rsidRPr="00EF52C6">
        <w:rPr>
          <w:rFonts w:ascii="Arial" w:hAnsi="Arial" w:cs="Arial"/>
          <w:bCs/>
          <w:sz w:val="18"/>
          <w:szCs w:val="28"/>
          <w:lang w:val="el-GR"/>
        </w:rPr>
        <w:t xml:space="preserve"> Δεκεμβρίου </w:t>
      </w:r>
      <w:r w:rsidR="007A0969" w:rsidRPr="00EF52C6">
        <w:rPr>
          <w:rFonts w:ascii="Arial" w:hAnsi="Arial" w:cs="Arial"/>
          <w:bCs/>
          <w:sz w:val="18"/>
          <w:szCs w:val="28"/>
          <w:lang w:val="el-GR"/>
        </w:rPr>
        <w:t>2023</w:t>
      </w:r>
      <w:r w:rsidRPr="00EF52C6">
        <w:rPr>
          <w:rFonts w:ascii="Arial" w:hAnsi="Arial" w:cs="Arial"/>
          <w:bCs/>
          <w:sz w:val="18"/>
          <w:szCs w:val="28"/>
          <w:lang w:val="el-GR"/>
        </w:rPr>
        <w:t xml:space="preserve">. </w:t>
      </w:r>
      <w:r w:rsidR="00403EA3" w:rsidRPr="00EF52C6">
        <w:rPr>
          <w:rFonts w:ascii="Arial" w:hAnsi="Arial" w:cs="Arial"/>
          <w:bCs/>
          <w:sz w:val="18"/>
          <w:szCs w:val="28"/>
          <w:lang w:val="el-GR"/>
        </w:rPr>
        <w:t xml:space="preserve">Η μείωση από την αρχή του έτους αφορά το πρόγραμμα επαναγοράς συνήθων μετοχών που ξεκίνησε τον Απρίλιο 2024. Για περισσότερες πληροφορίες, βλέπε μέρος Β.2.1 ‘Κεφαλαιακή Βάση’. </w:t>
      </w:r>
    </w:p>
    <w:p w14:paraId="26AD1344" w14:textId="77777777" w:rsidR="000F7ADA" w:rsidRPr="006A1797" w:rsidRDefault="000F7ADA" w:rsidP="000F7ADA">
      <w:pPr>
        <w:spacing w:after="0" w:line="240" w:lineRule="auto"/>
        <w:jc w:val="both"/>
        <w:rPr>
          <w:rFonts w:ascii="Arial" w:hAnsi="Arial" w:cs="Arial"/>
          <w:bCs/>
          <w:sz w:val="18"/>
          <w:szCs w:val="28"/>
          <w:highlight w:val="yellow"/>
          <w:lang w:val="el-GR"/>
        </w:rPr>
      </w:pPr>
    </w:p>
    <w:p w14:paraId="61EBB7CF" w14:textId="092FF347" w:rsidR="00EA70D7" w:rsidRPr="00EF52C6" w:rsidRDefault="00EA70D7" w:rsidP="00EA70D7">
      <w:pPr>
        <w:spacing w:after="0" w:line="360" w:lineRule="auto"/>
        <w:jc w:val="both"/>
        <w:rPr>
          <w:rFonts w:ascii="Arial" w:hAnsi="Arial" w:cs="Arial"/>
          <w:b/>
          <w:bCs/>
          <w:color w:val="FF9900"/>
          <w:sz w:val="20"/>
          <w:szCs w:val="24"/>
          <w:lang w:val="el-GR"/>
        </w:rPr>
      </w:pPr>
      <w:r w:rsidRPr="00EF52C6">
        <w:rPr>
          <w:rFonts w:ascii="Arial" w:hAnsi="Arial" w:cs="Arial"/>
          <w:b/>
          <w:bCs/>
          <w:color w:val="FF9900"/>
          <w:sz w:val="20"/>
          <w:szCs w:val="24"/>
          <w:lang w:val="el-GR"/>
        </w:rPr>
        <w:t>Λοιποί Συμμε</w:t>
      </w:r>
      <w:r w:rsidR="00B467EB" w:rsidRPr="00EF52C6">
        <w:rPr>
          <w:rFonts w:ascii="Arial" w:hAnsi="Arial" w:cs="Arial"/>
          <w:b/>
          <w:bCs/>
          <w:color w:val="FF9900"/>
          <w:sz w:val="20"/>
          <w:szCs w:val="24"/>
          <w:lang w:val="el-GR"/>
        </w:rPr>
        <w:t>το</w:t>
      </w:r>
      <w:r w:rsidR="0034335D" w:rsidRPr="00EF52C6">
        <w:rPr>
          <w:rFonts w:ascii="Arial" w:hAnsi="Arial" w:cs="Arial"/>
          <w:b/>
          <w:bCs/>
          <w:color w:val="FF9900"/>
          <w:sz w:val="20"/>
          <w:szCs w:val="24"/>
          <w:lang w:val="el-GR"/>
        </w:rPr>
        <w:t>χι</w:t>
      </w:r>
      <w:r w:rsidRPr="00EF52C6">
        <w:rPr>
          <w:rFonts w:ascii="Arial" w:hAnsi="Arial" w:cs="Arial"/>
          <w:b/>
          <w:bCs/>
          <w:color w:val="FF9900"/>
          <w:sz w:val="20"/>
          <w:szCs w:val="24"/>
          <w:lang w:val="el-GR"/>
        </w:rPr>
        <w:t>κοί Τίτλοι</w:t>
      </w:r>
    </w:p>
    <w:p w14:paraId="68A47B38" w14:textId="0A6FA487" w:rsidR="00132A8B" w:rsidRPr="00EF52C6" w:rsidRDefault="00EA70D7" w:rsidP="00132A8B">
      <w:pPr>
        <w:spacing w:after="0" w:line="240" w:lineRule="auto"/>
        <w:jc w:val="both"/>
        <w:rPr>
          <w:rFonts w:ascii="Arial" w:hAnsi="Arial" w:cs="Arial"/>
          <w:color w:val="FF0000"/>
          <w:sz w:val="18"/>
          <w:szCs w:val="18"/>
          <w:lang w:val="el-GR"/>
        </w:rPr>
      </w:pPr>
      <w:r w:rsidRPr="00EF52C6">
        <w:rPr>
          <w:rFonts w:ascii="Arial" w:hAnsi="Arial" w:cs="Arial"/>
          <w:sz w:val="18"/>
          <w:szCs w:val="18"/>
          <w:lang w:val="el-GR"/>
        </w:rPr>
        <w:t xml:space="preserve">Στις </w:t>
      </w:r>
      <w:r w:rsidR="00F968F9" w:rsidRPr="00EF52C6">
        <w:rPr>
          <w:rFonts w:ascii="Arial" w:hAnsi="Arial" w:cs="Arial"/>
          <w:sz w:val="18"/>
          <w:szCs w:val="18"/>
          <w:lang w:val="el-GR"/>
        </w:rPr>
        <w:t xml:space="preserve">30 Ιουνίου </w:t>
      </w:r>
      <w:r w:rsidR="00E16257" w:rsidRPr="00EF52C6">
        <w:rPr>
          <w:rFonts w:ascii="Arial" w:hAnsi="Arial" w:cs="Arial"/>
          <w:sz w:val="18"/>
          <w:szCs w:val="18"/>
          <w:lang w:val="el-GR"/>
        </w:rPr>
        <w:t>2024</w:t>
      </w:r>
      <w:r w:rsidRPr="00EF52C6">
        <w:rPr>
          <w:rFonts w:ascii="Arial" w:hAnsi="Arial" w:cs="Arial"/>
          <w:sz w:val="18"/>
          <w:szCs w:val="18"/>
          <w:lang w:val="el-GR"/>
        </w:rPr>
        <w:t>, οι λοιποί συμμετοχικοί τίτλοι του Συγκροτήματος</w:t>
      </w:r>
      <w:r w:rsidR="00185DE9" w:rsidRPr="00EF52C6">
        <w:rPr>
          <w:rFonts w:ascii="Arial" w:hAnsi="Arial" w:cs="Arial"/>
          <w:sz w:val="18"/>
          <w:szCs w:val="18"/>
          <w:lang w:val="el-GR"/>
        </w:rPr>
        <w:t xml:space="preserve"> αφορούν </w:t>
      </w:r>
      <w:r w:rsidR="00185DE9" w:rsidRPr="00EF52C6">
        <w:rPr>
          <w:rFonts w:ascii="Arial" w:hAnsi="Arial" w:cs="Arial"/>
          <w:sz w:val="18"/>
          <w:lang w:val="el-GR"/>
        </w:rPr>
        <w:t xml:space="preserve">τα Πρόσθετα Κεφάλαια Κατηγορίας 1 (ΑΤ1) και </w:t>
      </w:r>
      <w:r w:rsidRPr="00EF52C6">
        <w:rPr>
          <w:rFonts w:ascii="Arial" w:hAnsi="Arial" w:cs="Arial"/>
          <w:sz w:val="18"/>
          <w:szCs w:val="18"/>
          <w:lang w:val="el-GR"/>
        </w:rPr>
        <w:t>ανήλθαν σε €</w:t>
      </w:r>
      <w:r w:rsidR="00031006" w:rsidRPr="00EF52C6">
        <w:rPr>
          <w:rFonts w:ascii="Arial" w:hAnsi="Arial" w:cs="Arial"/>
          <w:sz w:val="18"/>
          <w:szCs w:val="18"/>
          <w:lang w:val="el-GR"/>
        </w:rPr>
        <w:t xml:space="preserve">220 </w:t>
      </w:r>
      <w:r w:rsidRPr="00EF52C6">
        <w:rPr>
          <w:rFonts w:ascii="Arial" w:hAnsi="Arial" w:cs="Arial"/>
          <w:sz w:val="18"/>
          <w:szCs w:val="18"/>
          <w:lang w:val="el-GR"/>
        </w:rPr>
        <w:t>εκατ.</w:t>
      </w:r>
      <w:r w:rsidR="00E16257" w:rsidRPr="00EF52C6">
        <w:rPr>
          <w:rFonts w:ascii="Arial" w:hAnsi="Arial" w:cs="Arial"/>
          <w:sz w:val="18"/>
          <w:szCs w:val="18"/>
          <w:lang w:val="el-GR"/>
        </w:rPr>
        <w:t>, στα ίδια επίπεδα σε τριμηνιαία βάση.</w:t>
      </w:r>
    </w:p>
    <w:p w14:paraId="73A4057C" w14:textId="77777777" w:rsidR="00EA70D7" w:rsidRPr="006A1797" w:rsidRDefault="00EA70D7" w:rsidP="00EA70D7">
      <w:pPr>
        <w:spacing w:after="0" w:line="240" w:lineRule="auto"/>
        <w:jc w:val="both"/>
        <w:rPr>
          <w:rFonts w:ascii="Arial" w:hAnsi="Arial" w:cs="Arial"/>
          <w:sz w:val="18"/>
          <w:szCs w:val="18"/>
          <w:lang w:val="el-GR"/>
        </w:rPr>
      </w:pPr>
    </w:p>
    <w:p w14:paraId="009F5C6F" w14:textId="0BDC755A" w:rsidR="009E64A6" w:rsidRDefault="00DA291C" w:rsidP="00C74CC8">
      <w:pPr>
        <w:spacing w:after="0" w:line="240" w:lineRule="auto"/>
        <w:jc w:val="both"/>
        <w:rPr>
          <w:rFonts w:ascii="Arial" w:hAnsi="Arial" w:cs="Arial"/>
          <w:sz w:val="18"/>
          <w:szCs w:val="18"/>
          <w:lang w:val="el-GR"/>
        </w:rPr>
      </w:pPr>
      <w:r w:rsidRPr="00EF52C6">
        <w:rPr>
          <w:rFonts w:ascii="Arial" w:hAnsi="Arial" w:cs="Arial"/>
          <w:sz w:val="18"/>
          <w:szCs w:val="18"/>
          <w:lang w:val="el-GR"/>
        </w:rPr>
        <w:t xml:space="preserve">Τα </w:t>
      </w:r>
      <w:r w:rsidR="00EA70D7" w:rsidRPr="00EF52C6">
        <w:rPr>
          <w:rFonts w:ascii="Arial" w:hAnsi="Arial" w:cs="Arial"/>
          <w:sz w:val="18"/>
          <w:szCs w:val="18"/>
          <w:lang w:val="el-GR"/>
        </w:rPr>
        <w:t>Χρε</w:t>
      </w:r>
      <w:r w:rsidRPr="00EF52C6">
        <w:rPr>
          <w:rFonts w:ascii="Arial" w:hAnsi="Arial" w:cs="Arial"/>
          <w:sz w:val="18"/>
          <w:szCs w:val="18"/>
          <w:lang w:val="el-GR"/>
        </w:rPr>
        <w:t>ό</w:t>
      </w:r>
      <w:r w:rsidR="00EA70D7" w:rsidRPr="00EF52C6">
        <w:rPr>
          <w:rFonts w:ascii="Arial" w:hAnsi="Arial" w:cs="Arial"/>
          <w:sz w:val="18"/>
          <w:szCs w:val="18"/>
          <w:lang w:val="el-GR"/>
        </w:rPr>
        <w:t>γρ</w:t>
      </w:r>
      <w:r w:rsidRPr="00EF52C6">
        <w:rPr>
          <w:rFonts w:ascii="Arial" w:hAnsi="Arial" w:cs="Arial"/>
          <w:sz w:val="18"/>
          <w:szCs w:val="18"/>
          <w:lang w:val="el-GR"/>
        </w:rPr>
        <w:t>α</w:t>
      </w:r>
      <w:r w:rsidR="00EA70D7" w:rsidRPr="00EF52C6">
        <w:rPr>
          <w:rFonts w:ascii="Arial" w:hAnsi="Arial" w:cs="Arial"/>
          <w:sz w:val="18"/>
          <w:szCs w:val="18"/>
          <w:lang w:val="el-GR"/>
        </w:rPr>
        <w:t>φ</w:t>
      </w:r>
      <w:r w:rsidRPr="00EF52C6">
        <w:rPr>
          <w:rFonts w:ascii="Arial" w:hAnsi="Arial" w:cs="Arial"/>
          <w:sz w:val="18"/>
          <w:szCs w:val="18"/>
          <w:lang w:val="el-GR"/>
        </w:rPr>
        <w:t>α</w:t>
      </w:r>
      <w:r w:rsidR="00EA70D7" w:rsidRPr="00EF52C6">
        <w:rPr>
          <w:rFonts w:ascii="Arial" w:hAnsi="Arial" w:cs="Arial"/>
          <w:sz w:val="18"/>
          <w:szCs w:val="18"/>
          <w:lang w:val="el-GR"/>
        </w:rPr>
        <w:t xml:space="preserve"> Πρόσθετου Κεφαλαίου Κατηγορίας 1 σταθερού επιτοκίου (Fixed Rate Reset Perpetual Additional Tier 1 Capital Securities)</w:t>
      </w:r>
      <w:r w:rsidR="009E64A6">
        <w:rPr>
          <w:rFonts w:ascii="Arial" w:hAnsi="Arial" w:cs="Arial"/>
          <w:sz w:val="18"/>
          <w:szCs w:val="18"/>
          <w:lang w:val="el-GR"/>
        </w:rPr>
        <w:t xml:space="preserve"> </w:t>
      </w:r>
      <w:r w:rsidR="00185DE9" w:rsidRPr="00EF52C6">
        <w:rPr>
          <w:rFonts w:ascii="Arial" w:hAnsi="Arial" w:cs="Arial"/>
          <w:sz w:val="18"/>
          <w:szCs w:val="18"/>
          <w:lang w:val="el-GR"/>
        </w:rPr>
        <w:t xml:space="preserve">αποτελούν μη εξασφαλισμένες και μειωμένης </w:t>
      </w:r>
      <w:r w:rsidR="00AA718D" w:rsidRPr="00EF52C6">
        <w:rPr>
          <w:rFonts w:ascii="Arial" w:hAnsi="Arial" w:cs="Arial"/>
          <w:sz w:val="18"/>
          <w:szCs w:val="18"/>
          <w:lang w:val="el-GR"/>
        </w:rPr>
        <w:t>εξασφάλισης υποχρεώσεις της Εταιρίας</w:t>
      </w:r>
      <w:r w:rsidR="00185DE9" w:rsidRPr="00EF52C6">
        <w:rPr>
          <w:rFonts w:ascii="Arial" w:hAnsi="Arial" w:cs="Arial"/>
          <w:sz w:val="18"/>
          <w:szCs w:val="18"/>
          <w:lang w:val="el-GR"/>
        </w:rPr>
        <w:t xml:space="preserve">, δεν έχουν ημερομηνία λήξης και έχουν τιμή </w:t>
      </w:r>
      <w:r w:rsidR="00822315" w:rsidRPr="00EF52C6">
        <w:rPr>
          <w:rFonts w:ascii="Arial" w:hAnsi="Arial" w:cs="Arial"/>
          <w:sz w:val="18"/>
          <w:szCs w:val="18"/>
          <w:lang w:val="el-GR"/>
        </w:rPr>
        <w:t xml:space="preserve">ίση με </w:t>
      </w:r>
      <w:r w:rsidR="00185DE9" w:rsidRPr="00EF52C6">
        <w:rPr>
          <w:rFonts w:ascii="Arial" w:hAnsi="Arial" w:cs="Arial"/>
          <w:sz w:val="18"/>
          <w:szCs w:val="18"/>
          <w:lang w:val="el-GR"/>
        </w:rPr>
        <w:t>την ονομαστική τους αξία. Φέρουν αρχικό ετήσιο επιτόκιο ύψους 11.875%, θα καταβάλλεται κάθε εξάμηνο αναδρομικά και επανακαθορίζεται στις 21 Δεκεμβρίου 2028 και μετέπειτα ανά κάθε πενταετία.</w:t>
      </w:r>
    </w:p>
    <w:p w14:paraId="17B064D2" w14:textId="77777777" w:rsidR="009E64A6" w:rsidRDefault="009E64A6" w:rsidP="00C74CC8">
      <w:pPr>
        <w:spacing w:after="0" w:line="240" w:lineRule="auto"/>
        <w:jc w:val="both"/>
        <w:rPr>
          <w:rFonts w:ascii="Arial" w:hAnsi="Arial" w:cs="Arial"/>
          <w:sz w:val="18"/>
          <w:szCs w:val="18"/>
          <w:lang w:val="el-GR"/>
        </w:rPr>
      </w:pPr>
    </w:p>
    <w:p w14:paraId="79A9B62B" w14:textId="238EB764" w:rsidR="00C74CC8" w:rsidRPr="00EF52C6" w:rsidRDefault="00185DE9" w:rsidP="00C74CC8">
      <w:pPr>
        <w:spacing w:after="0" w:line="240" w:lineRule="auto"/>
        <w:jc w:val="both"/>
        <w:rPr>
          <w:rFonts w:ascii="Arial" w:hAnsi="Arial" w:cs="Arial"/>
          <w:sz w:val="18"/>
          <w:szCs w:val="18"/>
          <w:lang w:val="el-GR"/>
        </w:rPr>
      </w:pPr>
      <w:r w:rsidRPr="00EF52C6">
        <w:rPr>
          <w:rFonts w:ascii="Arial" w:hAnsi="Arial" w:cs="Arial"/>
          <w:sz w:val="18"/>
          <w:szCs w:val="18"/>
          <w:lang w:val="el-GR"/>
        </w:rPr>
        <w:t>Η Εταιρία έχει το δικαίωμα πρόωρης εξόφλησης των Νέων Χρεογράφων Κεφαλαίου οποιαδήποτε ημέρα από 21 Ιουνίου 2028 μέχρι 21 Δεκεμβρίου 2028 (συμπεριλαμβανομένων των πιο πάνω ημερομηνιών)</w:t>
      </w:r>
      <w:r w:rsidR="00C74CC8" w:rsidRPr="00EF52C6">
        <w:rPr>
          <w:rFonts w:ascii="Arial" w:hAnsi="Arial" w:cs="Arial"/>
          <w:sz w:val="18"/>
          <w:szCs w:val="18"/>
          <w:lang w:val="el-GR"/>
        </w:rPr>
        <w:t xml:space="preserve"> και σε κάθε επόμενη ημερομηνία πληρωμής τόκων, υπό τη αίρεση εποπτικών εγκρίσεων και των σχετικών όρων εξόφλησης.</w:t>
      </w:r>
      <w:r w:rsidR="00634777" w:rsidRPr="00EF52C6">
        <w:rPr>
          <w:rFonts w:ascii="Arial" w:hAnsi="Arial" w:cs="Arial"/>
          <w:sz w:val="18"/>
          <w:szCs w:val="18"/>
          <w:lang w:val="el-GR"/>
        </w:rPr>
        <w:t xml:space="preserve"> </w:t>
      </w:r>
    </w:p>
    <w:p w14:paraId="2136791A" w14:textId="42A7A4D6" w:rsidR="00132A8B" w:rsidRPr="00F4518C" w:rsidRDefault="00132A8B" w:rsidP="008E728F">
      <w:pPr>
        <w:spacing w:after="0" w:line="240" w:lineRule="auto"/>
        <w:jc w:val="both"/>
        <w:rPr>
          <w:rFonts w:ascii="Arial" w:hAnsi="Arial" w:cs="Arial"/>
          <w:sz w:val="14"/>
          <w:szCs w:val="14"/>
          <w:highlight w:val="yellow"/>
          <w:lang w:val="el-GR"/>
        </w:rPr>
      </w:pPr>
    </w:p>
    <w:p w14:paraId="607051DB" w14:textId="3FA1C60A" w:rsidR="005B1FD5" w:rsidRPr="003E1DFA" w:rsidRDefault="005B1FD5" w:rsidP="005B1FD5">
      <w:pPr>
        <w:pStyle w:val="BodyText3"/>
        <w:spacing w:line="360" w:lineRule="auto"/>
        <w:jc w:val="both"/>
        <w:rPr>
          <w:rFonts w:ascii="Arial" w:hAnsi="Arial" w:cs="Arial"/>
          <w:b/>
          <w:bCs/>
          <w:color w:val="FF9900"/>
          <w:sz w:val="20"/>
          <w:lang w:val="el-GR"/>
        </w:rPr>
      </w:pPr>
      <w:r w:rsidRPr="003E1DFA">
        <w:rPr>
          <w:rFonts w:ascii="Arial" w:hAnsi="Arial" w:cs="Arial"/>
          <w:b/>
          <w:bCs/>
          <w:color w:val="FF9900"/>
          <w:sz w:val="20"/>
          <w:lang w:val="el-GR"/>
        </w:rPr>
        <w:t xml:space="preserve">Νομοθετικές μεταρρυθμίσεις για τη μετατροπή των ΑΦΑ σε ΑΦΠ </w:t>
      </w:r>
    </w:p>
    <w:p w14:paraId="3C3F7099" w14:textId="66537958" w:rsidR="00724793" w:rsidRPr="006A1797" w:rsidRDefault="00724793" w:rsidP="00041D74">
      <w:pPr>
        <w:spacing w:after="0" w:line="240" w:lineRule="auto"/>
        <w:jc w:val="both"/>
        <w:rPr>
          <w:rFonts w:ascii="Arial" w:hAnsi="Arial" w:cs="Arial"/>
          <w:b/>
          <w:bCs/>
          <w:color w:val="FF9900"/>
          <w:sz w:val="20"/>
          <w:szCs w:val="24"/>
          <w:highlight w:val="yellow"/>
          <w:lang w:val="el-GR"/>
        </w:rPr>
      </w:pPr>
      <w:r w:rsidRPr="00C04176">
        <w:rPr>
          <w:rFonts w:ascii="Arial" w:hAnsi="Arial" w:cs="Arial"/>
          <w:sz w:val="18"/>
          <w:szCs w:val="18"/>
          <w:lang w:val="el-GR"/>
        </w:rPr>
        <w:t xml:space="preserve">Νομοθετικές μεταρρυθμίσεις που επιτρέπουν τη μετατροπή ορισμένων αναβαλλόμενων φορολογικών απαιτήσεων (ΑΦΑ) σε αναβαλλόμενες φορολογικές πιστώσεις (ΑΦΠ) τέθηκαν σε εφαρμογή </w:t>
      </w:r>
      <w:r w:rsidRPr="00C04176">
        <w:rPr>
          <w:rFonts w:ascii="Arial" w:hAnsi="Arial" w:cs="Arial"/>
          <w:color w:val="000000"/>
          <w:sz w:val="18"/>
          <w:szCs w:val="18"/>
          <w:lang w:val="el-GR"/>
        </w:rPr>
        <w:t>τον Μάρτιο 2019.</w:t>
      </w:r>
      <w:r w:rsidR="00C04176" w:rsidRPr="00C04176">
        <w:rPr>
          <w:rFonts w:ascii="Arial" w:hAnsi="Arial" w:cs="Arial"/>
          <w:color w:val="000000"/>
          <w:sz w:val="18"/>
          <w:szCs w:val="18"/>
          <w:lang w:val="el-GR"/>
        </w:rPr>
        <w:t xml:space="preserve"> </w:t>
      </w:r>
      <w:r w:rsidRPr="00C04176">
        <w:rPr>
          <w:rFonts w:ascii="Arial" w:hAnsi="Arial" w:cs="Arial"/>
          <w:sz w:val="18"/>
          <w:szCs w:val="18"/>
          <w:lang w:val="el-GR"/>
        </w:rPr>
        <w:t xml:space="preserve">Οι νομοθετικές μεταρρυθμίσεις εφαρμόζονται για τη χρήση φορολογικών ζημιών που μεταφέρθηκαν από τη Λαϊκή Τράπεζα στην Τράπεζα τον Μάρτιο 2013. Η εισαγωγή του Κανονισμού Κεφαλαιακών Απαιτήσεων (CRR) και της Οδηγίας Κεφαλαιακών Απαιτήσεων (CRD) IV τον Ιανουάριο 2014 και η σταδιακή εφαρμογή του οδήγησαν σε πιο υψηλές απαιτήσεις κεφαλαίου από την Τράπεζα για αυτές τις ΑΦΑ. Ο νόμος επιτρέπει στα πιστωτικά ιδρύματα να χειρίζονται τις συγκεκριμένες ΑΦΑ ως ‘μη βασιζόμενες σε μελλοντική κερδοφορία’ σύμφωνα με τις διατάξεις του </w:t>
      </w:r>
      <w:r w:rsidRPr="00C04176">
        <w:rPr>
          <w:rFonts w:ascii="Arial" w:hAnsi="Arial" w:cs="Arial"/>
          <w:sz w:val="18"/>
          <w:szCs w:val="18"/>
          <w:lang w:val="en-US"/>
        </w:rPr>
        <w:t>CRR</w:t>
      </w:r>
      <w:r w:rsidRPr="00C04176">
        <w:rPr>
          <w:rFonts w:ascii="Arial" w:hAnsi="Arial" w:cs="Arial"/>
          <w:sz w:val="18"/>
          <w:szCs w:val="18"/>
          <w:lang w:val="el-GR"/>
        </w:rPr>
        <w:t>/</w:t>
      </w:r>
      <w:r w:rsidRPr="00C04176">
        <w:rPr>
          <w:rFonts w:ascii="Arial" w:hAnsi="Arial" w:cs="Arial"/>
          <w:sz w:val="18"/>
          <w:szCs w:val="18"/>
          <w:lang w:val="en-US"/>
        </w:rPr>
        <w:t>CRD</w:t>
      </w:r>
      <w:r w:rsidRPr="00C04176">
        <w:rPr>
          <w:rFonts w:ascii="Arial" w:hAnsi="Arial" w:cs="Arial"/>
          <w:sz w:val="18"/>
          <w:szCs w:val="18"/>
          <w:lang w:val="el-GR"/>
        </w:rPr>
        <w:t xml:space="preserve"> </w:t>
      </w:r>
      <w:r w:rsidRPr="00C04176">
        <w:rPr>
          <w:rFonts w:ascii="Arial" w:hAnsi="Arial" w:cs="Arial"/>
          <w:sz w:val="18"/>
          <w:szCs w:val="18"/>
          <w:lang w:val="en-US"/>
        </w:rPr>
        <w:t>IV</w:t>
      </w:r>
      <w:r w:rsidRPr="00C04176">
        <w:rPr>
          <w:rFonts w:ascii="Arial" w:hAnsi="Arial" w:cs="Arial"/>
          <w:sz w:val="18"/>
          <w:szCs w:val="18"/>
          <w:lang w:val="el-GR"/>
        </w:rPr>
        <w:t>, με αποτέλεσμα να μην αφαιρούνται από τον</w:t>
      </w:r>
      <w:r w:rsidRPr="00C04176">
        <w:rPr>
          <w:rFonts w:ascii="Arial" w:hAnsi="Arial" w:cs="Arial"/>
          <w:color w:val="000000" w:themeColor="text1"/>
          <w:sz w:val="18"/>
          <w:szCs w:val="18"/>
          <w:lang w:val="el-GR"/>
        </w:rPr>
        <w:t xml:space="preserve"> δείκτη Κεφαλαίου Κοινών Μετοχών Κατηγορίας 1 (CET1)</w:t>
      </w:r>
      <w:r w:rsidRPr="00C04176">
        <w:rPr>
          <w:rFonts w:ascii="Arial" w:hAnsi="Arial" w:cs="Arial"/>
          <w:sz w:val="18"/>
          <w:szCs w:val="18"/>
          <w:lang w:val="el-GR"/>
        </w:rPr>
        <w:t>, και συνεπώς να βελτιώνεται η κεφαλαιακή θέση τους.</w:t>
      </w:r>
      <w:r w:rsidR="00C04176" w:rsidRPr="00C04176">
        <w:rPr>
          <w:rFonts w:ascii="Arial" w:hAnsi="Arial" w:cs="Arial"/>
          <w:sz w:val="18"/>
          <w:szCs w:val="18"/>
          <w:lang w:val="el-GR"/>
        </w:rPr>
        <w:t xml:space="preserve"> </w:t>
      </w:r>
      <w:r w:rsidRPr="00C04176">
        <w:rPr>
          <w:rFonts w:ascii="Arial" w:hAnsi="Arial" w:cs="Arial"/>
          <w:sz w:val="18"/>
          <w:szCs w:val="18"/>
          <w:lang w:val="el-GR"/>
        </w:rPr>
        <w:t xml:space="preserve">Ο Νόμος προβλέπει την καταβολή </w:t>
      </w:r>
      <w:r w:rsidRPr="00C04176">
        <w:rPr>
          <w:rFonts w:ascii="Arial" w:eastAsia="Times New Roman" w:hAnsi="Arial" w:cs="Arial"/>
          <w:color w:val="000000" w:themeColor="text1"/>
          <w:sz w:val="18"/>
          <w:szCs w:val="18"/>
          <w:lang w:val="el-GR" w:eastAsia="el-GR"/>
        </w:rPr>
        <w:t>τέλους</w:t>
      </w:r>
      <w:r w:rsidRPr="00C04176">
        <w:rPr>
          <w:rFonts w:ascii="Arial" w:hAnsi="Arial" w:cs="Arial"/>
          <w:sz w:val="18"/>
          <w:szCs w:val="18"/>
          <w:lang w:val="el-GR"/>
        </w:rPr>
        <w:t xml:space="preserve"> ως προς τις ετήσιες αναβαλλόμενες φορολογικές πιστώσεις (ΑΦΠ) </w:t>
      </w:r>
      <w:r w:rsidR="00D61DBD" w:rsidRPr="00C04176">
        <w:rPr>
          <w:rFonts w:ascii="Arial" w:hAnsi="Arial" w:cs="Arial"/>
          <w:sz w:val="18"/>
          <w:szCs w:val="18"/>
          <w:lang w:val="el-GR"/>
        </w:rPr>
        <w:t>και</w:t>
      </w:r>
      <w:r w:rsidRPr="00C04176">
        <w:rPr>
          <w:rFonts w:ascii="Arial" w:hAnsi="Arial" w:cs="Arial"/>
          <w:sz w:val="18"/>
          <w:szCs w:val="18"/>
          <w:lang w:val="el-GR"/>
        </w:rPr>
        <w:t xml:space="preserve"> καταβάλλεται σε ετήσια βάση από το πιστωτικό ίδρυμα προς την </w:t>
      </w:r>
      <w:r w:rsidRPr="00C04176">
        <w:rPr>
          <w:rFonts w:ascii="Arial" w:eastAsia="Times New Roman" w:hAnsi="Arial" w:cs="Arial"/>
          <w:color w:val="000000" w:themeColor="text1"/>
          <w:sz w:val="18"/>
          <w:szCs w:val="18"/>
          <w:lang w:val="el-GR" w:eastAsia="el-GR"/>
        </w:rPr>
        <w:t>Κυπριακή Κυβέρνηση.</w:t>
      </w:r>
    </w:p>
    <w:p w14:paraId="3B309B76" w14:textId="77777777" w:rsidR="00724793" w:rsidRPr="00C04176" w:rsidRDefault="00724793" w:rsidP="00041D74">
      <w:pPr>
        <w:spacing w:after="0" w:line="240" w:lineRule="auto"/>
        <w:jc w:val="both"/>
        <w:rPr>
          <w:rFonts w:ascii="Arial" w:eastAsia="Times New Roman" w:hAnsi="Arial" w:cs="Arial"/>
          <w:sz w:val="14"/>
          <w:szCs w:val="14"/>
          <w:lang w:val="el-GR" w:eastAsia="el-GR"/>
        </w:rPr>
      </w:pPr>
    </w:p>
    <w:p w14:paraId="672329A5" w14:textId="729BACC4" w:rsidR="00352599" w:rsidRPr="006A1797" w:rsidRDefault="00E11732" w:rsidP="00041D74">
      <w:pPr>
        <w:spacing w:after="0" w:line="240" w:lineRule="auto"/>
        <w:jc w:val="both"/>
        <w:rPr>
          <w:rFonts w:ascii="Arial" w:hAnsi="Arial" w:cs="Arial"/>
          <w:b/>
          <w:bCs/>
          <w:color w:val="FF9900"/>
          <w:sz w:val="24"/>
          <w:szCs w:val="24"/>
          <w:highlight w:val="yellow"/>
          <w:lang w:val="el-GR"/>
        </w:rPr>
      </w:pPr>
      <w:r w:rsidRPr="00C04176">
        <w:rPr>
          <w:rFonts w:ascii="Arial" w:eastAsia="Times New Roman" w:hAnsi="Arial" w:cs="Arial"/>
          <w:sz w:val="18"/>
          <w:szCs w:val="18"/>
          <w:lang w:val="el-GR" w:eastAsia="el-GR"/>
        </w:rPr>
        <w:t xml:space="preserve">Μετά από ορισμένες νομοθετικές τροποποιήσεις τον Μάϊο 2022, </w:t>
      </w:r>
      <w:r w:rsidRPr="00C04176">
        <w:rPr>
          <w:rFonts w:ascii="Arial" w:eastAsia="Times New Roman" w:hAnsi="Arial" w:cs="Arial"/>
          <w:color w:val="000000" w:themeColor="text1"/>
          <w:sz w:val="18"/>
          <w:szCs w:val="18"/>
          <w:lang w:val="el-GR" w:eastAsia="el-GR"/>
        </w:rPr>
        <w:t xml:space="preserve">το ετήσιο τέλος θα καθορίζεται από την Κυπριακή Κυβέρνηση σε ετήσια βάση, προβλέποντας ωστόσο </w:t>
      </w:r>
      <w:r w:rsidRPr="00C04176">
        <w:rPr>
          <w:rFonts w:ascii="Arial" w:eastAsia="Times New Roman" w:hAnsi="Arial" w:cs="Arial"/>
          <w:sz w:val="18"/>
          <w:szCs w:val="18"/>
          <w:lang w:val="el-GR" w:eastAsia="el-GR"/>
        </w:rPr>
        <w:t xml:space="preserve">ότι το ποσό που θα χρεωθεί θα καθοριστεί στο ελάχιστο τέλος ύψους 1.5% της ετήσιας </w:t>
      </w:r>
      <w:r w:rsidR="00352599" w:rsidRPr="00C04176">
        <w:rPr>
          <w:rFonts w:ascii="Arial" w:eastAsia="Times New Roman" w:hAnsi="Arial" w:cs="Arial"/>
          <w:sz w:val="18"/>
          <w:szCs w:val="18"/>
          <w:lang w:val="el-GR" w:eastAsia="el-GR"/>
        </w:rPr>
        <w:t>δόσης και μπορεί να κυμαίνεται έως ένα μέγιστο ποσό ύψους €10 εκατ. ετησίως</w:t>
      </w:r>
      <w:r w:rsidR="00C04176">
        <w:rPr>
          <w:rFonts w:ascii="Arial" w:eastAsia="Times New Roman" w:hAnsi="Arial" w:cs="Arial"/>
          <w:sz w:val="18"/>
          <w:szCs w:val="18"/>
          <w:lang w:val="el-GR" w:eastAsia="el-GR"/>
        </w:rPr>
        <w:t>.</w:t>
      </w:r>
      <w:r w:rsidR="00352599" w:rsidRPr="006A1797">
        <w:rPr>
          <w:rFonts w:ascii="Arial" w:eastAsia="Times New Roman" w:hAnsi="Arial" w:cs="Arial"/>
          <w:sz w:val="18"/>
          <w:szCs w:val="18"/>
          <w:highlight w:val="yellow"/>
          <w:lang w:val="el-GR" w:eastAsia="el-GR"/>
        </w:rPr>
        <w:t xml:space="preserve"> </w:t>
      </w:r>
    </w:p>
    <w:p w14:paraId="51ED98CF" w14:textId="77777777" w:rsidR="009619F5" w:rsidRPr="00C04176" w:rsidRDefault="009619F5" w:rsidP="00AD44ED">
      <w:pPr>
        <w:pStyle w:val="BodyText3"/>
        <w:tabs>
          <w:tab w:val="left" w:pos="7230"/>
        </w:tabs>
        <w:jc w:val="both"/>
        <w:rPr>
          <w:rFonts w:ascii="Arial" w:hAnsi="Arial" w:cs="Arial"/>
          <w:sz w:val="14"/>
          <w:szCs w:val="14"/>
          <w:lang w:val="el-GR"/>
        </w:rPr>
      </w:pPr>
    </w:p>
    <w:p w14:paraId="4FDA0EAE" w14:textId="16C690DD" w:rsidR="00E716AA" w:rsidRPr="00CF1753" w:rsidRDefault="00352599" w:rsidP="00AD44ED">
      <w:pPr>
        <w:pStyle w:val="BodyText3"/>
        <w:tabs>
          <w:tab w:val="left" w:pos="7230"/>
        </w:tabs>
        <w:jc w:val="both"/>
        <w:rPr>
          <w:rFonts w:ascii="Arial" w:hAnsi="Arial" w:cs="Arial"/>
          <w:sz w:val="18"/>
          <w:szCs w:val="18"/>
          <w:lang w:val="el-GR"/>
        </w:rPr>
      </w:pPr>
      <w:r w:rsidRPr="00C04176">
        <w:rPr>
          <w:rFonts w:ascii="Arial" w:hAnsi="Arial" w:cs="Arial"/>
          <w:sz w:val="18"/>
          <w:szCs w:val="18"/>
          <w:lang w:val="el-GR"/>
        </w:rPr>
        <w:t xml:space="preserve">Το Συγκρότημα εκτιμά ότι αυτά τα τέλη θα μπορούσαν να κυμαίνονται έως και περίπου €5 εκατ. ετησίως (για κάθε φορολογικό έτος εφαρμογής, δηλαδή από το 2018) παρόλο που το Συγκρότημα κατανοεί ότι τέτοια τέλη μπορεί να κυμαίνονται σε ετήσια βάση, όπως θα καθοριστεί από το Υπουργείο Οικονομικών. </w:t>
      </w:r>
    </w:p>
    <w:p w14:paraId="324584ED" w14:textId="77777777" w:rsidR="006D646D" w:rsidRPr="00CF1753" w:rsidRDefault="006D646D" w:rsidP="00AD44ED">
      <w:pPr>
        <w:pStyle w:val="BodyText3"/>
        <w:tabs>
          <w:tab w:val="left" w:pos="7230"/>
        </w:tabs>
        <w:jc w:val="both"/>
        <w:rPr>
          <w:rFonts w:ascii="Arial" w:hAnsi="Arial" w:cs="Arial"/>
          <w:sz w:val="18"/>
          <w:szCs w:val="18"/>
          <w:lang w:val="el-GR"/>
        </w:rPr>
      </w:pPr>
    </w:p>
    <w:p w14:paraId="614A8B9D" w14:textId="77777777" w:rsidR="00E716AA" w:rsidRPr="00C04176" w:rsidRDefault="00E716AA" w:rsidP="00AD44ED">
      <w:pPr>
        <w:pStyle w:val="BodyText3"/>
        <w:tabs>
          <w:tab w:val="left" w:pos="7230"/>
        </w:tabs>
        <w:jc w:val="both"/>
        <w:rPr>
          <w:rFonts w:ascii="Arial" w:hAnsi="Arial" w:cs="Arial"/>
          <w:sz w:val="18"/>
          <w:szCs w:val="18"/>
          <w:lang w:val="el-GR"/>
        </w:rPr>
      </w:pPr>
    </w:p>
    <w:p w14:paraId="1BF9BDA3" w14:textId="77777777" w:rsidR="00352599" w:rsidRDefault="00352599" w:rsidP="00352599">
      <w:pPr>
        <w:autoSpaceDE w:val="0"/>
        <w:autoSpaceDN w:val="0"/>
        <w:spacing w:after="0" w:line="240" w:lineRule="auto"/>
        <w:jc w:val="both"/>
        <w:rPr>
          <w:rFonts w:ascii="Arial" w:eastAsia="Times New Roman" w:hAnsi="Arial" w:cs="Arial"/>
          <w:color w:val="FF0000"/>
          <w:sz w:val="18"/>
          <w:szCs w:val="18"/>
          <w:highlight w:val="yellow"/>
          <w:lang w:val="el-GR" w:eastAsia="en-US"/>
        </w:rPr>
      </w:pPr>
    </w:p>
    <w:p w14:paraId="52BAADD9" w14:textId="77777777" w:rsidR="00E06043" w:rsidRPr="006A1797" w:rsidRDefault="00E06043" w:rsidP="00352599">
      <w:pPr>
        <w:autoSpaceDE w:val="0"/>
        <w:autoSpaceDN w:val="0"/>
        <w:spacing w:after="0" w:line="240" w:lineRule="auto"/>
        <w:jc w:val="both"/>
        <w:rPr>
          <w:rFonts w:ascii="Arial" w:eastAsia="Times New Roman" w:hAnsi="Arial" w:cs="Arial"/>
          <w:color w:val="FF0000"/>
          <w:sz w:val="18"/>
          <w:szCs w:val="18"/>
          <w:highlight w:val="yellow"/>
          <w:lang w:val="el-GR" w:eastAsia="en-US"/>
        </w:rPr>
      </w:pPr>
    </w:p>
    <w:p w14:paraId="31778C7B" w14:textId="77777777" w:rsidR="00C04176" w:rsidRPr="00132262" w:rsidRDefault="00C04176" w:rsidP="00C04176">
      <w:pPr>
        <w:pStyle w:val="Default"/>
        <w:jc w:val="both"/>
        <w:rPr>
          <w:color w:val="FF9900"/>
          <w:lang w:val="el-GR"/>
        </w:rPr>
      </w:pPr>
      <w:bookmarkStart w:id="7" w:name="_Hlk135033209"/>
      <w:r w:rsidRPr="00132262">
        <w:rPr>
          <w:b/>
          <w:bCs/>
          <w:color w:val="FF9900"/>
          <w:lang w:val="el-GR"/>
        </w:rPr>
        <w:lastRenderedPageBreak/>
        <w:t xml:space="preserve">Β. Οικονομικά Αποτελέσματα Συγκροτήματος – Υποκείμενη Βάση </w:t>
      </w:r>
      <w:r w:rsidRPr="00132262">
        <w:rPr>
          <w:color w:val="FF9900"/>
          <w:lang w:val="el-GR"/>
        </w:rPr>
        <w:t>(συνέχεια)</w:t>
      </w:r>
    </w:p>
    <w:p w14:paraId="525525F2" w14:textId="77777777" w:rsidR="00C04176" w:rsidRPr="00132262" w:rsidRDefault="00C04176" w:rsidP="00C04176">
      <w:pPr>
        <w:pStyle w:val="Default"/>
        <w:jc w:val="both"/>
        <w:rPr>
          <w:sz w:val="22"/>
          <w:szCs w:val="22"/>
          <w:lang w:val="el-GR"/>
        </w:rPr>
      </w:pPr>
    </w:p>
    <w:p w14:paraId="139BC635" w14:textId="77777777" w:rsidR="00C04176" w:rsidRPr="00C04176" w:rsidRDefault="00C04176" w:rsidP="00C04176">
      <w:pPr>
        <w:rPr>
          <w:rFonts w:ascii="Arial" w:hAnsi="Arial" w:cs="Arial"/>
          <w:b/>
          <w:bCs/>
          <w:color w:val="FF9900"/>
          <w:sz w:val="23"/>
          <w:szCs w:val="23"/>
          <w:lang w:val="el-GR"/>
        </w:rPr>
      </w:pPr>
      <w:r w:rsidRPr="00132262">
        <w:rPr>
          <w:rFonts w:ascii="Arial" w:hAnsi="Arial" w:cs="Arial"/>
          <w:b/>
          <w:bCs/>
          <w:color w:val="FF9900"/>
          <w:sz w:val="23"/>
          <w:szCs w:val="23"/>
          <w:lang w:val="el-GR"/>
        </w:rPr>
        <w:t xml:space="preserve">Β.2 </w:t>
      </w:r>
      <w:r w:rsidRPr="00C04176">
        <w:rPr>
          <w:rFonts w:ascii="Arial" w:hAnsi="Arial" w:cs="Arial"/>
          <w:b/>
          <w:bCs/>
          <w:color w:val="FF9900"/>
          <w:sz w:val="23"/>
          <w:szCs w:val="23"/>
          <w:lang w:val="el-GR"/>
        </w:rPr>
        <w:t xml:space="preserve">Ανάλυση Ισολογισμού </w:t>
      </w:r>
      <w:r w:rsidRPr="00C04176">
        <w:rPr>
          <w:rFonts w:ascii="Arial" w:hAnsi="Arial" w:cs="Arial"/>
          <w:color w:val="FF9900"/>
          <w:sz w:val="23"/>
          <w:szCs w:val="23"/>
          <w:lang w:val="el-GR"/>
        </w:rPr>
        <w:t>(συνέχεια)</w:t>
      </w:r>
    </w:p>
    <w:p w14:paraId="4C7D7156" w14:textId="247E1296" w:rsidR="00D52C71" w:rsidRPr="006A1797" w:rsidRDefault="00CE648D" w:rsidP="006A1797">
      <w:pPr>
        <w:rPr>
          <w:rFonts w:ascii="Arial" w:hAnsi="Arial" w:cs="Arial"/>
          <w:b/>
          <w:bCs/>
          <w:color w:val="FF9900"/>
          <w:sz w:val="23"/>
          <w:szCs w:val="23"/>
          <w:lang w:val="el-GR"/>
        </w:rPr>
      </w:pPr>
      <w:r w:rsidRPr="00C04176">
        <w:rPr>
          <w:rFonts w:ascii="Arial" w:hAnsi="Arial" w:cs="Arial"/>
          <w:b/>
          <w:bCs/>
          <w:color w:val="FF9900"/>
          <w:lang w:val="el-GR"/>
        </w:rPr>
        <w:t>Β</w:t>
      </w:r>
      <w:r w:rsidR="00D52C71" w:rsidRPr="00C04176">
        <w:rPr>
          <w:rFonts w:ascii="Arial" w:hAnsi="Arial" w:cs="Arial"/>
          <w:b/>
          <w:bCs/>
          <w:color w:val="FF9900"/>
          <w:lang w:val="el-GR"/>
        </w:rPr>
        <w:t>.</w:t>
      </w:r>
      <w:r w:rsidR="00666C17" w:rsidRPr="00C04176">
        <w:rPr>
          <w:rFonts w:ascii="Arial" w:hAnsi="Arial" w:cs="Arial"/>
          <w:b/>
          <w:bCs/>
          <w:color w:val="FF9900"/>
          <w:lang w:val="el-GR"/>
        </w:rPr>
        <w:t>2</w:t>
      </w:r>
      <w:r w:rsidR="00D52C71" w:rsidRPr="00C04176">
        <w:rPr>
          <w:rFonts w:ascii="Arial" w:hAnsi="Arial" w:cs="Arial"/>
          <w:b/>
          <w:bCs/>
          <w:color w:val="FF9900"/>
          <w:lang w:val="el-GR"/>
        </w:rPr>
        <w:t>.2. Κανονισμοί και Οδηγίες</w:t>
      </w:r>
    </w:p>
    <w:bookmarkEnd w:id="7"/>
    <w:p w14:paraId="71D2832A" w14:textId="61F8FEDD" w:rsidR="00352599" w:rsidRPr="00C04176" w:rsidRDefault="00CE648D" w:rsidP="004953BA">
      <w:pPr>
        <w:spacing w:after="120" w:line="240" w:lineRule="auto"/>
        <w:ind w:left="851" w:hanging="851"/>
        <w:jc w:val="both"/>
        <w:rPr>
          <w:rFonts w:ascii="Arial" w:eastAsia="Times New Roman" w:hAnsi="Arial" w:cs="Arial"/>
          <w:lang w:val="el-GR"/>
        </w:rPr>
      </w:pPr>
      <w:r w:rsidRPr="00C04176">
        <w:rPr>
          <w:rFonts w:ascii="Arial" w:eastAsia="Times New Roman" w:hAnsi="Arial" w:cs="Arial"/>
          <w:b/>
          <w:bCs/>
          <w:color w:val="FF9900"/>
          <w:lang w:val="el-GR" w:eastAsia="el-GR"/>
        </w:rPr>
        <w:t>Β</w:t>
      </w:r>
      <w:r w:rsidR="00352599" w:rsidRPr="00C04176">
        <w:rPr>
          <w:rFonts w:ascii="Arial" w:eastAsia="Times New Roman" w:hAnsi="Arial" w:cs="Arial"/>
          <w:b/>
          <w:bCs/>
          <w:color w:val="FF9900"/>
          <w:lang w:val="el-GR" w:eastAsia="el-GR"/>
        </w:rPr>
        <w:t>.</w:t>
      </w:r>
      <w:r w:rsidR="00666C17" w:rsidRPr="00C04176">
        <w:rPr>
          <w:rFonts w:ascii="Arial" w:eastAsia="Times New Roman" w:hAnsi="Arial" w:cs="Arial"/>
          <w:b/>
          <w:bCs/>
          <w:color w:val="FF9900"/>
          <w:lang w:val="el-GR" w:eastAsia="el-GR"/>
        </w:rPr>
        <w:t>2</w:t>
      </w:r>
      <w:r w:rsidR="00352599" w:rsidRPr="00C04176">
        <w:rPr>
          <w:rFonts w:ascii="Arial" w:eastAsia="Times New Roman" w:hAnsi="Arial" w:cs="Arial"/>
          <w:b/>
          <w:bCs/>
          <w:color w:val="FF9900"/>
          <w:lang w:val="el-GR" w:eastAsia="el-GR"/>
        </w:rPr>
        <w:t>.2.1</w:t>
      </w:r>
      <w:r w:rsidR="003F2BB4" w:rsidRPr="00C04176">
        <w:rPr>
          <w:rFonts w:ascii="Arial" w:eastAsia="Times New Roman" w:hAnsi="Arial" w:cs="Arial"/>
          <w:b/>
          <w:bCs/>
          <w:color w:val="FF9900"/>
          <w:lang w:val="el-GR" w:eastAsia="el-GR"/>
        </w:rPr>
        <w:t>.</w:t>
      </w:r>
      <w:r w:rsidR="00352599" w:rsidRPr="00C04176">
        <w:rPr>
          <w:rFonts w:ascii="Arial" w:eastAsia="Times New Roman" w:hAnsi="Arial" w:cs="Arial"/>
          <w:b/>
          <w:bCs/>
          <w:color w:val="FF9900"/>
          <w:lang w:val="el-GR" w:eastAsia="el-GR"/>
        </w:rPr>
        <w:t xml:space="preserve"> Τραπεζικό Πακέτο 2021 (</w:t>
      </w:r>
      <w:r w:rsidR="00352599" w:rsidRPr="00C04176">
        <w:rPr>
          <w:rFonts w:ascii="Arial" w:eastAsia="Times New Roman" w:hAnsi="Arial" w:cs="Arial"/>
          <w:b/>
          <w:bCs/>
          <w:color w:val="FF9900"/>
          <w:lang w:eastAsia="el-GR"/>
        </w:rPr>
        <w:t>CRR</w:t>
      </w:r>
      <w:r w:rsidR="00352599" w:rsidRPr="00C04176">
        <w:rPr>
          <w:rFonts w:ascii="Arial" w:eastAsia="Times New Roman" w:hAnsi="Arial" w:cs="Arial"/>
          <w:b/>
          <w:bCs/>
          <w:color w:val="FF9900"/>
          <w:lang w:val="el-GR" w:eastAsia="el-GR"/>
        </w:rPr>
        <w:t xml:space="preserve"> </w:t>
      </w:r>
      <w:r w:rsidR="00352599" w:rsidRPr="00C04176">
        <w:rPr>
          <w:rFonts w:ascii="Arial" w:eastAsia="Times New Roman" w:hAnsi="Arial" w:cs="Arial"/>
          <w:b/>
          <w:bCs/>
          <w:color w:val="FF9900"/>
          <w:lang w:eastAsia="el-GR"/>
        </w:rPr>
        <w:t>III</w:t>
      </w:r>
      <w:r w:rsidR="00352599" w:rsidRPr="00C04176">
        <w:rPr>
          <w:rFonts w:ascii="Arial" w:eastAsia="Times New Roman" w:hAnsi="Arial" w:cs="Arial"/>
          <w:b/>
          <w:bCs/>
          <w:color w:val="FF9900"/>
          <w:lang w:val="el-GR" w:eastAsia="el-GR"/>
        </w:rPr>
        <w:t xml:space="preserve">, </w:t>
      </w:r>
      <w:r w:rsidR="00352599" w:rsidRPr="00C04176">
        <w:rPr>
          <w:rFonts w:ascii="Arial" w:eastAsia="Times New Roman" w:hAnsi="Arial" w:cs="Arial"/>
          <w:b/>
          <w:bCs/>
          <w:color w:val="FF9900"/>
          <w:lang w:eastAsia="el-GR"/>
        </w:rPr>
        <w:t>CRD</w:t>
      </w:r>
      <w:r w:rsidR="00352599" w:rsidRPr="00C04176">
        <w:rPr>
          <w:rFonts w:ascii="Arial" w:eastAsia="Times New Roman" w:hAnsi="Arial" w:cs="Arial"/>
          <w:b/>
          <w:bCs/>
          <w:color w:val="FF9900"/>
          <w:lang w:val="el-GR" w:eastAsia="el-GR"/>
        </w:rPr>
        <w:t xml:space="preserve"> </w:t>
      </w:r>
      <w:r w:rsidR="00352599" w:rsidRPr="00C04176">
        <w:rPr>
          <w:rFonts w:ascii="Arial" w:eastAsia="Times New Roman" w:hAnsi="Arial" w:cs="Arial"/>
          <w:b/>
          <w:bCs/>
          <w:color w:val="FF9900"/>
          <w:lang w:eastAsia="el-GR"/>
        </w:rPr>
        <w:t>VI</w:t>
      </w:r>
      <w:r w:rsidR="00352599" w:rsidRPr="00C04176">
        <w:rPr>
          <w:rFonts w:ascii="Arial" w:eastAsia="Times New Roman" w:hAnsi="Arial" w:cs="Arial"/>
          <w:b/>
          <w:bCs/>
          <w:color w:val="FF9900"/>
          <w:lang w:val="el-GR" w:eastAsia="el-GR"/>
        </w:rPr>
        <w:t xml:space="preserve"> και </w:t>
      </w:r>
      <w:r w:rsidR="00352599" w:rsidRPr="00C04176">
        <w:rPr>
          <w:rFonts w:ascii="Arial" w:eastAsia="Times New Roman" w:hAnsi="Arial" w:cs="Arial"/>
          <w:b/>
          <w:bCs/>
          <w:color w:val="FF9900"/>
          <w:lang w:val="en-US" w:eastAsia="el-GR"/>
        </w:rPr>
        <w:t>BRRD</w:t>
      </w:r>
      <w:r w:rsidR="00352599" w:rsidRPr="00C04176">
        <w:rPr>
          <w:rFonts w:ascii="Arial" w:eastAsia="Times New Roman" w:hAnsi="Arial" w:cs="Arial"/>
          <w:b/>
          <w:bCs/>
          <w:color w:val="FF9900"/>
          <w:lang w:val="el-GR" w:eastAsia="el-GR"/>
        </w:rPr>
        <w:t>)</w:t>
      </w:r>
    </w:p>
    <w:p w14:paraId="25988AAE" w14:textId="265B747F" w:rsidR="00821951" w:rsidRPr="006A1797" w:rsidRDefault="00352599" w:rsidP="00821951">
      <w:pPr>
        <w:spacing w:after="0" w:line="240" w:lineRule="auto"/>
        <w:jc w:val="both"/>
        <w:rPr>
          <w:rFonts w:ascii="Arial" w:eastAsia="Times New Roman" w:hAnsi="Arial" w:cs="Arial"/>
          <w:sz w:val="18"/>
          <w:szCs w:val="18"/>
          <w:lang w:val="el-GR" w:eastAsia="el-GR"/>
        </w:rPr>
      </w:pPr>
      <w:bookmarkStart w:id="8" w:name="_Hlk103597689"/>
      <w:r w:rsidRPr="001E467A">
        <w:rPr>
          <w:rFonts w:ascii="Arial" w:eastAsia="Times New Roman" w:hAnsi="Arial" w:cs="Arial"/>
          <w:sz w:val="18"/>
          <w:szCs w:val="18"/>
          <w:lang w:val="el-GR" w:eastAsia="el-GR"/>
        </w:rPr>
        <w:t xml:space="preserve">Τον Οκτώβριο 2021, η Ευρωπαϊκή Επιτροπή υιοθέτησε νομοθετικές προτάσεις για περαιτέρω τροποποιήσεις στον Κανονισμό Κεφαλαιακών Απαιτήσεων (CRR), στην Οδηγία Κεφαλαιακών Απαιτήσεων (CRD) και στην Οδηγία για Ανάκαμψη και Εξυγίανση Πιστωτικών Ιδρυμάτων και Επιχειρήσεων Επενδύσεων (BRRD) (το </w:t>
      </w:r>
      <w:r w:rsidR="006114D5" w:rsidRPr="001E467A">
        <w:rPr>
          <w:rFonts w:ascii="Arial" w:eastAsia="Times New Roman" w:hAnsi="Arial" w:cs="Arial"/>
          <w:sz w:val="18"/>
          <w:szCs w:val="18"/>
          <w:lang w:val="el-GR" w:eastAsia="el-GR"/>
        </w:rPr>
        <w:t>‘</w:t>
      </w:r>
      <w:r w:rsidRPr="001E467A">
        <w:rPr>
          <w:rFonts w:ascii="Arial" w:eastAsia="Times New Roman" w:hAnsi="Arial" w:cs="Arial"/>
          <w:b/>
          <w:bCs/>
          <w:sz w:val="18"/>
          <w:szCs w:val="18"/>
          <w:lang w:val="el-GR" w:eastAsia="el-GR"/>
        </w:rPr>
        <w:t>Τραπεζικό Πακέτο 2021</w:t>
      </w:r>
      <w:r w:rsidR="006114D5" w:rsidRPr="001E467A">
        <w:rPr>
          <w:rFonts w:ascii="Arial" w:eastAsia="Times New Roman" w:hAnsi="Arial" w:cs="Arial"/>
          <w:sz w:val="18"/>
          <w:szCs w:val="18"/>
          <w:lang w:val="el-GR" w:eastAsia="el-GR"/>
        </w:rPr>
        <w:t>’</w:t>
      </w:r>
      <w:r w:rsidRPr="001E467A">
        <w:rPr>
          <w:rFonts w:ascii="Arial" w:eastAsia="Times New Roman" w:hAnsi="Arial" w:cs="Arial"/>
          <w:sz w:val="18"/>
          <w:szCs w:val="18"/>
          <w:lang w:val="el-GR" w:eastAsia="el-GR"/>
        </w:rPr>
        <w:t xml:space="preserve">). Μεταξύ άλλων, το Τραπεζικό Πακέτο 2021 θα εφαρμόσει ορισμένα μέρη της Βασιλείας ΙΙΙ που δεν έχουν ακόμη ενσωματωθεί στο δίκαιο της ΕΕ. </w:t>
      </w:r>
      <w:r w:rsidR="007E101D" w:rsidRPr="001E467A">
        <w:rPr>
          <w:rFonts w:ascii="Arial" w:eastAsia="Times New Roman" w:hAnsi="Arial" w:cs="Arial"/>
          <w:sz w:val="18"/>
          <w:szCs w:val="18"/>
          <w:lang w:val="el-GR" w:eastAsia="el-GR"/>
        </w:rPr>
        <w:t>Σ</w:t>
      </w:r>
      <w:r w:rsidRPr="001E467A">
        <w:rPr>
          <w:rFonts w:ascii="Arial" w:eastAsia="Times New Roman" w:hAnsi="Arial" w:cs="Arial"/>
          <w:sz w:val="18"/>
          <w:szCs w:val="18"/>
          <w:lang w:val="el-GR" w:eastAsia="el-GR"/>
        </w:rPr>
        <w:t>την περίπτωση των προτεινόμενων τροποποιήσεων του CRD</w:t>
      </w:r>
      <w:r w:rsidR="007E101D" w:rsidRPr="001E467A">
        <w:rPr>
          <w:rFonts w:ascii="Arial" w:eastAsia="Times New Roman" w:hAnsi="Arial" w:cs="Arial"/>
          <w:sz w:val="18"/>
          <w:szCs w:val="18"/>
          <w:lang w:val="el-GR" w:eastAsia="el-GR"/>
        </w:rPr>
        <w:t xml:space="preserve"> </w:t>
      </w:r>
      <w:r w:rsidRPr="001E467A">
        <w:rPr>
          <w:rFonts w:ascii="Arial" w:eastAsia="Times New Roman" w:hAnsi="Arial" w:cs="Arial"/>
          <w:sz w:val="18"/>
          <w:szCs w:val="18"/>
          <w:lang w:val="el-GR" w:eastAsia="el-GR"/>
        </w:rPr>
        <w:t xml:space="preserve">και του BRRD, οι όροι και η ισχύ τους θα εξαρτηθούν, εν μέρει, από τον τρόπο ενσωμάτωσής τους στη νομοθεσία </w:t>
      </w:r>
      <w:r w:rsidRPr="00821951">
        <w:rPr>
          <w:rFonts w:ascii="Arial" w:eastAsia="Times New Roman" w:hAnsi="Arial" w:cs="Arial"/>
          <w:sz w:val="18"/>
          <w:szCs w:val="18"/>
          <w:lang w:val="el-GR" w:eastAsia="el-GR"/>
        </w:rPr>
        <w:t>κάθε κράτους μέλους.</w:t>
      </w:r>
      <w:r w:rsidR="001E467A" w:rsidRPr="00821951">
        <w:rPr>
          <w:rFonts w:ascii="Arial" w:eastAsia="Times New Roman" w:hAnsi="Arial" w:cs="Arial"/>
          <w:sz w:val="18"/>
          <w:szCs w:val="18"/>
          <w:lang w:val="el-GR" w:eastAsia="el-GR"/>
        </w:rPr>
        <w:t xml:space="preserve"> </w:t>
      </w:r>
      <w:r w:rsidR="00AF3620" w:rsidRPr="00AF3620">
        <w:rPr>
          <w:rFonts w:ascii="Arial" w:eastAsia="Times New Roman" w:hAnsi="Arial" w:cs="Arial"/>
          <w:sz w:val="18"/>
          <w:szCs w:val="18"/>
          <w:lang w:val="el-GR" w:eastAsia="el-GR"/>
        </w:rPr>
        <w:t xml:space="preserve">Τον Δεκέμβριο 2023, τα προπαρασκευαστικά όργανα του Συμβουλίου και του Ευρωπαϊκού Κοινοβουλίου ενέκριναν τις τροποποιήσεις στον Κανονισμό Κεφαλαιακών Απαιτήσεων (CRR) και στην Οδηγία Κεφαλαιακών Απαιτήσεων (CRD) και τα νομικά κείμενα δημοσιεύθηκαν στους ισοτόπους του Συμβουλίου και του Κοινοβουλίου. Τον Απρίλιο 2024, το Ευρωπαϊκό Κοινοβούλιο ψήφισε την υιοθέτηση των τροποποιήσεων στον Κανονισμό Κεφαλαιακών Απαιτήσεων (CRR) και στην Οδηγία Κεφαλαιακών Απαιτήσεων (CRD)ˑ ο Κανονισμός (ΕΕ) 2024/1623 (γνωστός ως CRR III) και η Οδηγία (ΕΕ) 2024/1619 (γνωστή ως CRD VI) δημοσιεύτηκαν στην επίσημη εφημερίδα της Ευρωπαϊκής Ένωσης, με έναρξη ισχύος 20 μέρες από την ημερομηνία δημοσίευσής τους. Οι περισσότερες διατάξεις του CRR III θα τεθούν σε ισχύ την 1 Ιανουαρίου 2025 και ορισμένα μέτρα αναμένεται να υπόκεινται σε μεταβατικές ρυθμίσεις ή να εφαρμοστούν σταδιακά. Τα κράτη μέλη θα πρέπει να </w:t>
      </w:r>
      <w:r w:rsidR="00AF3620">
        <w:rPr>
          <w:rFonts w:ascii="Arial" w:eastAsia="Times New Roman" w:hAnsi="Arial" w:cs="Arial"/>
          <w:sz w:val="18"/>
          <w:szCs w:val="18"/>
          <w:lang w:val="el-GR" w:eastAsia="el-GR"/>
        </w:rPr>
        <w:t xml:space="preserve">εφαρμόσουν </w:t>
      </w:r>
      <w:r w:rsidR="00AF3620" w:rsidRPr="00AF3620">
        <w:rPr>
          <w:rFonts w:ascii="Arial" w:eastAsia="Times New Roman" w:hAnsi="Arial" w:cs="Arial"/>
          <w:sz w:val="18"/>
          <w:szCs w:val="18"/>
          <w:lang w:val="el-GR" w:eastAsia="el-GR"/>
        </w:rPr>
        <w:t>και να δημοσιεύσουν, έως τις 10 Ιανουαρίου 2026, τις νομοθετικές, κανονιστικές και διοικητικές διατάξεις που είναι αναγκαίες για τη συμμόρφωση με την οδηγία CRD VI και να εφαρμόζουν  στην πλειονότητά τους τα εν λόγω μέτρα  από τις 11 Ιανουαρίου 2026.</w:t>
      </w:r>
    </w:p>
    <w:p w14:paraId="6654C05B" w14:textId="1CC1DB30" w:rsidR="00821951" w:rsidRPr="00281B3C" w:rsidRDefault="00821951" w:rsidP="001E467A">
      <w:pPr>
        <w:spacing w:after="0" w:line="240" w:lineRule="auto"/>
        <w:jc w:val="both"/>
        <w:rPr>
          <w:rFonts w:ascii="Arial" w:eastAsia="Times New Roman" w:hAnsi="Arial" w:cs="Arial"/>
          <w:sz w:val="18"/>
          <w:szCs w:val="18"/>
          <w:lang w:val="el-GR" w:eastAsia="el-GR"/>
        </w:rPr>
      </w:pPr>
    </w:p>
    <w:p w14:paraId="73279E16" w14:textId="24B14AEE" w:rsidR="004D03FF" w:rsidRPr="00281B3C" w:rsidRDefault="00CE648D" w:rsidP="004D03FF">
      <w:pPr>
        <w:spacing w:after="0" w:line="240" w:lineRule="auto"/>
        <w:jc w:val="both"/>
        <w:rPr>
          <w:rFonts w:ascii="Arial" w:eastAsia="Times New Roman" w:hAnsi="Arial" w:cs="Arial"/>
          <w:b/>
          <w:bCs/>
          <w:color w:val="FF9900"/>
          <w:lang w:val="el-GR" w:eastAsia="el-GR"/>
        </w:rPr>
      </w:pPr>
      <w:r w:rsidRPr="00281B3C">
        <w:rPr>
          <w:rFonts w:ascii="Arial" w:eastAsia="Times New Roman" w:hAnsi="Arial" w:cs="Arial"/>
          <w:b/>
          <w:bCs/>
          <w:color w:val="FF9900"/>
          <w:lang w:val="el-GR" w:eastAsia="el-GR"/>
        </w:rPr>
        <w:t>Β</w:t>
      </w:r>
      <w:r w:rsidR="004D03FF" w:rsidRPr="00281B3C">
        <w:rPr>
          <w:rFonts w:ascii="Arial" w:eastAsia="Times New Roman" w:hAnsi="Arial" w:cs="Arial"/>
          <w:b/>
          <w:bCs/>
          <w:color w:val="FF9900"/>
          <w:lang w:val="el-GR" w:eastAsia="el-GR"/>
        </w:rPr>
        <w:t>.</w:t>
      </w:r>
      <w:r w:rsidR="00BD3AB9" w:rsidRPr="00281B3C">
        <w:rPr>
          <w:rFonts w:ascii="Arial" w:eastAsia="Times New Roman" w:hAnsi="Arial" w:cs="Arial"/>
          <w:b/>
          <w:bCs/>
          <w:color w:val="FF9900"/>
          <w:lang w:val="el-GR" w:eastAsia="el-GR"/>
        </w:rPr>
        <w:t>2</w:t>
      </w:r>
      <w:r w:rsidR="004D03FF" w:rsidRPr="00281B3C">
        <w:rPr>
          <w:rFonts w:ascii="Arial" w:eastAsia="Times New Roman" w:hAnsi="Arial" w:cs="Arial"/>
          <w:b/>
          <w:bCs/>
          <w:color w:val="FF9900"/>
          <w:lang w:val="el-GR" w:eastAsia="el-GR"/>
        </w:rPr>
        <w:t>.2.2 Οδηγία για Ανάκαμψη και Εξυγίανση Πιστωτικών Ιδρυμάτων και Επιχειρήσεων Επενδύσεων (BRRD)</w:t>
      </w:r>
    </w:p>
    <w:p w14:paraId="54208BF9" w14:textId="77777777" w:rsidR="004D03FF" w:rsidRPr="00F4518C" w:rsidRDefault="004D03FF" w:rsidP="004D03FF">
      <w:pPr>
        <w:spacing w:after="0" w:line="240" w:lineRule="auto"/>
        <w:jc w:val="both"/>
        <w:rPr>
          <w:rFonts w:ascii="Arial" w:eastAsia="Times New Roman" w:hAnsi="Arial" w:cs="Arial"/>
          <w:b/>
          <w:bCs/>
          <w:color w:val="FF9900"/>
          <w:szCs w:val="24"/>
          <w:highlight w:val="yellow"/>
          <w:lang w:val="el-GR" w:eastAsia="el-GR"/>
        </w:rPr>
      </w:pPr>
    </w:p>
    <w:p w14:paraId="73B556D0" w14:textId="77777777" w:rsidR="004D03FF" w:rsidRPr="00E02EDA" w:rsidRDefault="004D03FF" w:rsidP="004D03FF">
      <w:pPr>
        <w:spacing w:after="0" w:line="360" w:lineRule="auto"/>
        <w:rPr>
          <w:rFonts w:ascii="Arial" w:eastAsia="Times New Roman" w:hAnsi="Arial" w:cs="Arial"/>
          <w:b/>
          <w:bCs/>
          <w:i/>
          <w:iCs/>
          <w:color w:val="FF9900"/>
          <w:sz w:val="20"/>
          <w:szCs w:val="20"/>
          <w:lang w:val="el-GR" w:eastAsia="el-GR"/>
        </w:rPr>
      </w:pPr>
      <w:r w:rsidRPr="00E02EDA">
        <w:rPr>
          <w:rFonts w:ascii="Arial" w:eastAsia="Times New Roman" w:hAnsi="Arial" w:cs="Arial"/>
          <w:b/>
          <w:bCs/>
          <w:i/>
          <w:iCs/>
          <w:color w:val="FF9900"/>
          <w:sz w:val="20"/>
          <w:szCs w:val="20"/>
          <w:lang w:val="el-GR" w:eastAsia="el-GR"/>
        </w:rPr>
        <w:t>Ελάχιστη Απαίτηση για Ίδια Κεφάλαια και Επιλέξιμες Υποχρεώσεις (</w:t>
      </w:r>
      <w:r w:rsidRPr="00E02EDA">
        <w:rPr>
          <w:rFonts w:ascii="Arial" w:eastAsia="Times New Roman" w:hAnsi="Arial" w:cs="Arial"/>
          <w:b/>
          <w:bCs/>
          <w:i/>
          <w:iCs/>
          <w:color w:val="FF9900"/>
          <w:sz w:val="20"/>
          <w:szCs w:val="20"/>
          <w:lang w:eastAsia="el-GR"/>
        </w:rPr>
        <w:t>MREL</w:t>
      </w:r>
      <w:r w:rsidRPr="00E02EDA">
        <w:rPr>
          <w:rFonts w:ascii="Arial" w:eastAsia="Times New Roman" w:hAnsi="Arial" w:cs="Arial"/>
          <w:b/>
          <w:bCs/>
          <w:i/>
          <w:iCs/>
          <w:color w:val="FF9900"/>
          <w:sz w:val="20"/>
          <w:szCs w:val="20"/>
          <w:lang w:val="el-GR" w:eastAsia="el-GR"/>
        </w:rPr>
        <w:t xml:space="preserve">) </w:t>
      </w:r>
    </w:p>
    <w:p w14:paraId="2CECBFA3" w14:textId="77777777" w:rsidR="007F5B28" w:rsidRPr="006A1797" w:rsidRDefault="007F5B28" w:rsidP="00555781">
      <w:pPr>
        <w:spacing w:after="0" w:line="240" w:lineRule="auto"/>
        <w:jc w:val="both"/>
        <w:rPr>
          <w:rFonts w:ascii="Arial" w:eastAsia="Times New Roman" w:hAnsi="Arial" w:cs="Arial"/>
          <w:sz w:val="18"/>
          <w:szCs w:val="18"/>
          <w:highlight w:val="yellow"/>
          <w:lang w:val="el-GR" w:eastAsia="en-US"/>
        </w:rPr>
      </w:pPr>
      <w:r w:rsidRPr="00E02EDA">
        <w:rPr>
          <w:rFonts w:ascii="Arial" w:eastAsia="Times New Roman" w:hAnsi="Arial" w:cs="Arial"/>
          <w:sz w:val="18"/>
          <w:szCs w:val="18"/>
          <w:lang w:val="el-GR" w:eastAsia="en-US"/>
        </w:rPr>
        <w:t xml:space="preserve">Από τον Ιανουάριο 2016, τα κράτη μέλη της ΕΕ έχουν την υποχρέωση να εφαρμόζουν τις διατάξεις της Οδηγίας για Ανάκαμψη και Εξυγίανση Πιστωτικών Ιδρυμάτων και Επιχειρήσεων Επενδύσεων (BRRD), η οποία απαιτεί από τα πιστωτικά ιδρύματα της ΕΕ και ορισμένες επιχειρήσεις επενδύσεων να τηρούν την Ελάχιστη Απαίτηση Ιδίων Κεφαλαίων και Επιλέξιμων Υποχρεώσεων (MREL), με την επιφύλαξη των διατάξεων του Κατ’ Εξουσιοδότηση Κανονισμού (ΕΕ) 2016/1450. Στις 27 Ιουνίου 2019, ως μέρος του πακέτου μεταρρύθμισης για την ενδυνάμωση της ανθεκτικότητας και εξυγίανσης των Ευρωπαϊκών τραπεζών, τέθηκε σε εφαρμογή η Οδηγία για Ανάκαμψη και Εξυγίανση Πιστωτικών Ιδρυμάτων και Επιχειρήσεων Επενδύσεων ΙΙ (BRRD ΙΙ), η οποία έπρεπε να ενσωματωθεί στην εθνική νομοθεσία. Η Οδηγία για Ανάκαμψη και Εξυγίανση Πιστωτικών Ιδρυμάτων και Επιχειρήσεων Επενδύσεων ΙΙ (BRRD ΙΙ) ενσωματώθηκε στην </w:t>
      </w:r>
      <w:r w:rsidRPr="00721BCE">
        <w:rPr>
          <w:rFonts w:ascii="Arial" w:eastAsia="Times New Roman" w:hAnsi="Arial" w:cs="Arial"/>
          <w:sz w:val="18"/>
          <w:szCs w:val="18"/>
          <w:lang w:val="el-GR" w:eastAsia="en-US"/>
        </w:rPr>
        <w:t>Κυπριακή νομοθεσία και τέθηκε σε εφαρμογή το Μάιο 2021. Επιπρόσθετα, ορισμένες από τις πρόνοιες της Ελάχιστης Απαίτησης Ιδίων Κεφαλαίων και Επιλέξιμων Υποχρεώσεων (MREL) έχουν εισαχθεί στον Κανονισμό Κεφαλαιακών Απαιτήσεων II (CRR II), ο οποίος τέθηκε επίσης σε εφαρμογή στις 27 Ιουνίου 2019 ως μέρος του πακέτου μεταρρύθμισης και τέθηκαν άμεσα σε ισχύ.</w:t>
      </w:r>
    </w:p>
    <w:p w14:paraId="1180A69C" w14:textId="77777777" w:rsidR="007F5B28" w:rsidRPr="00721BCE" w:rsidRDefault="007F5B28" w:rsidP="00555781">
      <w:pPr>
        <w:spacing w:after="0" w:line="240" w:lineRule="auto"/>
        <w:rPr>
          <w:rFonts w:ascii="Arial" w:eastAsia="Times New Roman" w:hAnsi="Arial" w:cs="Arial"/>
          <w:sz w:val="18"/>
          <w:szCs w:val="18"/>
          <w:lang w:val="el-GR" w:eastAsia="en-US"/>
        </w:rPr>
      </w:pPr>
    </w:p>
    <w:p w14:paraId="0F8472B6" w14:textId="0E3A11AF" w:rsidR="007F5B28" w:rsidRPr="00721BCE" w:rsidRDefault="007F5B28" w:rsidP="00555781">
      <w:pPr>
        <w:spacing w:after="0" w:line="240" w:lineRule="auto"/>
        <w:jc w:val="both"/>
        <w:rPr>
          <w:rFonts w:ascii="Arial" w:eastAsia="Times New Roman" w:hAnsi="Arial" w:cs="Arial"/>
          <w:sz w:val="18"/>
          <w:szCs w:val="18"/>
          <w:lang w:val="el-GR" w:eastAsia="en-US"/>
        </w:rPr>
      </w:pPr>
      <w:r w:rsidRPr="00721BCE">
        <w:rPr>
          <w:rFonts w:ascii="Arial" w:eastAsia="Times New Roman" w:hAnsi="Arial" w:cs="Arial"/>
          <w:sz w:val="18"/>
          <w:szCs w:val="18"/>
          <w:lang w:val="el-GR" w:eastAsia="en-US"/>
        </w:rPr>
        <w:t xml:space="preserve">Τον Ιανουάριο 2024, η </w:t>
      </w:r>
      <w:r w:rsidR="00095048" w:rsidRPr="00721BCE">
        <w:rPr>
          <w:rFonts w:ascii="Arial" w:eastAsia="Times New Roman" w:hAnsi="Arial" w:cs="Arial"/>
          <w:sz w:val="18"/>
          <w:szCs w:val="18"/>
          <w:lang w:val="el-GR" w:eastAsia="en-US"/>
        </w:rPr>
        <w:t xml:space="preserve">Τράπεζα </w:t>
      </w:r>
      <w:r w:rsidRPr="00721BCE">
        <w:rPr>
          <w:rFonts w:ascii="Arial" w:eastAsia="Times New Roman" w:hAnsi="Arial" w:cs="Arial"/>
          <w:sz w:val="18"/>
          <w:szCs w:val="18"/>
          <w:lang w:val="el-GR" w:eastAsia="en-US"/>
        </w:rPr>
        <w:t>έλαβε τελική ειδοποίηση από το Ενιαίο Συμβούλιο Εξυγίανσης (ΕΣΕ) σχετικά με την απόφαση της Ελάχιστης Απαίτησης Ιδίων Κεφαλαίων και Επιλέξιμων Υποχρεώσεων (MREL) του 2024, με την οποία η τελική απαίτηση της Eλάχιστης Aπαίτησης Iδίων Kεφαλαίων και Eπιλέξιμων Yποχρεώσεων (MREL) ορίζεται πλέον στο 25.00% των σταθμισμένων ως προς τον κίνδυνο περιουσιακών στοιχείων (</w:t>
      </w:r>
      <w:r w:rsidR="00095048" w:rsidRPr="00721BCE">
        <w:rPr>
          <w:rFonts w:ascii="Arial" w:eastAsia="Times New Roman" w:hAnsi="Arial" w:cs="Arial"/>
          <w:sz w:val="18"/>
          <w:szCs w:val="18"/>
          <w:lang w:val="el-GR" w:eastAsia="en-US"/>
        </w:rPr>
        <w:t xml:space="preserve">ή </w:t>
      </w:r>
      <w:r w:rsidRPr="00721BCE">
        <w:rPr>
          <w:rFonts w:ascii="Arial" w:eastAsia="Times New Roman" w:hAnsi="Arial" w:cs="Arial"/>
          <w:sz w:val="18"/>
          <w:szCs w:val="18"/>
          <w:lang w:val="el-GR" w:eastAsia="en-US"/>
        </w:rPr>
        <w:t>στο 30.</w:t>
      </w:r>
      <w:r w:rsidR="00721BCE" w:rsidRPr="006A1797">
        <w:rPr>
          <w:rFonts w:ascii="Arial" w:eastAsia="Times New Roman" w:hAnsi="Arial" w:cs="Arial"/>
          <w:sz w:val="18"/>
          <w:szCs w:val="18"/>
          <w:lang w:val="el-GR" w:eastAsia="en-US"/>
        </w:rPr>
        <w:t>3</w:t>
      </w:r>
      <w:r w:rsidRPr="00721BCE">
        <w:rPr>
          <w:rFonts w:ascii="Arial" w:eastAsia="Times New Roman" w:hAnsi="Arial" w:cs="Arial"/>
          <w:sz w:val="18"/>
          <w:szCs w:val="18"/>
          <w:lang w:val="el-GR" w:eastAsia="en-US"/>
        </w:rPr>
        <w:t>% των σταθμισμένων ως προς τον κίνδυνο περιουσιακών στοιχείων λαμβάνοντα</w:t>
      </w:r>
      <w:r w:rsidR="00095048" w:rsidRPr="00721BCE">
        <w:rPr>
          <w:rFonts w:ascii="Arial" w:eastAsia="Times New Roman" w:hAnsi="Arial" w:cs="Arial"/>
          <w:sz w:val="18"/>
          <w:szCs w:val="18"/>
          <w:lang w:val="el-GR" w:eastAsia="en-US"/>
        </w:rPr>
        <w:t>ς</w:t>
      </w:r>
      <w:r w:rsidRPr="00721BCE">
        <w:rPr>
          <w:rFonts w:ascii="Arial" w:eastAsia="Times New Roman" w:hAnsi="Arial" w:cs="Arial"/>
          <w:sz w:val="18"/>
          <w:szCs w:val="18"/>
          <w:lang w:val="el-GR" w:eastAsia="en-US"/>
        </w:rPr>
        <w:t xml:space="preserve"> υπόψην το αναμενόμενο ισχύον ποσοστό της Συνδυασμένης Απαίτησης Αποθέματος Ασφαλείας (CBR) κατά τις 31 Δεκεμβρίου 2024, η οποία πρέπει να επιτευχθεί με ίδια κεφάλαια πέραν της Ελάχιστης Απαίτησης Ιδίων Κεφαλαίων και Επιλέξιμων Υποχρεώσεων (MREL)) και στο 5.91% της έκθεσης του μέτρου συνολικού ανοίγματος του Δείκτη Μόχλευσης (LRE) (όπως ορίζεται στον Κανονισμό Κεφαλαιακών Απαιτήσεων (CRR)) και πρέπει να έχει επιτευχθεί έως τις 31 Δεκεμβρίου 2024. </w:t>
      </w:r>
    </w:p>
    <w:p w14:paraId="673160E5" w14:textId="77777777" w:rsidR="007F5B28" w:rsidRPr="00721BCE" w:rsidRDefault="007F5B28" w:rsidP="00555781">
      <w:pPr>
        <w:spacing w:after="0" w:line="240" w:lineRule="auto"/>
        <w:jc w:val="both"/>
        <w:rPr>
          <w:rFonts w:ascii="Arial" w:eastAsia="Times New Roman" w:hAnsi="Arial" w:cs="Arial"/>
          <w:sz w:val="18"/>
          <w:szCs w:val="18"/>
          <w:lang w:val="el-GR" w:eastAsia="en-US"/>
        </w:rPr>
      </w:pPr>
    </w:p>
    <w:p w14:paraId="6C5F148B" w14:textId="6028C102" w:rsidR="007F5B28" w:rsidRPr="00721BCE" w:rsidRDefault="007F5B28" w:rsidP="00555781">
      <w:pPr>
        <w:spacing w:after="0" w:line="240" w:lineRule="auto"/>
        <w:jc w:val="both"/>
        <w:rPr>
          <w:rFonts w:ascii="Arial" w:eastAsia="Times New Roman" w:hAnsi="Arial" w:cs="Arial"/>
          <w:sz w:val="18"/>
          <w:szCs w:val="18"/>
          <w:lang w:val="el-GR" w:eastAsia="en-US"/>
        </w:rPr>
      </w:pPr>
      <w:r w:rsidRPr="00721BCE">
        <w:rPr>
          <w:rFonts w:ascii="Arial" w:eastAsia="Times New Roman" w:hAnsi="Arial" w:cs="Arial"/>
          <w:sz w:val="18"/>
          <w:szCs w:val="18"/>
          <w:lang w:val="el-GR" w:eastAsia="en-US"/>
        </w:rPr>
        <w:t>Η Τράπεζα πρέπει να συμμορφώνεται με την Ελάχιστη Απαίτηση Ιδίων Κεφαλαίων και Επιλέξιμων Υποχρεώσεων (MREL) σε ενοποιημένο επίπεδο, που περιλαμβάνει την Τράπεζα και τις θυγατρικές της.</w:t>
      </w:r>
    </w:p>
    <w:p w14:paraId="16A41328" w14:textId="77777777" w:rsidR="007F5B28" w:rsidRPr="00721BCE" w:rsidRDefault="007F5B28" w:rsidP="00555781">
      <w:pPr>
        <w:spacing w:after="0" w:line="240" w:lineRule="auto"/>
        <w:jc w:val="both"/>
        <w:rPr>
          <w:rFonts w:ascii="Arial" w:eastAsia="Times New Roman" w:hAnsi="Arial" w:cs="Arial"/>
          <w:sz w:val="18"/>
          <w:szCs w:val="18"/>
          <w:lang w:val="el-GR" w:eastAsia="en-US"/>
        </w:rPr>
      </w:pPr>
    </w:p>
    <w:p w14:paraId="2F7FA658" w14:textId="64C50F09" w:rsidR="007F5B28" w:rsidRPr="00721BCE" w:rsidRDefault="007F5B28" w:rsidP="00555781">
      <w:pPr>
        <w:spacing w:after="0" w:line="240" w:lineRule="auto"/>
        <w:jc w:val="both"/>
        <w:rPr>
          <w:rFonts w:ascii="Arial" w:eastAsia="Times New Roman" w:hAnsi="Arial" w:cs="Arial"/>
          <w:sz w:val="18"/>
          <w:szCs w:val="18"/>
          <w:lang w:val="el-GR" w:eastAsia="en-US"/>
        </w:rPr>
      </w:pPr>
      <w:r w:rsidRPr="00721BCE">
        <w:rPr>
          <w:rFonts w:ascii="Arial" w:eastAsia="Times New Roman" w:hAnsi="Arial" w:cs="Arial"/>
          <w:sz w:val="18"/>
          <w:szCs w:val="18"/>
          <w:lang w:val="el-GR" w:eastAsia="en-US"/>
        </w:rPr>
        <w:t xml:space="preserve">Τον Απρίλιο 2024, η </w:t>
      </w:r>
      <w:r w:rsidR="004026BA" w:rsidRPr="00721BCE">
        <w:rPr>
          <w:rFonts w:ascii="Arial" w:eastAsia="Times New Roman" w:hAnsi="Arial" w:cs="Arial"/>
          <w:sz w:val="18"/>
          <w:szCs w:val="18"/>
          <w:lang w:val="el-GR" w:eastAsia="en-US"/>
        </w:rPr>
        <w:t xml:space="preserve">Τράπεζα </w:t>
      </w:r>
      <w:r w:rsidRPr="00721BCE">
        <w:rPr>
          <w:rFonts w:ascii="Arial" w:eastAsia="Times New Roman" w:hAnsi="Arial" w:cs="Arial"/>
          <w:sz w:val="18"/>
          <w:szCs w:val="18"/>
          <w:lang w:val="el-GR" w:eastAsia="en-US"/>
        </w:rPr>
        <w:t>προχώρησε με έκδοση πράσινου ομολόγου υψηλής εξοφλητικής προτεραιότητας ύψους €300 εκατ. (το ‘</w:t>
      </w:r>
      <w:r w:rsidR="00FB7B24" w:rsidRPr="00721BCE">
        <w:rPr>
          <w:rFonts w:ascii="Arial" w:eastAsia="Times New Roman" w:hAnsi="Arial" w:cs="Arial"/>
          <w:sz w:val="18"/>
          <w:szCs w:val="18"/>
          <w:lang w:val="el-GR" w:eastAsia="en-US"/>
        </w:rPr>
        <w:t xml:space="preserve">Πράσινο </w:t>
      </w:r>
      <w:r w:rsidRPr="00721BCE">
        <w:rPr>
          <w:rFonts w:ascii="Arial" w:eastAsia="Times New Roman" w:hAnsi="Arial" w:cs="Arial"/>
          <w:sz w:val="18"/>
          <w:szCs w:val="18"/>
          <w:lang w:val="el-GR" w:eastAsia="en-US"/>
        </w:rPr>
        <w:t xml:space="preserve">Ομόλογο’). Το </w:t>
      </w:r>
      <w:r w:rsidR="00FB7B24" w:rsidRPr="00721BCE">
        <w:rPr>
          <w:rFonts w:ascii="Arial" w:eastAsia="Times New Roman" w:hAnsi="Arial" w:cs="Arial"/>
          <w:sz w:val="18"/>
          <w:szCs w:val="18"/>
          <w:lang w:val="el-GR" w:eastAsia="en-US"/>
        </w:rPr>
        <w:t xml:space="preserve">Πράσινο </w:t>
      </w:r>
      <w:r w:rsidRPr="00721BCE">
        <w:rPr>
          <w:rFonts w:ascii="Arial" w:eastAsia="Times New Roman" w:hAnsi="Arial" w:cs="Arial"/>
          <w:sz w:val="18"/>
          <w:szCs w:val="18"/>
          <w:lang w:val="el-GR" w:eastAsia="en-US"/>
        </w:rPr>
        <w:t xml:space="preserve">Ομόλογο πληροί τα κριτήρια Ελάχιστης Απαίτησης Ιδίων Κεφαλαίων και Επιλέξιμων Υποχρεώσεων (MREL) συνεισφέροντας έτσι στις απαιτήσεις Ελάχιστης Απαίτησης Ιδίων Κεφαλαίων και Επιλέξιμων Υποχρεώσεων (MREL) της </w:t>
      </w:r>
      <w:r w:rsidR="004026BA" w:rsidRPr="00721BCE">
        <w:rPr>
          <w:rFonts w:ascii="Arial" w:eastAsia="Times New Roman" w:hAnsi="Arial" w:cs="Arial"/>
          <w:sz w:val="18"/>
          <w:szCs w:val="18"/>
          <w:lang w:val="el-GR" w:eastAsia="en-US"/>
        </w:rPr>
        <w:t>Τράπεζας</w:t>
      </w:r>
      <w:r w:rsidR="00721BCE">
        <w:rPr>
          <w:rFonts w:ascii="Arial" w:eastAsia="Times New Roman" w:hAnsi="Arial" w:cs="Arial"/>
          <w:sz w:val="18"/>
          <w:szCs w:val="18"/>
          <w:lang w:val="el-GR" w:eastAsia="en-US"/>
        </w:rPr>
        <w:t xml:space="preserve"> (π</w:t>
      </w:r>
      <w:r w:rsidR="00721BCE" w:rsidRPr="006A1797">
        <w:rPr>
          <w:rFonts w:ascii="Arial" w:eastAsia="Times New Roman" w:hAnsi="Arial" w:cs="Arial"/>
          <w:sz w:val="18"/>
          <w:szCs w:val="18"/>
          <w:lang w:val="el-GR" w:eastAsia="en-US"/>
        </w:rPr>
        <w:t xml:space="preserve">ερισσότερες πληροφορίες αναφέρονται στο </w:t>
      </w:r>
      <w:r w:rsidR="00721BCE">
        <w:rPr>
          <w:rFonts w:ascii="Arial" w:eastAsia="Times New Roman" w:hAnsi="Arial" w:cs="Arial"/>
          <w:sz w:val="18"/>
          <w:szCs w:val="18"/>
          <w:lang w:val="el-GR" w:eastAsia="en-US"/>
        </w:rPr>
        <w:t>μ</w:t>
      </w:r>
      <w:r w:rsidR="00721BCE" w:rsidRPr="006A1797">
        <w:rPr>
          <w:rFonts w:ascii="Arial" w:eastAsia="Times New Roman" w:hAnsi="Arial" w:cs="Arial"/>
          <w:sz w:val="18"/>
          <w:szCs w:val="18"/>
          <w:lang w:val="el-GR" w:eastAsia="en-US"/>
        </w:rPr>
        <w:t xml:space="preserve">έρος </w:t>
      </w:r>
      <w:r w:rsidR="00721BCE">
        <w:rPr>
          <w:rFonts w:ascii="Arial" w:eastAsia="Times New Roman" w:hAnsi="Arial" w:cs="Arial"/>
          <w:sz w:val="18"/>
          <w:szCs w:val="18"/>
          <w:lang w:val="el-GR" w:eastAsia="en-US"/>
        </w:rPr>
        <w:t>‘Β</w:t>
      </w:r>
      <w:r w:rsidR="00721BCE" w:rsidRPr="006A1797">
        <w:rPr>
          <w:rFonts w:ascii="Arial" w:eastAsia="Times New Roman" w:hAnsi="Arial" w:cs="Arial"/>
          <w:sz w:val="18"/>
          <w:szCs w:val="18"/>
          <w:lang w:val="el-GR" w:eastAsia="en-US"/>
        </w:rPr>
        <w:t>.</w:t>
      </w:r>
      <w:r w:rsidR="00721BCE">
        <w:rPr>
          <w:rFonts w:ascii="Arial" w:eastAsia="Times New Roman" w:hAnsi="Arial" w:cs="Arial"/>
          <w:sz w:val="18"/>
          <w:szCs w:val="18"/>
          <w:lang w:val="el-GR" w:eastAsia="en-US"/>
        </w:rPr>
        <w:t>2.3’),</w:t>
      </w:r>
    </w:p>
    <w:p w14:paraId="4F1D5C61" w14:textId="77777777" w:rsidR="007F5B28" w:rsidRPr="00721BCE" w:rsidRDefault="007F5B28" w:rsidP="00555781">
      <w:pPr>
        <w:spacing w:after="0" w:line="240" w:lineRule="auto"/>
        <w:jc w:val="both"/>
        <w:rPr>
          <w:rFonts w:ascii="Arial" w:eastAsia="Times New Roman" w:hAnsi="Arial" w:cs="Arial"/>
          <w:sz w:val="18"/>
          <w:szCs w:val="18"/>
          <w:lang w:val="el-GR" w:eastAsia="en-US"/>
        </w:rPr>
      </w:pPr>
    </w:p>
    <w:p w14:paraId="06D446D7" w14:textId="77777777" w:rsidR="00721BCE" w:rsidRDefault="00721BCE" w:rsidP="00C04176">
      <w:pPr>
        <w:spacing w:after="0" w:line="240" w:lineRule="auto"/>
        <w:jc w:val="both"/>
        <w:rPr>
          <w:rFonts w:ascii="Arial" w:eastAsia="Times New Roman" w:hAnsi="Arial" w:cs="Arial"/>
          <w:sz w:val="18"/>
          <w:szCs w:val="18"/>
          <w:highlight w:val="yellow"/>
          <w:lang w:val="el-GR" w:eastAsia="en-US"/>
        </w:rPr>
      </w:pPr>
    </w:p>
    <w:p w14:paraId="7D3BA052" w14:textId="77777777" w:rsidR="00721BCE" w:rsidRDefault="00721BCE" w:rsidP="00C04176">
      <w:pPr>
        <w:spacing w:after="0" w:line="240" w:lineRule="auto"/>
        <w:jc w:val="both"/>
        <w:rPr>
          <w:rFonts w:ascii="Arial" w:eastAsia="Times New Roman" w:hAnsi="Arial" w:cs="Arial"/>
          <w:sz w:val="18"/>
          <w:szCs w:val="18"/>
          <w:highlight w:val="yellow"/>
          <w:lang w:val="el-GR" w:eastAsia="en-US"/>
        </w:rPr>
      </w:pPr>
    </w:p>
    <w:p w14:paraId="48C098B4" w14:textId="77777777" w:rsidR="00D022B5" w:rsidRDefault="00D022B5" w:rsidP="00721BCE">
      <w:pPr>
        <w:rPr>
          <w:rFonts w:ascii="Arial" w:hAnsi="Arial" w:cs="Arial"/>
          <w:b/>
          <w:bCs/>
          <w:color w:val="FF9900"/>
          <w:sz w:val="24"/>
          <w:lang w:val="el-GR"/>
        </w:rPr>
      </w:pPr>
    </w:p>
    <w:p w14:paraId="323193F8" w14:textId="22EBBD0E" w:rsidR="00721BCE" w:rsidRPr="006A1797" w:rsidRDefault="00721BCE" w:rsidP="00721BCE">
      <w:pPr>
        <w:rPr>
          <w:rFonts w:ascii="Arial" w:hAnsi="Arial" w:cs="Arial"/>
          <w:b/>
          <w:bCs/>
          <w:color w:val="FF9900"/>
          <w:sz w:val="24"/>
          <w:lang w:val="el-GR"/>
        </w:rPr>
      </w:pPr>
      <w:r w:rsidRPr="006A1797">
        <w:rPr>
          <w:rFonts w:ascii="Arial" w:hAnsi="Arial" w:cs="Arial"/>
          <w:b/>
          <w:bCs/>
          <w:color w:val="FF9900"/>
          <w:sz w:val="24"/>
          <w:lang w:val="el-GR"/>
        </w:rPr>
        <w:lastRenderedPageBreak/>
        <w:t xml:space="preserve">Β. Οικονομικά Αποτελέσματα Συγκροτήματος – Υποκείμενη Βάση </w:t>
      </w:r>
      <w:r w:rsidRPr="006A1797">
        <w:rPr>
          <w:rFonts w:ascii="Arial" w:hAnsi="Arial" w:cs="Arial"/>
          <w:color w:val="FF9900"/>
          <w:sz w:val="24"/>
          <w:lang w:val="el-GR"/>
        </w:rPr>
        <w:t>(συνέχεια)</w:t>
      </w:r>
    </w:p>
    <w:p w14:paraId="3306549B" w14:textId="77777777" w:rsidR="00721BCE" w:rsidRPr="006A1797" w:rsidRDefault="00721BCE" w:rsidP="00721BCE">
      <w:pPr>
        <w:rPr>
          <w:rFonts w:ascii="Arial" w:hAnsi="Arial" w:cs="Arial"/>
          <w:b/>
          <w:bCs/>
          <w:color w:val="FF9900"/>
          <w:sz w:val="23"/>
          <w:szCs w:val="23"/>
          <w:lang w:val="el-GR"/>
        </w:rPr>
      </w:pPr>
      <w:r w:rsidRPr="006A1797">
        <w:rPr>
          <w:rFonts w:ascii="Arial" w:hAnsi="Arial" w:cs="Arial"/>
          <w:b/>
          <w:bCs/>
          <w:color w:val="FF9900"/>
          <w:sz w:val="23"/>
          <w:szCs w:val="23"/>
          <w:lang w:val="el-GR"/>
        </w:rPr>
        <w:t xml:space="preserve">Β.2 Ανάλυση Ισολογισμού </w:t>
      </w:r>
      <w:r w:rsidRPr="006A1797">
        <w:rPr>
          <w:rFonts w:ascii="Arial" w:hAnsi="Arial" w:cs="Arial"/>
          <w:color w:val="FF9900"/>
          <w:sz w:val="23"/>
          <w:szCs w:val="23"/>
          <w:lang w:val="el-GR"/>
        </w:rPr>
        <w:t>(συνέχεια)</w:t>
      </w:r>
    </w:p>
    <w:p w14:paraId="529DCEC3" w14:textId="5C738A4B" w:rsidR="00721BCE" w:rsidRPr="006A1797" w:rsidRDefault="00721BCE" w:rsidP="00721BCE">
      <w:pPr>
        <w:spacing w:after="0" w:line="240" w:lineRule="auto"/>
        <w:jc w:val="both"/>
        <w:rPr>
          <w:rFonts w:ascii="Arial" w:eastAsia="Times New Roman" w:hAnsi="Arial" w:cs="Arial"/>
          <w:b/>
          <w:bCs/>
          <w:color w:val="FF9900"/>
          <w:lang w:val="el-GR" w:eastAsia="el-GR"/>
        </w:rPr>
      </w:pPr>
      <w:r w:rsidRPr="006A1797">
        <w:rPr>
          <w:rFonts w:ascii="Arial" w:eastAsia="Times New Roman" w:hAnsi="Arial" w:cs="Arial"/>
          <w:b/>
          <w:bCs/>
          <w:color w:val="FF9900"/>
          <w:lang w:val="el-GR" w:eastAsia="el-GR"/>
        </w:rPr>
        <w:t xml:space="preserve">Β.2.2.2 Οδηγία για Ανάκαμψη και Εξυγίανση Πιστωτικών Ιδρυμάτων και Επιχειρήσεων Επενδύσεων (BRRD) </w:t>
      </w:r>
      <w:r w:rsidRPr="006A1797">
        <w:rPr>
          <w:rFonts w:ascii="Arial" w:hAnsi="Arial" w:cs="Arial"/>
          <w:color w:val="FF9900"/>
          <w:lang w:val="el-GR"/>
        </w:rPr>
        <w:t>(συνέχεια)</w:t>
      </w:r>
    </w:p>
    <w:p w14:paraId="382AB21C" w14:textId="77777777" w:rsidR="00721BCE" w:rsidRPr="002672BE" w:rsidRDefault="00721BCE" w:rsidP="00721BCE">
      <w:pPr>
        <w:spacing w:after="0" w:line="240" w:lineRule="auto"/>
        <w:jc w:val="both"/>
        <w:rPr>
          <w:rFonts w:ascii="Arial" w:eastAsia="Times New Roman" w:hAnsi="Arial" w:cs="Arial"/>
          <w:b/>
          <w:bCs/>
          <w:color w:val="FF9900"/>
          <w:sz w:val="18"/>
          <w:szCs w:val="20"/>
          <w:lang w:val="el-GR" w:eastAsia="el-GR"/>
        </w:rPr>
      </w:pPr>
    </w:p>
    <w:p w14:paraId="1112B469" w14:textId="578D5089" w:rsidR="00721BCE" w:rsidRDefault="00721BCE" w:rsidP="006A1797">
      <w:pPr>
        <w:spacing w:after="0" w:line="360" w:lineRule="auto"/>
        <w:rPr>
          <w:rFonts w:ascii="Arial" w:hAnsi="Arial" w:cs="Arial"/>
          <w:i/>
          <w:iCs/>
          <w:color w:val="FF9900"/>
          <w:sz w:val="20"/>
          <w:szCs w:val="20"/>
          <w:lang w:val="el-GR"/>
        </w:rPr>
      </w:pPr>
      <w:r w:rsidRPr="006A1797">
        <w:rPr>
          <w:rFonts w:ascii="Arial" w:eastAsia="Times New Roman" w:hAnsi="Arial" w:cs="Arial"/>
          <w:b/>
          <w:bCs/>
          <w:i/>
          <w:iCs/>
          <w:color w:val="FF9900"/>
          <w:sz w:val="20"/>
          <w:szCs w:val="20"/>
          <w:lang w:val="el-GR" w:eastAsia="el-GR"/>
        </w:rPr>
        <w:t>Ελάχιστη Απαίτηση για Ίδια Κεφάλαια και Επιλέξιμες Υποχρεώσεις (</w:t>
      </w:r>
      <w:r w:rsidRPr="006A1797">
        <w:rPr>
          <w:rFonts w:ascii="Arial" w:eastAsia="Times New Roman" w:hAnsi="Arial" w:cs="Arial"/>
          <w:b/>
          <w:bCs/>
          <w:i/>
          <w:iCs/>
          <w:color w:val="FF9900"/>
          <w:sz w:val="20"/>
          <w:szCs w:val="20"/>
          <w:lang w:eastAsia="el-GR"/>
        </w:rPr>
        <w:t>MREL</w:t>
      </w:r>
      <w:r w:rsidRPr="006A1797">
        <w:rPr>
          <w:rFonts w:ascii="Arial" w:eastAsia="Times New Roman" w:hAnsi="Arial" w:cs="Arial"/>
          <w:b/>
          <w:bCs/>
          <w:i/>
          <w:iCs/>
          <w:color w:val="FF9900"/>
          <w:sz w:val="20"/>
          <w:szCs w:val="20"/>
          <w:lang w:val="el-GR" w:eastAsia="el-GR"/>
        </w:rPr>
        <w:t xml:space="preserve">) </w:t>
      </w:r>
      <w:r w:rsidRPr="006A1797">
        <w:rPr>
          <w:rFonts w:ascii="Arial" w:hAnsi="Arial" w:cs="Arial"/>
          <w:i/>
          <w:iCs/>
          <w:color w:val="FF9900"/>
          <w:sz w:val="20"/>
          <w:szCs w:val="20"/>
          <w:lang w:val="el-GR"/>
        </w:rPr>
        <w:t>(συνέχεια)</w:t>
      </w:r>
    </w:p>
    <w:p w14:paraId="192C29A9" w14:textId="430F56DB" w:rsidR="00D022B5" w:rsidRDefault="00D022B5" w:rsidP="00D022B5">
      <w:pPr>
        <w:spacing w:after="0" w:line="240" w:lineRule="auto"/>
        <w:jc w:val="both"/>
        <w:rPr>
          <w:rFonts w:ascii="Arial" w:eastAsia="Times New Roman" w:hAnsi="Arial" w:cs="Arial"/>
          <w:sz w:val="18"/>
          <w:szCs w:val="18"/>
          <w:highlight w:val="yellow"/>
          <w:lang w:val="el-GR" w:eastAsia="en-US"/>
        </w:rPr>
      </w:pPr>
      <w:r w:rsidRPr="00721BCE">
        <w:rPr>
          <w:rFonts w:ascii="Arial" w:eastAsia="Times New Roman" w:hAnsi="Arial" w:cs="Arial"/>
          <w:sz w:val="18"/>
          <w:szCs w:val="18"/>
          <w:lang w:val="el-GR" w:eastAsia="en-US"/>
        </w:rPr>
        <w:t xml:space="preserve">Ο δείκτης Ελάχιστης Απαίτησης Ιδίων Κεφαλαίων και Επιλέξιμων Υποχρεώσεων (MREL) κατά τις 30 Ιουνίου 2024, υπολογιζόμενος σύμφωνα με τα ισχύοντα κριτήρια επιλεξιμότητας του ΕΣΕ, και βασισμένος σε εσωτερικές εκτιμήσεις, ανήλθε στο </w:t>
      </w:r>
      <w:r w:rsidRPr="006A1797">
        <w:rPr>
          <w:rFonts w:ascii="Arial" w:eastAsia="Times New Roman" w:hAnsi="Arial" w:cs="Arial"/>
          <w:sz w:val="18"/>
          <w:szCs w:val="18"/>
          <w:lang w:val="el-GR"/>
        </w:rPr>
        <w:t>33.4</w:t>
      </w:r>
      <w:r w:rsidRPr="00721BCE">
        <w:rPr>
          <w:rFonts w:ascii="Arial" w:eastAsia="Times New Roman" w:hAnsi="Arial" w:cs="Arial"/>
          <w:sz w:val="18"/>
          <w:szCs w:val="18"/>
          <w:lang w:val="el-GR" w:eastAsia="en-US"/>
        </w:rPr>
        <w:t xml:space="preserve">% των σταθμισμένων ως προς τον κίνδυνο περιουσιακών στοιχείων (RWA) (περιλαμβανομένου του κεφαλαίου που χρησιμοποιείται για κάλυψη της Συνδυασμένης Απαίτησης Αποθέματος Ασφαλείας (CBR)) και στο </w:t>
      </w:r>
      <w:r w:rsidRPr="006A1797">
        <w:rPr>
          <w:rFonts w:ascii="Arial" w:eastAsia="Times New Roman" w:hAnsi="Arial" w:cs="Arial"/>
          <w:sz w:val="18"/>
          <w:szCs w:val="18"/>
          <w:lang w:val="el-GR"/>
        </w:rPr>
        <w:t>14.0</w:t>
      </w:r>
      <w:r w:rsidRPr="00721BCE">
        <w:rPr>
          <w:rFonts w:ascii="Arial" w:eastAsia="Times New Roman" w:hAnsi="Arial" w:cs="Arial"/>
          <w:sz w:val="18"/>
          <w:szCs w:val="18"/>
          <w:lang w:val="el-GR" w:eastAsia="en-US"/>
        </w:rPr>
        <w:t xml:space="preserve">% του μέτρου συνολικού ανοίγματος του Δείκτη Μόχλευσης (LRE) (με βάση τα Συνολικά Εποπτικά Κεφαλαία κατά τις 30 Ιουνίου 2024). Το ποσοστό της Συνδυασμένης Απαίτησης Αποθέματος Ασφαλείας (CBR) ανήλθε στο </w:t>
      </w:r>
      <w:r w:rsidRPr="006A1797">
        <w:rPr>
          <w:rFonts w:ascii="Arial" w:eastAsia="Times New Roman" w:hAnsi="Arial" w:cs="Arial"/>
          <w:sz w:val="18"/>
          <w:szCs w:val="18"/>
          <w:lang w:val="el-GR"/>
        </w:rPr>
        <w:t>5.31</w:t>
      </w:r>
      <w:r w:rsidRPr="006A1797">
        <w:rPr>
          <w:rFonts w:ascii="Arial" w:eastAsia="Times New Roman" w:hAnsi="Arial" w:cs="Arial"/>
          <w:sz w:val="18"/>
          <w:szCs w:val="18"/>
          <w:lang w:val="el-GR" w:eastAsia="en-US"/>
        </w:rPr>
        <w:t xml:space="preserve">% </w:t>
      </w:r>
      <w:r w:rsidRPr="00721BCE">
        <w:rPr>
          <w:rFonts w:ascii="Arial" w:eastAsia="Times New Roman" w:hAnsi="Arial" w:cs="Arial"/>
          <w:sz w:val="18"/>
          <w:szCs w:val="18"/>
          <w:lang w:val="el-GR" w:eastAsia="en-US"/>
        </w:rPr>
        <w:t>στις 30 Ιουνίου 2024 (σε σύγκριση με 4.86% στις 31 Μαρτίου 2024 και με 4.48% στις 31 Δεκεμβρίου 2023), αντανακλώντας την αύξηση του ποσοστού του Αντικυκλικού Κεφαλαιακού Αποθέματος Ασφαλείας (CcyB) από</w:t>
      </w:r>
      <w:r w:rsidR="00F9693F" w:rsidRPr="00F9693F">
        <w:rPr>
          <w:rFonts w:ascii="Arial" w:eastAsia="Times New Roman" w:hAnsi="Arial" w:cs="Arial"/>
          <w:sz w:val="18"/>
          <w:szCs w:val="18"/>
          <w:lang w:val="el-GR" w:eastAsia="en-US"/>
        </w:rPr>
        <w:t xml:space="preserve"> </w:t>
      </w:r>
      <w:r w:rsidR="00F9693F">
        <w:rPr>
          <w:rFonts w:ascii="Arial" w:eastAsia="Times New Roman" w:hAnsi="Arial" w:cs="Arial"/>
          <w:sz w:val="18"/>
          <w:szCs w:val="18"/>
          <w:lang w:val="el-GR" w:eastAsia="en-US"/>
        </w:rPr>
        <w:t>περίπου</w:t>
      </w:r>
      <w:r w:rsidRPr="00721BCE">
        <w:rPr>
          <w:rFonts w:ascii="Arial" w:eastAsia="Times New Roman" w:hAnsi="Arial" w:cs="Arial"/>
          <w:sz w:val="18"/>
          <w:szCs w:val="18"/>
          <w:lang w:val="el-GR" w:eastAsia="en-US"/>
        </w:rPr>
        <w:t xml:space="preserve"> 0.49% σε</w:t>
      </w:r>
      <w:r w:rsidR="00F9693F">
        <w:rPr>
          <w:rFonts w:ascii="Arial" w:eastAsia="Times New Roman" w:hAnsi="Arial" w:cs="Arial"/>
          <w:sz w:val="18"/>
          <w:szCs w:val="18"/>
          <w:lang w:val="el-GR" w:eastAsia="en-US"/>
        </w:rPr>
        <w:t xml:space="preserve"> περίπου</w:t>
      </w:r>
      <w:r w:rsidRPr="00721BCE">
        <w:rPr>
          <w:rFonts w:ascii="Arial" w:eastAsia="Times New Roman" w:hAnsi="Arial" w:cs="Arial"/>
          <w:sz w:val="18"/>
          <w:szCs w:val="18"/>
          <w:lang w:val="el-GR" w:eastAsia="en-US"/>
        </w:rPr>
        <w:t xml:space="preserve"> </w:t>
      </w:r>
      <w:r w:rsidRPr="006A1797">
        <w:rPr>
          <w:rFonts w:ascii="Arial" w:eastAsia="Times New Roman" w:hAnsi="Arial" w:cs="Arial"/>
          <w:sz w:val="18"/>
          <w:szCs w:val="18"/>
          <w:lang w:val="el-GR"/>
        </w:rPr>
        <w:t>0.94</w:t>
      </w:r>
      <w:r w:rsidRPr="00721BCE">
        <w:rPr>
          <w:rFonts w:ascii="Arial" w:eastAsia="Times New Roman" w:hAnsi="Arial" w:cs="Arial"/>
          <w:sz w:val="18"/>
          <w:szCs w:val="18"/>
          <w:lang w:val="el-GR" w:eastAsia="en-US"/>
        </w:rPr>
        <w:t>% τον Ιούνιο 2024.</w:t>
      </w:r>
    </w:p>
    <w:p w14:paraId="76F78BBF" w14:textId="77777777" w:rsidR="00D022B5" w:rsidRPr="002672BE" w:rsidRDefault="00D022B5" w:rsidP="00D022B5">
      <w:pPr>
        <w:spacing w:after="0" w:line="240" w:lineRule="auto"/>
        <w:jc w:val="both"/>
        <w:rPr>
          <w:rFonts w:ascii="Arial" w:eastAsia="Times New Roman" w:hAnsi="Arial" w:cs="Arial"/>
          <w:sz w:val="16"/>
          <w:szCs w:val="16"/>
          <w:highlight w:val="yellow"/>
          <w:lang w:val="el-GR" w:eastAsia="en-US"/>
        </w:rPr>
      </w:pPr>
    </w:p>
    <w:p w14:paraId="518AFA5A" w14:textId="63578A2F" w:rsidR="00721BCE" w:rsidRPr="006A1797" w:rsidRDefault="007F5B28" w:rsidP="00C04176">
      <w:pPr>
        <w:spacing w:after="0" w:line="240" w:lineRule="auto"/>
        <w:jc w:val="both"/>
        <w:rPr>
          <w:rFonts w:ascii="Arial" w:eastAsia="Times New Roman" w:hAnsi="Arial" w:cs="Arial"/>
          <w:sz w:val="18"/>
          <w:szCs w:val="18"/>
          <w:lang w:val="el-GR" w:eastAsia="en-US"/>
        </w:rPr>
      </w:pPr>
      <w:r w:rsidRPr="00721BCE">
        <w:rPr>
          <w:rFonts w:ascii="Arial" w:eastAsia="Times New Roman" w:hAnsi="Arial" w:cs="Arial"/>
          <w:sz w:val="18"/>
          <w:szCs w:val="18"/>
          <w:lang w:val="el-GR" w:eastAsia="en-US"/>
        </w:rPr>
        <w:t>Το ποσοστό της Συνδυασμένης Απαίτησης Αποθέματος Ασφαλείας (CBR) αναμένεται να αυξηθεί περαιτέρ</w:t>
      </w:r>
      <w:r w:rsidR="00282860" w:rsidRPr="00721BCE">
        <w:rPr>
          <w:rFonts w:ascii="Arial" w:eastAsia="Times New Roman" w:hAnsi="Arial" w:cs="Arial"/>
          <w:sz w:val="18"/>
          <w:szCs w:val="18"/>
          <w:lang w:val="el-GR" w:eastAsia="en-US"/>
        </w:rPr>
        <w:t xml:space="preserve">ω </w:t>
      </w:r>
      <w:r w:rsidRPr="00721BCE">
        <w:rPr>
          <w:rFonts w:ascii="Arial" w:eastAsia="Times New Roman" w:hAnsi="Arial" w:cs="Arial"/>
          <w:sz w:val="18"/>
          <w:szCs w:val="18"/>
          <w:lang w:val="el-GR" w:eastAsia="en-US"/>
        </w:rPr>
        <w:t>ως αποτέλεσμα</w:t>
      </w:r>
      <w:r w:rsidR="00282860" w:rsidRPr="00721BCE">
        <w:rPr>
          <w:rFonts w:ascii="Arial" w:eastAsia="Times New Roman" w:hAnsi="Arial" w:cs="Arial"/>
          <w:sz w:val="18"/>
          <w:szCs w:val="18"/>
          <w:lang w:val="el-GR" w:eastAsia="en-US"/>
        </w:rPr>
        <w:t xml:space="preserve"> </w:t>
      </w:r>
      <w:r w:rsidRPr="00721BCE">
        <w:rPr>
          <w:rFonts w:ascii="Arial" w:eastAsia="Times New Roman" w:hAnsi="Arial" w:cs="Arial"/>
          <w:sz w:val="18"/>
          <w:szCs w:val="18"/>
          <w:lang w:val="el-GR" w:eastAsia="en-US"/>
        </w:rPr>
        <w:t>της σταδιακής εφαρμογής του ποσοστού Αποθέματος Ασφαλείας O-SII από 1.875% σε 1.9375% την 1 Ιανουαρίου 2025 και σε 2.00% την 1 Ιανουαρίου 2026.</w:t>
      </w:r>
      <w:r w:rsidR="00C04176" w:rsidRPr="006A1797">
        <w:rPr>
          <w:rFonts w:ascii="Arial" w:eastAsia="Times New Roman" w:hAnsi="Arial" w:cs="Arial"/>
          <w:sz w:val="18"/>
          <w:szCs w:val="18"/>
          <w:lang w:val="el-GR" w:eastAsia="en-US"/>
        </w:rPr>
        <w:t xml:space="preserve"> </w:t>
      </w:r>
    </w:p>
    <w:p w14:paraId="30271059" w14:textId="77777777" w:rsidR="00721BCE" w:rsidRPr="002672BE" w:rsidRDefault="00721BCE" w:rsidP="00C04176">
      <w:pPr>
        <w:spacing w:after="0" w:line="240" w:lineRule="auto"/>
        <w:jc w:val="both"/>
        <w:rPr>
          <w:rFonts w:ascii="Arial" w:eastAsia="Times New Roman" w:hAnsi="Arial" w:cs="Arial"/>
          <w:sz w:val="16"/>
          <w:szCs w:val="16"/>
          <w:lang w:val="el-GR" w:eastAsia="en-US"/>
        </w:rPr>
      </w:pPr>
    </w:p>
    <w:p w14:paraId="7C2BEA2B" w14:textId="2C0423B8" w:rsidR="00C04176" w:rsidRDefault="00C04176" w:rsidP="00C04176">
      <w:pPr>
        <w:spacing w:after="0" w:line="240" w:lineRule="auto"/>
        <w:jc w:val="both"/>
        <w:rPr>
          <w:rFonts w:ascii="Arial" w:hAnsi="Arial" w:cs="Arial"/>
          <w:sz w:val="18"/>
          <w:szCs w:val="18"/>
          <w:lang w:val="el-GR"/>
        </w:rPr>
      </w:pPr>
      <w:r w:rsidRPr="006A1797">
        <w:rPr>
          <w:rFonts w:ascii="Arial" w:hAnsi="Arial" w:cs="Arial"/>
          <w:sz w:val="18"/>
          <w:szCs w:val="18"/>
          <w:lang w:val="el-GR"/>
        </w:rPr>
        <w:t xml:space="preserve">Σε αυτή την ανακοίνωση, </w:t>
      </w:r>
      <w:r w:rsidRPr="006A1797">
        <w:rPr>
          <w:rFonts w:ascii="Arial" w:eastAsia="Times New Roman" w:hAnsi="Arial" w:cs="Arial"/>
          <w:sz w:val="18"/>
          <w:szCs w:val="18"/>
          <w:lang w:val="el-GR" w:eastAsia="en-US"/>
        </w:rPr>
        <w:t>οι δείκτες Ελάχιστης Απαίτησης Ιδίων Κεφαλαίων και Επιλέξιμων Υποχρεώσεων (MREL) κατά τις 30 Ιουνίου 2024</w:t>
      </w:r>
      <w:r w:rsidRPr="006A1797">
        <w:rPr>
          <w:rFonts w:ascii="Arial" w:hAnsi="Arial" w:cs="Arial"/>
          <w:sz w:val="18"/>
          <w:szCs w:val="18"/>
          <w:lang w:val="el-GR"/>
        </w:rPr>
        <w:t xml:space="preserve"> </w:t>
      </w:r>
      <w:r w:rsidR="00721BCE" w:rsidRPr="00721BCE">
        <w:rPr>
          <w:rFonts w:ascii="Arial" w:hAnsi="Arial" w:cs="Arial"/>
          <w:sz w:val="18"/>
          <w:szCs w:val="18"/>
          <w:lang w:val="el-GR"/>
        </w:rPr>
        <w:t>περιλαμβάνουν</w:t>
      </w:r>
      <w:r w:rsidR="00721BCE" w:rsidRPr="002F7ED3">
        <w:rPr>
          <w:rFonts w:ascii="Arial" w:hAnsi="Arial" w:cs="Arial"/>
          <w:sz w:val="18"/>
          <w:szCs w:val="18"/>
          <w:lang w:val="el-GR"/>
        </w:rPr>
        <w:t xml:space="preserve"> κέρδη για το α΄ εξάμηνο 2024</w:t>
      </w:r>
      <w:r w:rsidR="00721BCE" w:rsidRPr="00132262">
        <w:rPr>
          <w:rFonts w:ascii="Arial" w:hAnsi="Arial" w:cs="Arial"/>
          <w:sz w:val="18"/>
          <w:szCs w:val="18"/>
          <w:lang w:val="el-GR"/>
        </w:rPr>
        <w:t>, βάσει της απόφασης (ΕΕ) (2015/656) της Ευρωπαϊκής Κεντρικής Τράπεζας (‘ΕΚΤ’) όπου επιτρέπεται η αναγνώριση της ενδιάμεσης</w:t>
      </w:r>
      <w:r w:rsidR="00F9693F" w:rsidRPr="00F9693F">
        <w:rPr>
          <w:rFonts w:ascii="Arial" w:hAnsi="Arial" w:cs="Arial"/>
          <w:sz w:val="18"/>
          <w:szCs w:val="18"/>
          <w:lang w:val="el-GR"/>
        </w:rPr>
        <w:t xml:space="preserve"> </w:t>
      </w:r>
      <w:r w:rsidR="00F9693F">
        <w:rPr>
          <w:rFonts w:ascii="Arial" w:hAnsi="Arial" w:cs="Arial"/>
          <w:sz w:val="18"/>
          <w:szCs w:val="18"/>
          <w:lang w:val="el-GR"/>
        </w:rPr>
        <w:t>ή τελικής</w:t>
      </w:r>
      <w:r w:rsidR="00721BCE" w:rsidRPr="00132262">
        <w:rPr>
          <w:rFonts w:ascii="Arial" w:hAnsi="Arial" w:cs="Arial"/>
          <w:sz w:val="18"/>
          <w:szCs w:val="18"/>
          <w:lang w:val="el-GR"/>
        </w:rPr>
        <w:t xml:space="preserve"> κερδοφορίας στο δείκτη Κεφαλαίου Κοινών Μετοχών Κατηγορίας 1 (</w:t>
      </w:r>
      <w:r w:rsidR="00721BCE" w:rsidRPr="00132262">
        <w:rPr>
          <w:rFonts w:ascii="Arial" w:hAnsi="Arial" w:cs="Arial"/>
          <w:sz w:val="18"/>
          <w:szCs w:val="18"/>
        </w:rPr>
        <w:t>CET</w:t>
      </w:r>
      <w:r w:rsidR="00721BCE" w:rsidRPr="00132262">
        <w:rPr>
          <w:rFonts w:ascii="Arial" w:hAnsi="Arial" w:cs="Arial"/>
          <w:sz w:val="18"/>
          <w:szCs w:val="18"/>
          <w:lang w:val="el-GR"/>
        </w:rPr>
        <w:t>1) σύμφωνα με το άρθρο 26(2) του Κανονισμού Κεφαλαιακών Απαιτήσεων (</w:t>
      </w:r>
      <w:r w:rsidR="00721BCE" w:rsidRPr="00132262">
        <w:rPr>
          <w:rFonts w:ascii="Arial" w:hAnsi="Arial" w:cs="Arial"/>
          <w:sz w:val="18"/>
          <w:szCs w:val="18"/>
        </w:rPr>
        <w:t>CRR</w:t>
      </w:r>
      <w:r w:rsidR="00721BCE" w:rsidRPr="00132262">
        <w:rPr>
          <w:rFonts w:ascii="Arial" w:hAnsi="Arial" w:cs="Arial"/>
          <w:sz w:val="18"/>
          <w:szCs w:val="18"/>
          <w:lang w:val="el-GR"/>
        </w:rPr>
        <w:t>),</w:t>
      </w:r>
      <w:r w:rsidR="00721BCE" w:rsidRPr="002F7ED3">
        <w:rPr>
          <w:rFonts w:ascii="Arial" w:hAnsi="Arial" w:cs="Arial"/>
          <w:sz w:val="18"/>
          <w:szCs w:val="18"/>
          <w:lang w:val="el-GR"/>
        </w:rPr>
        <w:t xml:space="preserve"> μειωμένα για σχετική πρόβλεψη για διανομή στο υψηλότερο ποσοστό (‘payout ratio’) της εγκεκριμένης πολιτικής διανομής του Συγκροτήματος, σύμφωνα με τις </w:t>
      </w:r>
      <w:r w:rsidR="00721BCE" w:rsidRPr="000A6583">
        <w:rPr>
          <w:rFonts w:ascii="Arial" w:hAnsi="Arial" w:cs="Arial"/>
          <w:sz w:val="18"/>
          <w:szCs w:val="18"/>
          <w:lang w:val="el-GR"/>
        </w:rPr>
        <w:t xml:space="preserve">αρχές του κατ’ εξουσιοδότηση Κανονισμού της (ΕΕ) αριθ. 241/2014 (οι δείκτες αυτοί αναφέρονται ως εποπτικοί). </w:t>
      </w:r>
    </w:p>
    <w:p w14:paraId="346DC9FC" w14:textId="3BC36B6F" w:rsidR="007F5B28" w:rsidRPr="002672BE" w:rsidRDefault="007F5B28" w:rsidP="00555781">
      <w:pPr>
        <w:spacing w:after="0" w:line="240" w:lineRule="auto"/>
        <w:jc w:val="both"/>
        <w:rPr>
          <w:rFonts w:ascii="Arial" w:eastAsia="Times New Roman" w:hAnsi="Arial" w:cs="Arial"/>
          <w:sz w:val="16"/>
          <w:szCs w:val="16"/>
          <w:highlight w:val="yellow"/>
          <w:lang w:val="el-GR" w:eastAsia="en-US"/>
        </w:rPr>
      </w:pPr>
    </w:p>
    <w:p w14:paraId="4D98F3F7" w14:textId="51FC78D1" w:rsidR="00656BFA" w:rsidRPr="00CB38F0" w:rsidRDefault="00D464F3" w:rsidP="00FA3A6D">
      <w:pPr>
        <w:spacing w:after="0" w:line="360" w:lineRule="auto"/>
        <w:jc w:val="both"/>
        <w:rPr>
          <w:rFonts w:ascii="Arial" w:eastAsia="Times New Roman" w:hAnsi="Arial" w:cs="Arial"/>
          <w:b/>
          <w:bCs/>
          <w:color w:val="FF9900"/>
          <w:lang w:val="el-GR" w:eastAsia="el-GR"/>
        </w:rPr>
      </w:pPr>
      <w:r w:rsidRPr="00CB38F0">
        <w:rPr>
          <w:rFonts w:ascii="Arial" w:eastAsia="Times New Roman" w:hAnsi="Arial" w:cs="Arial"/>
          <w:b/>
          <w:bCs/>
          <w:color w:val="FF9900"/>
          <w:lang w:val="el-GR" w:eastAsia="el-GR"/>
        </w:rPr>
        <w:t>Β</w:t>
      </w:r>
      <w:r w:rsidR="00F93680" w:rsidRPr="00CB38F0">
        <w:rPr>
          <w:rFonts w:ascii="Arial" w:eastAsia="Times New Roman" w:hAnsi="Arial" w:cs="Arial"/>
          <w:b/>
          <w:bCs/>
          <w:color w:val="FF9900"/>
          <w:lang w:val="el-GR" w:eastAsia="el-GR"/>
        </w:rPr>
        <w:t>.</w:t>
      </w:r>
      <w:r w:rsidR="003346A0" w:rsidRPr="00CB38F0">
        <w:rPr>
          <w:rFonts w:ascii="Arial" w:eastAsia="Times New Roman" w:hAnsi="Arial" w:cs="Arial"/>
          <w:b/>
          <w:bCs/>
          <w:color w:val="FF9900"/>
          <w:lang w:val="el-GR" w:eastAsia="el-GR"/>
        </w:rPr>
        <w:t>2</w:t>
      </w:r>
      <w:r w:rsidR="00C0224E" w:rsidRPr="00CB38F0">
        <w:rPr>
          <w:rFonts w:ascii="Arial" w:eastAsia="Times New Roman" w:hAnsi="Arial" w:cs="Arial"/>
          <w:b/>
          <w:bCs/>
          <w:color w:val="FF9900"/>
          <w:lang w:val="el-GR" w:eastAsia="el-GR"/>
        </w:rPr>
        <w:t>.3 Χρηματοδότηση και Ρευστότητα</w:t>
      </w:r>
    </w:p>
    <w:p w14:paraId="370317C9" w14:textId="640D147F" w:rsidR="00C0224E" w:rsidRPr="00CB38F0" w:rsidRDefault="00C0224E" w:rsidP="00C0224E">
      <w:pPr>
        <w:spacing w:after="0" w:line="360" w:lineRule="auto"/>
        <w:rPr>
          <w:rFonts w:ascii="Arial" w:eastAsia="Times New Roman" w:hAnsi="Arial" w:cs="Arial"/>
          <w:b/>
          <w:bCs/>
          <w:color w:val="FF9900"/>
          <w:sz w:val="20"/>
          <w:szCs w:val="24"/>
          <w:lang w:val="el-GR" w:eastAsia="el-GR"/>
        </w:rPr>
      </w:pPr>
      <w:r w:rsidRPr="00CB38F0">
        <w:rPr>
          <w:rFonts w:ascii="Arial" w:eastAsia="Times New Roman" w:hAnsi="Arial" w:cs="Arial"/>
          <w:b/>
          <w:bCs/>
          <w:color w:val="FF9900"/>
          <w:sz w:val="20"/>
          <w:szCs w:val="24"/>
          <w:lang w:val="el-GR" w:eastAsia="el-GR"/>
        </w:rPr>
        <w:t xml:space="preserve">Χρηματοδότηση </w:t>
      </w:r>
    </w:p>
    <w:p w14:paraId="0EE9FAA6" w14:textId="58C1B99B" w:rsidR="005049DE" w:rsidRPr="00CB38F0" w:rsidRDefault="00C0224E" w:rsidP="005049DE">
      <w:pPr>
        <w:spacing w:after="0" w:line="360" w:lineRule="auto"/>
        <w:rPr>
          <w:rFonts w:ascii="Arial" w:hAnsi="Arial" w:cs="Arial"/>
          <w:i/>
          <w:sz w:val="16"/>
          <w:lang w:val="el-GR" w:eastAsia="el-GR"/>
        </w:rPr>
      </w:pPr>
      <w:r w:rsidRPr="00CB38F0">
        <w:rPr>
          <w:rFonts w:ascii="Arial" w:eastAsia="Times New Roman" w:hAnsi="Arial" w:cs="Arial"/>
          <w:b/>
          <w:bCs/>
          <w:i/>
          <w:color w:val="FF9900"/>
          <w:sz w:val="20"/>
          <w:szCs w:val="24"/>
          <w:lang w:val="el-GR" w:eastAsia="el-GR"/>
        </w:rPr>
        <w:t xml:space="preserve">Χρηματοδότηση από Κεντρικές Τράπεζες </w:t>
      </w:r>
    </w:p>
    <w:bookmarkEnd w:id="8"/>
    <w:p w14:paraId="1677CFE4" w14:textId="7B85D841" w:rsidR="00E11BFD" w:rsidRPr="006B5511" w:rsidRDefault="00D464F3" w:rsidP="00496CDD">
      <w:pPr>
        <w:spacing w:after="0" w:line="240" w:lineRule="auto"/>
        <w:jc w:val="both"/>
        <w:rPr>
          <w:rFonts w:ascii="Arial" w:hAnsi="Arial" w:cs="Arial"/>
          <w:sz w:val="18"/>
          <w:szCs w:val="18"/>
          <w:highlight w:val="yellow"/>
          <w:lang w:val="el-GR" w:eastAsia="el-GR"/>
        </w:rPr>
      </w:pPr>
      <w:r w:rsidRPr="00CB38F0">
        <w:rPr>
          <w:rFonts w:ascii="Arial" w:hAnsi="Arial" w:cs="Arial"/>
          <w:sz w:val="18"/>
          <w:lang w:val="el-GR" w:eastAsia="el-GR"/>
        </w:rPr>
        <w:t xml:space="preserve">Μετά την </w:t>
      </w:r>
      <w:r w:rsidR="00E06043">
        <w:rPr>
          <w:rFonts w:ascii="Arial" w:hAnsi="Arial" w:cs="Arial"/>
          <w:sz w:val="18"/>
          <w:lang w:val="el-GR" w:eastAsia="el-GR"/>
        </w:rPr>
        <w:t>απο</w:t>
      </w:r>
      <w:r w:rsidRPr="00CB38F0">
        <w:rPr>
          <w:rFonts w:ascii="Arial" w:hAnsi="Arial" w:cs="Arial"/>
          <w:sz w:val="18"/>
          <w:lang w:val="el-GR" w:eastAsia="el-GR"/>
        </w:rPr>
        <w:t xml:space="preserve">πληρωμή </w:t>
      </w:r>
      <w:r w:rsidRPr="00CB38F0">
        <w:rPr>
          <w:rFonts w:ascii="Arial" w:hAnsi="Arial" w:cs="Arial"/>
          <w:sz w:val="18"/>
          <w:szCs w:val="18"/>
          <w:lang w:val="el-GR" w:eastAsia="el-GR"/>
        </w:rPr>
        <w:t xml:space="preserve">ποσού ύψους </w:t>
      </w:r>
      <w:r w:rsidR="00C11977">
        <w:rPr>
          <w:rFonts w:ascii="Arial" w:hAnsi="Arial" w:cs="Arial"/>
          <w:sz w:val="18"/>
          <w:szCs w:val="18"/>
          <w:lang w:val="el-GR" w:eastAsia="el-GR"/>
        </w:rPr>
        <w:t xml:space="preserve">€1.7 δις από την έβδομη πράξη </w:t>
      </w:r>
      <w:r w:rsidR="00C11977" w:rsidRPr="00CB38F0">
        <w:rPr>
          <w:rFonts w:ascii="Arial" w:hAnsi="Arial" w:cs="Arial"/>
          <w:sz w:val="18"/>
          <w:szCs w:val="18"/>
          <w:lang w:val="el-GR" w:eastAsia="el-GR"/>
        </w:rPr>
        <w:t xml:space="preserve">ΣΠΠΜΑ ΙΙΙ τον </w:t>
      </w:r>
      <w:r w:rsidR="00C11977">
        <w:rPr>
          <w:rFonts w:ascii="Arial" w:hAnsi="Arial" w:cs="Arial"/>
          <w:sz w:val="18"/>
          <w:szCs w:val="18"/>
          <w:lang w:val="el-GR" w:eastAsia="el-GR"/>
        </w:rPr>
        <w:t xml:space="preserve">Μάρτιο 2024 και </w:t>
      </w:r>
      <w:r w:rsidRPr="00CB38F0">
        <w:rPr>
          <w:rFonts w:ascii="Arial" w:hAnsi="Arial" w:cs="Arial"/>
          <w:sz w:val="18"/>
          <w:szCs w:val="18"/>
          <w:lang w:val="el-GR" w:eastAsia="el-GR"/>
        </w:rPr>
        <w:t xml:space="preserve">€0.3 δις από την όγδοη πράξη ΣΠΠΜΑ ΙΙΙ τον Ιούνιο 2024, η χρηματοδότηση της Τράπεζας από </w:t>
      </w:r>
      <w:r w:rsidRPr="00CB38F0">
        <w:rPr>
          <w:rFonts w:ascii="Arial" w:hAnsi="Arial" w:cs="Arial"/>
          <w:sz w:val="18"/>
          <w:lang w:val="el-GR" w:eastAsia="el-GR"/>
        </w:rPr>
        <w:t xml:space="preserve">κεντρικές τράπεζες </w:t>
      </w:r>
      <w:r w:rsidR="00E11BFD" w:rsidRPr="00CB38F0">
        <w:rPr>
          <w:rFonts w:ascii="Arial" w:hAnsi="Arial" w:cs="Arial"/>
          <w:sz w:val="18"/>
          <w:lang w:val="el-GR" w:eastAsia="el-GR"/>
        </w:rPr>
        <w:t xml:space="preserve">ανήλθε σε μηδέν στις 30 Ιουνίου 2024, σε σύγκριση με </w:t>
      </w:r>
      <w:r w:rsidR="00E11BFD" w:rsidRPr="00CB38F0">
        <w:rPr>
          <w:rFonts w:ascii="Arial" w:hAnsi="Arial" w:cs="Arial"/>
          <w:sz w:val="18"/>
          <w:szCs w:val="18"/>
          <w:lang w:val="el-GR" w:eastAsia="el-GR"/>
        </w:rPr>
        <w:t>€310</w:t>
      </w:r>
      <w:r w:rsidR="00E11BFD" w:rsidRPr="00CB38F0">
        <w:rPr>
          <w:rFonts w:ascii="Arial" w:hAnsi="Arial" w:cs="Arial"/>
          <w:color w:val="FF0000"/>
          <w:sz w:val="18"/>
          <w:szCs w:val="18"/>
          <w:lang w:val="el-GR" w:eastAsia="el-GR"/>
        </w:rPr>
        <w:t xml:space="preserve"> </w:t>
      </w:r>
      <w:r w:rsidR="00E11BFD" w:rsidRPr="00CB38F0">
        <w:rPr>
          <w:rFonts w:ascii="Arial" w:hAnsi="Arial" w:cs="Arial"/>
          <w:sz w:val="18"/>
          <w:lang w:val="el-GR" w:eastAsia="el-GR"/>
        </w:rPr>
        <w:t>εκατ. στις 31 Μαρτίου 2024</w:t>
      </w:r>
      <w:r w:rsidR="00E11BFD" w:rsidRPr="00CB38F0">
        <w:rPr>
          <w:rFonts w:ascii="Arial" w:hAnsi="Arial" w:cs="Arial"/>
          <w:sz w:val="18"/>
          <w:szCs w:val="18"/>
          <w:lang w:val="el-GR" w:eastAsia="el-GR"/>
        </w:rPr>
        <w:t xml:space="preserve"> και </w:t>
      </w:r>
      <w:r w:rsidR="00352599" w:rsidRPr="00CB38F0">
        <w:rPr>
          <w:rFonts w:ascii="Arial" w:hAnsi="Arial" w:cs="Arial"/>
          <w:sz w:val="18"/>
          <w:lang w:val="el-GR" w:eastAsia="el-GR"/>
        </w:rPr>
        <w:t xml:space="preserve">με </w:t>
      </w:r>
      <w:r w:rsidR="00E22F8F" w:rsidRPr="00CB38F0">
        <w:rPr>
          <w:rFonts w:ascii="Arial" w:hAnsi="Arial" w:cs="Arial"/>
          <w:sz w:val="18"/>
          <w:szCs w:val="18"/>
          <w:lang w:val="el-GR" w:eastAsia="el-GR"/>
        </w:rPr>
        <w:t>€2,</w:t>
      </w:r>
      <w:r w:rsidR="00496CDD" w:rsidRPr="00CB38F0">
        <w:rPr>
          <w:rFonts w:ascii="Arial" w:hAnsi="Arial" w:cs="Arial"/>
          <w:sz w:val="18"/>
          <w:szCs w:val="18"/>
          <w:lang w:val="el-GR" w:eastAsia="el-GR"/>
        </w:rPr>
        <w:t xml:space="preserve">044 </w:t>
      </w:r>
      <w:r w:rsidR="005049DE" w:rsidRPr="00CB38F0">
        <w:rPr>
          <w:rFonts w:ascii="Arial" w:hAnsi="Arial" w:cs="Arial"/>
          <w:sz w:val="18"/>
          <w:lang w:val="el-GR" w:eastAsia="el-GR"/>
        </w:rPr>
        <w:t xml:space="preserve">εκατ. στις </w:t>
      </w:r>
      <w:r w:rsidR="00496CDD" w:rsidRPr="00CB38F0">
        <w:rPr>
          <w:rFonts w:ascii="Arial" w:hAnsi="Arial" w:cs="Arial"/>
          <w:sz w:val="18"/>
          <w:lang w:val="el-GR" w:eastAsia="el-GR"/>
        </w:rPr>
        <w:t xml:space="preserve">31 Δεκεμβρίου </w:t>
      </w:r>
      <w:r w:rsidR="00E22F8F" w:rsidRPr="00CB38F0">
        <w:rPr>
          <w:rFonts w:ascii="Arial" w:hAnsi="Arial" w:cs="Arial"/>
          <w:sz w:val="18"/>
          <w:lang w:val="el-GR" w:eastAsia="el-GR"/>
        </w:rPr>
        <w:t>202</w:t>
      </w:r>
      <w:r w:rsidR="00496CDD" w:rsidRPr="00CB38F0">
        <w:rPr>
          <w:rFonts w:ascii="Arial" w:hAnsi="Arial" w:cs="Arial"/>
          <w:sz w:val="18"/>
          <w:lang w:val="el-GR" w:eastAsia="el-GR"/>
        </w:rPr>
        <w:t xml:space="preserve">3. </w:t>
      </w:r>
      <w:bookmarkStart w:id="9" w:name="_Hlk118275265"/>
    </w:p>
    <w:bookmarkEnd w:id="9"/>
    <w:p w14:paraId="119593A2" w14:textId="77777777" w:rsidR="00135591" w:rsidRPr="002672BE" w:rsidRDefault="00135591" w:rsidP="008E7DF6">
      <w:pPr>
        <w:spacing w:after="0" w:line="240" w:lineRule="auto"/>
        <w:jc w:val="both"/>
        <w:rPr>
          <w:rFonts w:ascii="Arial" w:hAnsi="Arial" w:cs="Arial"/>
          <w:b/>
          <w:bCs/>
          <w:i/>
          <w:color w:val="FF9900"/>
          <w:sz w:val="16"/>
          <w:szCs w:val="20"/>
          <w:lang w:val="el-GR" w:eastAsia="el-GR"/>
        </w:rPr>
      </w:pPr>
    </w:p>
    <w:p w14:paraId="00936621" w14:textId="69AFF405" w:rsidR="005B1FD5" w:rsidRPr="00CB38F0" w:rsidRDefault="005B1FD5" w:rsidP="00B043BD">
      <w:pPr>
        <w:spacing w:after="0" w:line="360" w:lineRule="auto"/>
        <w:rPr>
          <w:rFonts w:ascii="Arial" w:hAnsi="Arial" w:cs="Arial"/>
          <w:b/>
          <w:bCs/>
          <w:i/>
          <w:color w:val="FF9900"/>
          <w:sz w:val="20"/>
          <w:szCs w:val="24"/>
          <w:lang w:val="el-GR" w:eastAsia="el-GR"/>
        </w:rPr>
      </w:pPr>
      <w:r w:rsidRPr="00CB38F0">
        <w:rPr>
          <w:rFonts w:ascii="Arial" w:hAnsi="Arial" w:cs="Arial"/>
          <w:b/>
          <w:bCs/>
          <w:i/>
          <w:color w:val="FF9900"/>
          <w:sz w:val="20"/>
          <w:szCs w:val="24"/>
          <w:lang w:val="el-GR" w:eastAsia="el-GR"/>
        </w:rPr>
        <w:t xml:space="preserve">Καταθέσεις </w:t>
      </w:r>
    </w:p>
    <w:p w14:paraId="716413C8" w14:textId="5EAC3532" w:rsidR="00352599" w:rsidRPr="00CB38F0" w:rsidRDefault="00352599" w:rsidP="00F70A02">
      <w:pPr>
        <w:spacing w:after="0" w:line="240" w:lineRule="auto"/>
        <w:jc w:val="both"/>
        <w:rPr>
          <w:rFonts w:ascii="Arial" w:hAnsi="Arial" w:cs="Arial"/>
          <w:sz w:val="18"/>
          <w:lang w:val="el-GR" w:eastAsia="el-GR"/>
        </w:rPr>
      </w:pPr>
      <w:r w:rsidRPr="00CB38F0">
        <w:rPr>
          <w:rFonts w:ascii="Arial" w:hAnsi="Arial" w:cs="Arial"/>
          <w:sz w:val="18"/>
          <w:lang w:val="el-GR" w:eastAsia="el-GR"/>
        </w:rPr>
        <w:t xml:space="preserve">Οι συνολικές </w:t>
      </w:r>
      <w:r w:rsidRPr="004D1327">
        <w:rPr>
          <w:rFonts w:ascii="Arial" w:hAnsi="Arial" w:cs="Arial"/>
          <w:sz w:val="18"/>
          <w:lang w:val="el-GR" w:eastAsia="el-GR"/>
        </w:rPr>
        <w:t>καταθέσεις πελατών του Συγκροτήματος ανήλθαν σε</w:t>
      </w:r>
      <w:r w:rsidR="00BD4D2F" w:rsidRPr="004D1327">
        <w:rPr>
          <w:rFonts w:ascii="Arial" w:hAnsi="Arial" w:cs="Arial"/>
          <w:sz w:val="18"/>
          <w:lang w:val="el-GR" w:eastAsia="el-GR"/>
        </w:rPr>
        <w:t xml:space="preserve"> </w:t>
      </w:r>
      <w:bookmarkStart w:id="10" w:name="_Hlk149578233"/>
      <w:r w:rsidR="00173828" w:rsidRPr="004D1327">
        <w:rPr>
          <w:rFonts w:ascii="Arial" w:hAnsi="Arial" w:cs="Arial"/>
          <w:sz w:val="18"/>
          <w:lang w:val="el-GR" w:eastAsia="el-GR"/>
        </w:rPr>
        <w:t>€</w:t>
      </w:r>
      <w:r w:rsidR="004D1327" w:rsidRPr="006A1797">
        <w:rPr>
          <w:rFonts w:ascii="Arial" w:eastAsia="Times New Roman" w:hAnsi="Arial" w:cs="Arial"/>
          <w:sz w:val="18"/>
          <w:szCs w:val="18"/>
          <w:lang w:val="el-GR" w:eastAsia="el-GR"/>
        </w:rPr>
        <w:t>19,723</w:t>
      </w:r>
      <w:r w:rsidR="004D1327" w:rsidRPr="004D1327">
        <w:rPr>
          <w:rFonts w:ascii="Arial" w:eastAsia="Times New Roman" w:hAnsi="Arial" w:cs="Arial"/>
          <w:sz w:val="18"/>
          <w:szCs w:val="18"/>
          <w:lang w:val="el-GR" w:eastAsia="el-GR"/>
        </w:rPr>
        <w:t xml:space="preserve"> </w:t>
      </w:r>
      <w:bookmarkEnd w:id="10"/>
      <w:r w:rsidR="00BD4D2F" w:rsidRPr="004D1327">
        <w:rPr>
          <w:rFonts w:ascii="Arial" w:hAnsi="Arial" w:cs="Arial"/>
          <w:sz w:val="18"/>
          <w:lang w:val="el-GR" w:eastAsia="el-GR"/>
        </w:rPr>
        <w:t xml:space="preserve">εκατ. στις </w:t>
      </w:r>
      <w:r w:rsidR="00AD5224" w:rsidRPr="004D1327">
        <w:rPr>
          <w:rFonts w:ascii="Arial" w:hAnsi="Arial" w:cs="Arial"/>
          <w:sz w:val="18"/>
          <w:lang w:val="el-GR" w:eastAsia="el-GR"/>
        </w:rPr>
        <w:t xml:space="preserve">30 Ιουνίου </w:t>
      </w:r>
      <w:r w:rsidR="00496CDD" w:rsidRPr="004D1327">
        <w:rPr>
          <w:rFonts w:ascii="Arial" w:hAnsi="Arial" w:cs="Arial"/>
          <w:sz w:val="18"/>
          <w:lang w:val="el-GR" w:eastAsia="el-GR"/>
        </w:rPr>
        <w:t>2024</w:t>
      </w:r>
      <w:r w:rsidR="00952384" w:rsidRPr="004D1327">
        <w:rPr>
          <w:rFonts w:ascii="Arial" w:hAnsi="Arial" w:cs="Arial"/>
          <w:sz w:val="18"/>
          <w:lang w:val="el-GR" w:eastAsia="el-GR"/>
        </w:rPr>
        <w:t xml:space="preserve"> </w:t>
      </w:r>
      <w:r w:rsidRPr="004D1327">
        <w:rPr>
          <w:rFonts w:ascii="Arial" w:hAnsi="Arial" w:cs="Arial"/>
          <w:sz w:val="18"/>
          <w:lang w:val="el-GR" w:eastAsia="el-GR"/>
        </w:rPr>
        <w:t>(σε σύγκριση με</w:t>
      </w:r>
      <w:r w:rsidR="00BD4D2F" w:rsidRPr="004D1327">
        <w:rPr>
          <w:rFonts w:ascii="Arial" w:hAnsi="Arial" w:cs="Arial"/>
          <w:sz w:val="18"/>
          <w:lang w:val="el-GR" w:eastAsia="el-GR"/>
        </w:rPr>
        <w:t xml:space="preserve"> </w:t>
      </w:r>
      <w:r w:rsidR="00AD5224" w:rsidRPr="004D1327">
        <w:rPr>
          <w:rFonts w:ascii="Arial" w:hAnsi="Arial" w:cs="Arial"/>
          <w:sz w:val="18"/>
          <w:lang w:val="el-GR" w:eastAsia="el-GR"/>
        </w:rPr>
        <w:t xml:space="preserve">€19,260 εκατ. στις 31 Μαρτίου 2024 και με </w:t>
      </w:r>
      <w:r w:rsidR="00496CDD" w:rsidRPr="004D1327">
        <w:rPr>
          <w:rFonts w:ascii="Arial" w:hAnsi="Arial" w:cs="Arial"/>
          <w:sz w:val="18"/>
          <w:lang w:val="el-GR" w:eastAsia="el-GR"/>
        </w:rPr>
        <w:t>19,337 εκατ. στις 31 Δεκεμβρίου 2023</w:t>
      </w:r>
      <w:r w:rsidRPr="004D1327">
        <w:rPr>
          <w:rFonts w:ascii="Arial" w:hAnsi="Arial" w:cs="Arial"/>
          <w:sz w:val="18"/>
          <w:lang w:val="el-GR" w:eastAsia="el-GR"/>
        </w:rPr>
        <w:t>)</w:t>
      </w:r>
      <w:r w:rsidR="008350CB" w:rsidRPr="004D1327">
        <w:rPr>
          <w:rFonts w:ascii="Arial" w:hAnsi="Arial" w:cs="Arial"/>
          <w:sz w:val="18"/>
          <w:lang w:val="el-GR" w:eastAsia="el-GR"/>
        </w:rPr>
        <w:t>,</w:t>
      </w:r>
      <w:r w:rsidR="00AD5224" w:rsidRPr="004D1327">
        <w:rPr>
          <w:rFonts w:ascii="Arial" w:hAnsi="Arial" w:cs="Arial"/>
          <w:sz w:val="18"/>
          <w:lang w:val="el-GR" w:eastAsia="el-GR"/>
        </w:rPr>
        <w:t xml:space="preserve"> </w:t>
      </w:r>
      <w:r w:rsidR="00496CDD" w:rsidRPr="004D1327">
        <w:rPr>
          <w:rFonts w:ascii="Arial" w:hAnsi="Arial" w:cs="Arial"/>
          <w:sz w:val="18"/>
          <w:lang w:val="el-GR" w:eastAsia="el-GR"/>
        </w:rPr>
        <w:t xml:space="preserve">αυξημένες κατά </w:t>
      </w:r>
      <w:r w:rsidR="004D1327" w:rsidRPr="006A1797">
        <w:rPr>
          <w:rFonts w:ascii="Arial" w:hAnsi="Arial" w:cs="Arial"/>
          <w:sz w:val="18"/>
          <w:lang w:val="el-GR" w:eastAsia="el-GR"/>
        </w:rPr>
        <w:t>2</w:t>
      </w:r>
      <w:r w:rsidR="00496CDD" w:rsidRPr="004D1327">
        <w:rPr>
          <w:rFonts w:ascii="Arial" w:hAnsi="Arial" w:cs="Arial"/>
          <w:sz w:val="18"/>
          <w:lang w:val="el-GR" w:eastAsia="el-GR"/>
        </w:rPr>
        <w:t xml:space="preserve">% </w:t>
      </w:r>
      <w:r w:rsidR="00AD5224" w:rsidRPr="004D1327">
        <w:rPr>
          <w:rFonts w:ascii="Arial" w:hAnsi="Arial" w:cs="Arial"/>
          <w:sz w:val="18"/>
          <w:lang w:val="el-GR" w:eastAsia="el-GR"/>
        </w:rPr>
        <w:t>σε τριμηνιαία βάση</w:t>
      </w:r>
      <w:r w:rsidR="004D1327" w:rsidRPr="004D1327">
        <w:rPr>
          <w:rFonts w:ascii="Arial" w:hAnsi="Arial" w:cs="Arial"/>
          <w:sz w:val="18"/>
          <w:lang w:val="el-GR" w:eastAsia="el-GR"/>
        </w:rPr>
        <w:t xml:space="preserve"> και από την αρχή του έτους. </w:t>
      </w:r>
      <w:r w:rsidR="00135591" w:rsidRPr="004D1327">
        <w:rPr>
          <w:rFonts w:ascii="Arial" w:hAnsi="Arial" w:cs="Arial"/>
          <w:sz w:val="18"/>
          <w:lang w:val="el-GR" w:eastAsia="el-GR"/>
        </w:rPr>
        <w:t xml:space="preserve">Κατά τις </w:t>
      </w:r>
      <w:r w:rsidR="00AD5224" w:rsidRPr="004D1327">
        <w:rPr>
          <w:rFonts w:ascii="Arial" w:hAnsi="Arial" w:cs="Arial"/>
          <w:sz w:val="18"/>
          <w:lang w:val="el-GR" w:eastAsia="el-GR"/>
        </w:rPr>
        <w:t xml:space="preserve">30 Ιουνίου </w:t>
      </w:r>
      <w:r w:rsidR="00496CDD" w:rsidRPr="004D1327">
        <w:rPr>
          <w:rFonts w:ascii="Arial" w:hAnsi="Arial" w:cs="Arial"/>
          <w:sz w:val="18"/>
          <w:lang w:val="el-GR" w:eastAsia="el-GR"/>
        </w:rPr>
        <w:t>2024</w:t>
      </w:r>
      <w:r w:rsidR="00135591" w:rsidRPr="004D1327">
        <w:rPr>
          <w:rFonts w:ascii="Arial" w:hAnsi="Arial" w:cs="Arial"/>
          <w:sz w:val="18"/>
          <w:lang w:val="el-GR" w:eastAsia="el-GR"/>
        </w:rPr>
        <w:t>, ο</w:t>
      </w:r>
      <w:r w:rsidRPr="004D1327">
        <w:rPr>
          <w:rFonts w:ascii="Arial" w:hAnsi="Arial" w:cs="Arial"/>
          <w:sz w:val="18"/>
          <w:lang w:val="el-GR" w:eastAsia="el-GR"/>
        </w:rPr>
        <w:t>ι καταθέσεις πελατών</w:t>
      </w:r>
      <w:r w:rsidR="00496CDD" w:rsidRPr="004D1327">
        <w:rPr>
          <w:rFonts w:ascii="Arial" w:hAnsi="Arial" w:cs="Arial"/>
          <w:sz w:val="18"/>
          <w:lang w:val="el-GR" w:eastAsia="el-GR"/>
        </w:rPr>
        <w:t xml:space="preserve"> είναι</w:t>
      </w:r>
      <w:r w:rsidRPr="004D1327">
        <w:rPr>
          <w:rFonts w:ascii="Arial" w:hAnsi="Arial" w:cs="Arial"/>
          <w:sz w:val="18"/>
          <w:lang w:val="el-GR" w:eastAsia="el-GR"/>
        </w:rPr>
        <w:t xml:space="preserve"> </w:t>
      </w:r>
      <w:r w:rsidR="00D80EB1" w:rsidRPr="004D1327">
        <w:rPr>
          <w:rFonts w:ascii="Arial" w:hAnsi="Arial" w:cs="Arial"/>
          <w:sz w:val="18"/>
          <w:lang w:val="el-GR" w:eastAsia="el-GR"/>
        </w:rPr>
        <w:t xml:space="preserve">ως </w:t>
      </w:r>
      <w:r w:rsidRPr="004D1327">
        <w:rPr>
          <w:rFonts w:ascii="Arial" w:hAnsi="Arial" w:cs="Arial"/>
          <w:sz w:val="18"/>
          <w:lang w:val="el-GR" w:eastAsia="el-GR"/>
        </w:rPr>
        <w:t xml:space="preserve">επί </w:t>
      </w:r>
      <w:r w:rsidR="00172962" w:rsidRPr="004D1327">
        <w:rPr>
          <w:rFonts w:ascii="Arial" w:hAnsi="Arial" w:cs="Arial"/>
          <w:sz w:val="18"/>
          <w:lang w:val="el-GR" w:eastAsia="el-GR"/>
        </w:rPr>
        <w:t xml:space="preserve">το </w:t>
      </w:r>
      <w:r w:rsidR="00D80EB1" w:rsidRPr="004D1327">
        <w:rPr>
          <w:rFonts w:ascii="Arial" w:hAnsi="Arial" w:cs="Arial"/>
          <w:sz w:val="18"/>
          <w:lang w:val="el-GR" w:eastAsia="el-GR"/>
        </w:rPr>
        <w:t xml:space="preserve">πλείστο </w:t>
      </w:r>
      <w:r w:rsidR="00172962" w:rsidRPr="004D1327">
        <w:rPr>
          <w:rFonts w:ascii="Arial" w:hAnsi="Arial" w:cs="Arial"/>
          <w:sz w:val="18"/>
          <w:lang w:val="el-GR" w:eastAsia="el-GR"/>
        </w:rPr>
        <w:t>από ιδιώτες</w:t>
      </w:r>
      <w:r w:rsidRPr="004D1327">
        <w:rPr>
          <w:rFonts w:ascii="Arial" w:hAnsi="Arial" w:cs="Arial"/>
          <w:sz w:val="18"/>
          <w:lang w:val="el-GR" w:eastAsia="el-GR"/>
        </w:rPr>
        <w:t xml:space="preserve"> και </w:t>
      </w:r>
      <w:r w:rsidR="00DD4F43">
        <w:rPr>
          <w:rFonts w:ascii="Arial" w:hAnsi="Arial" w:cs="Arial"/>
          <w:sz w:val="18"/>
          <w:lang w:val="el-GR" w:eastAsia="el-GR"/>
        </w:rPr>
        <w:t xml:space="preserve">περίπου </w:t>
      </w:r>
      <w:r w:rsidR="004D1327" w:rsidRPr="006A1797">
        <w:rPr>
          <w:rFonts w:ascii="Arial" w:hAnsi="Arial" w:cs="Arial"/>
          <w:sz w:val="18"/>
          <w:lang w:val="el-GR" w:eastAsia="el-GR"/>
        </w:rPr>
        <w:t>57</w:t>
      </w:r>
      <w:r w:rsidRPr="004D1327">
        <w:rPr>
          <w:rFonts w:ascii="Arial" w:hAnsi="Arial" w:cs="Arial"/>
          <w:sz w:val="18"/>
          <w:lang w:val="el-GR" w:eastAsia="el-GR"/>
        </w:rPr>
        <w:t xml:space="preserve">% των </w:t>
      </w:r>
      <w:r w:rsidRPr="00CB38F0">
        <w:rPr>
          <w:rFonts w:ascii="Arial" w:hAnsi="Arial" w:cs="Arial"/>
          <w:sz w:val="18"/>
          <w:lang w:val="el-GR" w:eastAsia="el-GR"/>
        </w:rPr>
        <w:t>καταθέσεων είναι προστατευμένες από το ταμείο εγγύησης καταθέσεων</w:t>
      </w:r>
      <w:r w:rsidR="00135591" w:rsidRPr="00CB38F0">
        <w:rPr>
          <w:rFonts w:ascii="Arial" w:hAnsi="Arial" w:cs="Arial"/>
          <w:sz w:val="18"/>
          <w:lang w:val="el-GR" w:eastAsia="el-GR"/>
        </w:rPr>
        <w:t xml:space="preserve">. </w:t>
      </w:r>
    </w:p>
    <w:p w14:paraId="7A456082" w14:textId="77777777" w:rsidR="00F70A02" w:rsidRPr="004D1327" w:rsidRDefault="00F70A02" w:rsidP="004953BA">
      <w:pPr>
        <w:spacing w:after="0" w:line="240" w:lineRule="auto"/>
        <w:jc w:val="both"/>
        <w:rPr>
          <w:rFonts w:ascii="Arial" w:hAnsi="Arial" w:cs="Arial"/>
          <w:sz w:val="18"/>
          <w:lang w:val="el-GR" w:eastAsia="el-GR"/>
        </w:rPr>
      </w:pPr>
    </w:p>
    <w:p w14:paraId="64251D36" w14:textId="7E27A73E" w:rsidR="00E70DFD" w:rsidRPr="00CB38F0" w:rsidRDefault="00352599" w:rsidP="00E70DFD">
      <w:pPr>
        <w:tabs>
          <w:tab w:val="center" w:pos="4153"/>
          <w:tab w:val="right" w:pos="8306"/>
        </w:tabs>
        <w:spacing w:after="0" w:line="240" w:lineRule="auto"/>
        <w:jc w:val="both"/>
        <w:rPr>
          <w:rFonts w:ascii="Arial" w:hAnsi="Arial" w:cs="Arial"/>
          <w:sz w:val="18"/>
          <w:szCs w:val="18"/>
          <w:lang w:val="el-GR" w:eastAsia="el-GR"/>
        </w:rPr>
      </w:pPr>
      <w:r w:rsidRPr="004D1327">
        <w:rPr>
          <w:rFonts w:ascii="Arial" w:hAnsi="Arial" w:cs="Arial"/>
          <w:sz w:val="18"/>
          <w:szCs w:val="18"/>
          <w:lang w:val="el-GR" w:eastAsia="el-GR"/>
        </w:rPr>
        <w:t>Το μερίδιο αγοράς της Τράπεζας στις καταθέσεις στην Κύπρο ανήλθε σε</w:t>
      </w:r>
      <w:r w:rsidR="00184DE4" w:rsidRPr="004D1327">
        <w:rPr>
          <w:rFonts w:ascii="Arial" w:hAnsi="Arial" w:cs="Arial"/>
          <w:sz w:val="18"/>
          <w:szCs w:val="18"/>
          <w:lang w:val="el-GR" w:eastAsia="el-GR"/>
        </w:rPr>
        <w:t xml:space="preserve"> </w:t>
      </w:r>
      <w:r w:rsidR="004D1327" w:rsidRPr="006A1797">
        <w:rPr>
          <w:rFonts w:ascii="Arial" w:hAnsi="Arial" w:cs="Arial"/>
          <w:sz w:val="18"/>
          <w:szCs w:val="18"/>
          <w:lang w:val="el-GR"/>
        </w:rPr>
        <w:t>37.</w:t>
      </w:r>
      <w:r w:rsidR="00D313B7">
        <w:rPr>
          <w:rFonts w:ascii="Arial" w:hAnsi="Arial" w:cs="Arial"/>
          <w:sz w:val="18"/>
          <w:szCs w:val="18"/>
          <w:lang w:val="el-GR"/>
        </w:rPr>
        <w:t>5</w:t>
      </w:r>
      <w:r w:rsidR="005508D1" w:rsidRPr="004D1327">
        <w:rPr>
          <w:rFonts w:ascii="Arial" w:hAnsi="Arial" w:cs="Arial"/>
          <w:sz w:val="18"/>
          <w:szCs w:val="18"/>
          <w:lang w:val="el-GR" w:eastAsia="el-GR"/>
        </w:rPr>
        <w:t xml:space="preserve">% στις </w:t>
      </w:r>
      <w:r w:rsidR="00D313B7">
        <w:rPr>
          <w:rFonts w:ascii="Arial" w:hAnsi="Arial" w:cs="Arial"/>
          <w:sz w:val="18"/>
          <w:szCs w:val="18"/>
          <w:lang w:val="el-GR" w:eastAsia="el-GR"/>
        </w:rPr>
        <w:t>30</w:t>
      </w:r>
      <w:r w:rsidR="00D313B7" w:rsidRPr="004D1327">
        <w:rPr>
          <w:rFonts w:ascii="Arial" w:hAnsi="Arial" w:cs="Arial"/>
          <w:sz w:val="18"/>
          <w:szCs w:val="18"/>
          <w:lang w:val="el-GR" w:eastAsia="el-GR"/>
        </w:rPr>
        <w:t xml:space="preserve"> </w:t>
      </w:r>
      <w:r w:rsidR="00D313B7">
        <w:rPr>
          <w:rFonts w:ascii="Arial" w:hAnsi="Arial" w:cs="Arial"/>
          <w:sz w:val="18"/>
          <w:szCs w:val="18"/>
          <w:lang w:val="el-GR" w:eastAsia="el-GR"/>
        </w:rPr>
        <w:t>Ιουνίου</w:t>
      </w:r>
      <w:r w:rsidR="00D313B7" w:rsidRPr="004D1327">
        <w:rPr>
          <w:rFonts w:ascii="Arial" w:hAnsi="Arial" w:cs="Arial"/>
          <w:sz w:val="18"/>
          <w:szCs w:val="18"/>
          <w:lang w:val="el-GR" w:eastAsia="el-GR"/>
        </w:rPr>
        <w:t xml:space="preserve"> </w:t>
      </w:r>
      <w:r w:rsidR="005508D1" w:rsidRPr="004D1327">
        <w:rPr>
          <w:rFonts w:ascii="Arial" w:hAnsi="Arial" w:cs="Arial"/>
          <w:sz w:val="18"/>
          <w:szCs w:val="18"/>
          <w:lang w:val="el-GR" w:eastAsia="el-GR"/>
        </w:rPr>
        <w:t xml:space="preserve">2024, σε σύγκριση με </w:t>
      </w:r>
      <w:r w:rsidR="00AD5224" w:rsidRPr="004D1327">
        <w:rPr>
          <w:rFonts w:ascii="Arial" w:hAnsi="Arial" w:cs="Arial"/>
          <w:sz w:val="18"/>
          <w:szCs w:val="18"/>
          <w:lang w:val="el-GR" w:eastAsia="el-GR"/>
        </w:rPr>
        <w:t xml:space="preserve">37.5% στις 31 Μαρτίου 2024 και με </w:t>
      </w:r>
      <w:r w:rsidR="003E40E7" w:rsidRPr="004D1327">
        <w:rPr>
          <w:rFonts w:ascii="Arial" w:hAnsi="Arial" w:cs="Arial"/>
          <w:sz w:val="18"/>
          <w:szCs w:val="18"/>
          <w:lang w:val="el-GR" w:eastAsia="el-GR"/>
        </w:rPr>
        <w:t>3</w:t>
      </w:r>
      <w:r w:rsidR="00D80EB1" w:rsidRPr="004D1327">
        <w:rPr>
          <w:rFonts w:ascii="Arial" w:hAnsi="Arial" w:cs="Arial"/>
          <w:sz w:val="18"/>
          <w:szCs w:val="18"/>
          <w:lang w:val="el-GR" w:eastAsia="el-GR"/>
        </w:rPr>
        <w:t>7.</w:t>
      </w:r>
      <w:r w:rsidR="003E40E7" w:rsidRPr="004D1327">
        <w:rPr>
          <w:rFonts w:ascii="Arial" w:hAnsi="Arial" w:cs="Arial"/>
          <w:sz w:val="18"/>
          <w:szCs w:val="18"/>
          <w:lang w:val="el-GR" w:eastAsia="el-GR"/>
        </w:rPr>
        <w:t>7</w:t>
      </w:r>
      <w:r w:rsidRPr="004D1327">
        <w:rPr>
          <w:rFonts w:ascii="Arial" w:hAnsi="Arial" w:cs="Arial"/>
          <w:sz w:val="18"/>
          <w:szCs w:val="18"/>
          <w:lang w:val="el-GR" w:eastAsia="el-GR"/>
        </w:rPr>
        <w:t xml:space="preserve">% στις </w:t>
      </w:r>
      <w:r w:rsidR="00952384" w:rsidRPr="004D1327">
        <w:rPr>
          <w:rFonts w:ascii="Arial" w:hAnsi="Arial" w:cs="Arial"/>
          <w:sz w:val="18"/>
          <w:szCs w:val="18"/>
          <w:lang w:val="el-GR" w:eastAsia="el-GR"/>
        </w:rPr>
        <w:t xml:space="preserve">31 </w:t>
      </w:r>
      <w:r w:rsidR="00952384" w:rsidRPr="004D1327">
        <w:rPr>
          <w:rFonts w:ascii="Arial" w:hAnsi="Arial" w:cs="Arial"/>
          <w:sz w:val="18"/>
          <w:lang w:val="el-GR" w:eastAsia="el-GR"/>
        </w:rPr>
        <w:t xml:space="preserve">Δεκεμβρίου </w:t>
      </w:r>
      <w:r w:rsidRPr="004D1327">
        <w:rPr>
          <w:rFonts w:ascii="Arial" w:hAnsi="Arial" w:cs="Arial"/>
          <w:sz w:val="18"/>
          <w:szCs w:val="18"/>
          <w:lang w:val="el-GR" w:eastAsia="el-GR"/>
        </w:rPr>
        <w:t>2023</w:t>
      </w:r>
      <w:r w:rsidR="005508D1" w:rsidRPr="004D1327">
        <w:rPr>
          <w:rFonts w:ascii="Arial" w:hAnsi="Arial" w:cs="Arial"/>
          <w:sz w:val="18"/>
          <w:szCs w:val="18"/>
          <w:lang w:val="el-GR" w:eastAsia="el-GR"/>
        </w:rPr>
        <w:t>.</w:t>
      </w:r>
      <w:r w:rsidR="004D1327">
        <w:rPr>
          <w:rFonts w:ascii="Arial" w:hAnsi="Arial" w:cs="Arial"/>
          <w:sz w:val="18"/>
          <w:szCs w:val="18"/>
          <w:lang w:val="el-GR" w:eastAsia="el-GR"/>
        </w:rPr>
        <w:t xml:space="preserve"> </w:t>
      </w:r>
      <w:r w:rsidRPr="00CB38F0">
        <w:rPr>
          <w:rFonts w:ascii="Arial" w:hAnsi="Arial" w:cs="Arial"/>
          <w:sz w:val="18"/>
          <w:szCs w:val="18"/>
          <w:lang w:val="el-GR" w:eastAsia="el-GR"/>
        </w:rPr>
        <w:t xml:space="preserve">Οι καταθέσεις πελατών αποτελούσαν το </w:t>
      </w:r>
      <w:r w:rsidR="004D1327" w:rsidRPr="006A1797">
        <w:rPr>
          <w:rFonts w:ascii="Arial" w:hAnsi="Arial" w:cs="Arial"/>
          <w:sz w:val="18"/>
          <w:szCs w:val="18"/>
          <w:lang w:val="el-GR" w:eastAsia="el-GR"/>
        </w:rPr>
        <w:t>77</w:t>
      </w:r>
      <w:r w:rsidRPr="00CB38F0">
        <w:rPr>
          <w:rFonts w:ascii="Arial" w:hAnsi="Arial" w:cs="Arial"/>
          <w:sz w:val="18"/>
          <w:szCs w:val="18"/>
          <w:lang w:val="el-GR" w:eastAsia="el-GR"/>
        </w:rPr>
        <w:t xml:space="preserve">% του </w:t>
      </w:r>
      <w:r w:rsidR="00E70DFD" w:rsidRPr="00CB38F0">
        <w:rPr>
          <w:rFonts w:ascii="Arial" w:hAnsi="Arial" w:cs="Arial"/>
          <w:sz w:val="18"/>
          <w:szCs w:val="18"/>
          <w:lang w:val="el-GR" w:eastAsia="el-GR"/>
        </w:rPr>
        <w:t xml:space="preserve">συνόλου των περιουσιακών στοιχείων και το </w:t>
      </w:r>
      <w:r w:rsidR="004D1327" w:rsidRPr="006A1797">
        <w:rPr>
          <w:rFonts w:ascii="Arial" w:hAnsi="Arial" w:cs="Arial"/>
          <w:sz w:val="18"/>
          <w:szCs w:val="18"/>
          <w:lang w:val="el-GR" w:eastAsia="el-GR"/>
        </w:rPr>
        <w:t>86</w:t>
      </w:r>
      <w:r w:rsidR="00E70DFD" w:rsidRPr="00CB38F0">
        <w:rPr>
          <w:rFonts w:ascii="Arial" w:hAnsi="Arial" w:cs="Arial"/>
          <w:sz w:val="18"/>
          <w:szCs w:val="18"/>
          <w:lang w:val="el-GR" w:eastAsia="el-GR"/>
        </w:rPr>
        <w:t xml:space="preserve">% του συνόλου των υποχρεώσεων στις </w:t>
      </w:r>
      <w:r w:rsidR="00AD5224" w:rsidRPr="00CB38F0">
        <w:rPr>
          <w:rFonts w:ascii="Arial" w:hAnsi="Arial" w:cs="Arial"/>
          <w:sz w:val="18"/>
          <w:szCs w:val="18"/>
          <w:lang w:val="el-GR" w:eastAsia="el-GR"/>
        </w:rPr>
        <w:t xml:space="preserve">30 Ιουνίου </w:t>
      </w:r>
      <w:r w:rsidR="005508D1" w:rsidRPr="00CB38F0">
        <w:rPr>
          <w:rFonts w:ascii="Arial" w:hAnsi="Arial" w:cs="Arial"/>
          <w:sz w:val="18"/>
          <w:szCs w:val="18"/>
          <w:lang w:val="el-GR" w:eastAsia="el-GR"/>
        </w:rPr>
        <w:t xml:space="preserve">2024 </w:t>
      </w:r>
      <w:r w:rsidR="00E70DFD" w:rsidRPr="00CB38F0">
        <w:rPr>
          <w:rFonts w:ascii="Arial" w:hAnsi="Arial" w:cs="Arial"/>
          <w:sz w:val="18"/>
          <w:szCs w:val="18"/>
          <w:lang w:val="el-GR" w:eastAsia="el-GR"/>
        </w:rPr>
        <w:t>(</w:t>
      </w:r>
      <w:r w:rsidR="00E422B4" w:rsidRPr="00CB38F0">
        <w:rPr>
          <w:rFonts w:ascii="Arial" w:hAnsi="Arial" w:cs="Arial"/>
          <w:sz w:val="18"/>
          <w:szCs w:val="18"/>
          <w:lang w:val="el-GR" w:eastAsia="el-GR"/>
        </w:rPr>
        <w:t>σε σύγκριση με 7</w:t>
      </w:r>
      <w:r w:rsidR="005508D1" w:rsidRPr="00CB38F0">
        <w:rPr>
          <w:rFonts w:ascii="Arial" w:hAnsi="Arial" w:cs="Arial"/>
          <w:sz w:val="18"/>
          <w:szCs w:val="18"/>
          <w:lang w:val="el-GR" w:eastAsia="el-GR"/>
        </w:rPr>
        <w:t>3</w:t>
      </w:r>
      <w:r w:rsidR="00E422B4" w:rsidRPr="00CB38F0">
        <w:rPr>
          <w:rFonts w:ascii="Arial" w:hAnsi="Arial" w:cs="Arial"/>
          <w:sz w:val="18"/>
          <w:szCs w:val="18"/>
          <w:lang w:val="el-GR" w:eastAsia="el-GR"/>
        </w:rPr>
        <w:t xml:space="preserve">% του συνόλου των περιουσιακών στοιχείων και </w:t>
      </w:r>
      <w:r w:rsidR="005508D1" w:rsidRPr="00CB38F0">
        <w:rPr>
          <w:rFonts w:ascii="Arial" w:hAnsi="Arial" w:cs="Arial"/>
          <w:sz w:val="18"/>
          <w:szCs w:val="18"/>
          <w:lang w:val="el-GR" w:eastAsia="el-GR"/>
        </w:rPr>
        <w:t>80</w:t>
      </w:r>
      <w:r w:rsidR="00E422B4" w:rsidRPr="00CB38F0">
        <w:rPr>
          <w:rFonts w:ascii="Arial" w:hAnsi="Arial" w:cs="Arial"/>
          <w:sz w:val="18"/>
          <w:szCs w:val="18"/>
          <w:lang w:val="el-GR" w:eastAsia="el-GR"/>
        </w:rPr>
        <w:t xml:space="preserve">% του συνόλου των υποχρεώσεων στις </w:t>
      </w:r>
      <w:r w:rsidR="00E70DFD" w:rsidRPr="00CB38F0">
        <w:rPr>
          <w:rFonts w:ascii="Arial" w:hAnsi="Arial" w:cs="Arial"/>
          <w:sz w:val="18"/>
          <w:szCs w:val="18"/>
          <w:lang w:val="el-GR" w:eastAsia="el-GR"/>
        </w:rPr>
        <w:t xml:space="preserve">31 Δεκεμβρίου </w:t>
      </w:r>
      <w:r w:rsidR="005508D1" w:rsidRPr="00CB38F0">
        <w:rPr>
          <w:rFonts w:ascii="Arial" w:hAnsi="Arial" w:cs="Arial"/>
          <w:sz w:val="18"/>
          <w:szCs w:val="18"/>
          <w:lang w:val="el-GR" w:eastAsia="el-GR"/>
        </w:rPr>
        <w:t>2023</w:t>
      </w:r>
      <w:r w:rsidR="00E70DFD" w:rsidRPr="00CB38F0">
        <w:rPr>
          <w:rFonts w:ascii="Arial" w:hAnsi="Arial" w:cs="Arial"/>
          <w:sz w:val="18"/>
          <w:szCs w:val="18"/>
          <w:lang w:val="el-GR" w:eastAsia="el-GR"/>
        </w:rPr>
        <w:t>).</w:t>
      </w:r>
      <w:r w:rsidR="003841C0" w:rsidRPr="00CB38F0">
        <w:rPr>
          <w:rFonts w:ascii="Arial" w:hAnsi="Arial" w:cs="Arial"/>
          <w:sz w:val="18"/>
          <w:szCs w:val="18"/>
          <w:lang w:val="el-GR" w:eastAsia="el-GR"/>
        </w:rPr>
        <w:t xml:space="preserve"> Η</w:t>
      </w:r>
      <w:r w:rsidR="004D1327">
        <w:rPr>
          <w:rFonts w:ascii="Arial" w:hAnsi="Arial" w:cs="Arial"/>
          <w:sz w:val="18"/>
          <w:szCs w:val="18"/>
          <w:lang w:val="el-GR" w:eastAsia="el-GR"/>
        </w:rPr>
        <w:t xml:space="preserve"> </w:t>
      </w:r>
      <w:r w:rsidR="003841C0" w:rsidRPr="00CB38F0">
        <w:rPr>
          <w:rFonts w:ascii="Arial" w:hAnsi="Arial" w:cs="Arial"/>
          <w:sz w:val="18"/>
          <w:szCs w:val="18"/>
          <w:lang w:val="el-GR" w:eastAsia="el-GR"/>
        </w:rPr>
        <w:t xml:space="preserve">αύξηση </w:t>
      </w:r>
      <w:r w:rsidR="004D1327">
        <w:rPr>
          <w:rFonts w:ascii="Arial" w:hAnsi="Arial" w:cs="Arial"/>
          <w:sz w:val="18"/>
          <w:szCs w:val="18"/>
          <w:lang w:val="el-GR" w:eastAsia="el-GR"/>
        </w:rPr>
        <w:t xml:space="preserve">από την αρχή του έτους </w:t>
      </w:r>
      <w:r w:rsidR="003841C0" w:rsidRPr="00CB38F0">
        <w:rPr>
          <w:rFonts w:ascii="Arial" w:hAnsi="Arial" w:cs="Arial"/>
          <w:sz w:val="18"/>
          <w:szCs w:val="18"/>
          <w:lang w:val="el-GR" w:eastAsia="el-GR"/>
        </w:rPr>
        <w:t>οφείλεται στην αποπληρωμή δανεισμού ΣΠΠΜΑ ύψους €</w:t>
      </w:r>
      <w:r w:rsidR="00AD5224" w:rsidRPr="00CB38F0">
        <w:rPr>
          <w:rFonts w:ascii="Arial" w:hAnsi="Arial" w:cs="Arial"/>
          <w:sz w:val="18"/>
          <w:szCs w:val="18"/>
          <w:lang w:val="el-GR" w:eastAsia="el-GR"/>
        </w:rPr>
        <w:t>2</w:t>
      </w:r>
      <w:r w:rsidR="003841C0" w:rsidRPr="00CB38F0">
        <w:rPr>
          <w:rFonts w:ascii="Arial" w:hAnsi="Arial" w:cs="Arial"/>
          <w:sz w:val="18"/>
          <w:szCs w:val="18"/>
          <w:lang w:val="el-GR" w:eastAsia="el-GR"/>
        </w:rPr>
        <w:t>.</w:t>
      </w:r>
      <w:r w:rsidR="004D1327">
        <w:rPr>
          <w:rFonts w:ascii="Arial" w:hAnsi="Arial" w:cs="Arial"/>
          <w:sz w:val="18"/>
          <w:szCs w:val="18"/>
          <w:lang w:val="el-GR" w:eastAsia="el-GR"/>
        </w:rPr>
        <w:t>0</w:t>
      </w:r>
      <w:r w:rsidR="004D1327" w:rsidRPr="00CB38F0">
        <w:rPr>
          <w:rFonts w:ascii="Arial" w:hAnsi="Arial" w:cs="Arial"/>
          <w:sz w:val="18"/>
          <w:szCs w:val="18"/>
          <w:lang w:val="el-GR" w:eastAsia="el-GR"/>
        </w:rPr>
        <w:t xml:space="preserve"> </w:t>
      </w:r>
      <w:r w:rsidR="003841C0" w:rsidRPr="00CB38F0">
        <w:rPr>
          <w:rFonts w:ascii="Arial" w:hAnsi="Arial" w:cs="Arial"/>
          <w:sz w:val="18"/>
          <w:szCs w:val="18"/>
          <w:lang w:val="el-GR" w:eastAsia="el-GR"/>
        </w:rPr>
        <w:t>δις</w:t>
      </w:r>
      <w:r w:rsidR="004D1327">
        <w:rPr>
          <w:rFonts w:ascii="Arial" w:hAnsi="Arial" w:cs="Arial"/>
          <w:sz w:val="18"/>
          <w:szCs w:val="18"/>
          <w:lang w:val="el-GR" w:eastAsia="el-GR"/>
        </w:rPr>
        <w:t xml:space="preserve"> καθώς και στην αύξηση των καταθέσεων κατά 2%.</w:t>
      </w:r>
    </w:p>
    <w:p w14:paraId="614E086F" w14:textId="77777777" w:rsidR="001D4750" w:rsidRPr="00CB38F0" w:rsidRDefault="001D4750" w:rsidP="00F70A02">
      <w:pPr>
        <w:tabs>
          <w:tab w:val="center" w:pos="4153"/>
          <w:tab w:val="right" w:pos="8306"/>
        </w:tabs>
        <w:spacing w:after="0" w:line="240" w:lineRule="auto"/>
        <w:jc w:val="both"/>
        <w:rPr>
          <w:rFonts w:ascii="Arial" w:hAnsi="Arial" w:cs="Arial"/>
          <w:sz w:val="18"/>
          <w:szCs w:val="18"/>
          <w:lang w:val="el-GR" w:eastAsia="el-GR"/>
        </w:rPr>
      </w:pPr>
    </w:p>
    <w:p w14:paraId="4CCF7165" w14:textId="2D0119E0" w:rsidR="001D4750" w:rsidRPr="00CB38F0" w:rsidRDefault="00352599" w:rsidP="00F70A02">
      <w:pPr>
        <w:tabs>
          <w:tab w:val="center" w:pos="4153"/>
          <w:tab w:val="right" w:pos="8306"/>
        </w:tabs>
        <w:spacing w:after="0" w:line="240" w:lineRule="auto"/>
        <w:jc w:val="both"/>
        <w:rPr>
          <w:rFonts w:ascii="Arial" w:hAnsi="Arial" w:cs="Arial"/>
          <w:sz w:val="18"/>
          <w:szCs w:val="18"/>
          <w:lang w:val="el-GR" w:eastAsia="el-GR"/>
        </w:rPr>
      </w:pPr>
      <w:r w:rsidRPr="00CB38F0">
        <w:rPr>
          <w:rFonts w:ascii="Arial" w:hAnsi="Arial" w:cs="Arial"/>
          <w:sz w:val="18"/>
          <w:szCs w:val="18"/>
          <w:lang w:val="el-GR" w:eastAsia="el-GR"/>
        </w:rPr>
        <w:t xml:space="preserve">Ο δείκτης δανείων (μετά τις προβλέψεις) προς καταθέσεις (Δ/Κ) ανήλθε σε </w:t>
      </w:r>
      <w:r w:rsidR="004D1327" w:rsidRPr="006A1797">
        <w:rPr>
          <w:rFonts w:ascii="Arial" w:hAnsi="Arial" w:cs="Arial"/>
          <w:sz w:val="18"/>
          <w:szCs w:val="18"/>
          <w:lang w:val="el-GR"/>
        </w:rPr>
        <w:t>51</w:t>
      </w:r>
      <w:r w:rsidRPr="00CB38F0">
        <w:rPr>
          <w:rFonts w:ascii="Arial" w:hAnsi="Arial" w:cs="Arial"/>
          <w:sz w:val="18"/>
          <w:szCs w:val="18"/>
          <w:lang w:val="el-GR" w:eastAsia="el-GR"/>
        </w:rPr>
        <w:t xml:space="preserve">% στις </w:t>
      </w:r>
      <w:r w:rsidR="00AD5224" w:rsidRPr="00CB38F0">
        <w:rPr>
          <w:rFonts w:ascii="Arial" w:hAnsi="Arial" w:cs="Arial"/>
          <w:sz w:val="18"/>
          <w:szCs w:val="18"/>
          <w:lang w:val="el-GR" w:eastAsia="el-GR"/>
        </w:rPr>
        <w:t xml:space="preserve">30 </w:t>
      </w:r>
      <w:r w:rsidR="00AD5224" w:rsidRPr="00CB38F0">
        <w:rPr>
          <w:rFonts w:ascii="Arial" w:hAnsi="Arial" w:cs="Arial"/>
          <w:sz w:val="18"/>
          <w:lang w:val="el-GR" w:eastAsia="el-GR"/>
        </w:rPr>
        <w:t xml:space="preserve">Ιουνίου </w:t>
      </w:r>
      <w:r w:rsidR="005508D1" w:rsidRPr="00CB38F0">
        <w:rPr>
          <w:rFonts w:ascii="Arial" w:hAnsi="Arial" w:cs="Arial"/>
          <w:sz w:val="18"/>
          <w:szCs w:val="18"/>
          <w:lang w:val="el-GR" w:eastAsia="el-GR"/>
        </w:rPr>
        <w:t xml:space="preserve">2024 </w:t>
      </w:r>
      <w:r w:rsidRPr="00CB38F0">
        <w:rPr>
          <w:rFonts w:ascii="Arial" w:hAnsi="Arial" w:cs="Arial"/>
          <w:sz w:val="18"/>
          <w:szCs w:val="18"/>
          <w:lang w:val="el-GR" w:eastAsia="el-GR"/>
        </w:rPr>
        <w:t>(σε σύγκριση με</w:t>
      </w:r>
      <w:r w:rsidR="00AD5224" w:rsidRPr="00CB38F0">
        <w:rPr>
          <w:rFonts w:ascii="Arial" w:hAnsi="Arial" w:cs="Arial"/>
          <w:sz w:val="18"/>
          <w:szCs w:val="18"/>
          <w:lang w:val="el-GR" w:eastAsia="el-GR"/>
        </w:rPr>
        <w:t xml:space="preserve"> </w:t>
      </w:r>
      <w:r w:rsidR="00AD5224" w:rsidRPr="00CB38F0">
        <w:rPr>
          <w:rFonts w:ascii="Arial" w:hAnsi="Arial" w:cs="Arial"/>
          <w:sz w:val="18"/>
          <w:szCs w:val="18"/>
          <w:lang w:val="el-GR"/>
        </w:rPr>
        <w:t>52</w:t>
      </w:r>
      <w:r w:rsidR="00AD5224" w:rsidRPr="00CB38F0">
        <w:rPr>
          <w:rFonts w:ascii="Arial" w:hAnsi="Arial" w:cs="Arial"/>
          <w:sz w:val="18"/>
          <w:szCs w:val="18"/>
          <w:lang w:val="el-GR" w:eastAsia="el-GR"/>
        </w:rPr>
        <w:t xml:space="preserve">% στις 31 </w:t>
      </w:r>
      <w:r w:rsidR="00AD5224" w:rsidRPr="00CB38F0">
        <w:rPr>
          <w:rFonts w:ascii="Arial" w:hAnsi="Arial" w:cs="Arial"/>
          <w:sz w:val="18"/>
          <w:lang w:val="el-GR" w:eastAsia="el-GR"/>
        </w:rPr>
        <w:t xml:space="preserve">Μαρτίου </w:t>
      </w:r>
      <w:r w:rsidR="00AD5224" w:rsidRPr="00CB38F0">
        <w:rPr>
          <w:rFonts w:ascii="Arial" w:hAnsi="Arial" w:cs="Arial"/>
          <w:sz w:val="18"/>
          <w:szCs w:val="18"/>
          <w:lang w:val="el-GR" w:eastAsia="el-GR"/>
        </w:rPr>
        <w:t xml:space="preserve">2024 και με </w:t>
      </w:r>
      <w:r w:rsidR="009A3414" w:rsidRPr="00CB38F0">
        <w:rPr>
          <w:rFonts w:ascii="Arial" w:hAnsi="Arial" w:cs="Arial"/>
          <w:sz w:val="18"/>
          <w:szCs w:val="18"/>
          <w:lang w:val="el-GR"/>
        </w:rPr>
        <w:t>51</w:t>
      </w:r>
      <w:r w:rsidR="009A3414" w:rsidRPr="00CB38F0">
        <w:rPr>
          <w:rFonts w:ascii="Arial" w:hAnsi="Arial" w:cs="Arial"/>
          <w:sz w:val="18"/>
          <w:szCs w:val="18"/>
          <w:lang w:val="el-GR" w:eastAsia="el-GR"/>
        </w:rPr>
        <w:t xml:space="preserve">% στις </w:t>
      </w:r>
      <w:r w:rsidR="005508D1" w:rsidRPr="00CB38F0">
        <w:rPr>
          <w:rFonts w:ascii="Arial" w:hAnsi="Arial" w:cs="Arial"/>
          <w:sz w:val="18"/>
          <w:szCs w:val="18"/>
          <w:lang w:val="el-GR" w:eastAsia="el-GR"/>
        </w:rPr>
        <w:t xml:space="preserve">31 Δεκεμβρίου </w:t>
      </w:r>
      <w:r w:rsidR="009A3414" w:rsidRPr="00CB38F0">
        <w:rPr>
          <w:rFonts w:ascii="Arial" w:hAnsi="Arial" w:cs="Arial"/>
          <w:sz w:val="18"/>
          <w:szCs w:val="18"/>
          <w:lang w:val="el-GR" w:eastAsia="el-GR"/>
        </w:rPr>
        <w:t>2023</w:t>
      </w:r>
      <w:r w:rsidR="005508D1" w:rsidRPr="00CB38F0">
        <w:rPr>
          <w:rFonts w:ascii="Arial" w:hAnsi="Arial" w:cs="Arial"/>
          <w:sz w:val="18"/>
          <w:szCs w:val="18"/>
          <w:lang w:val="el-GR" w:eastAsia="el-GR"/>
        </w:rPr>
        <w:t xml:space="preserve"> στην ίδια βάση</w:t>
      </w:r>
      <w:r w:rsidRPr="00CB38F0">
        <w:rPr>
          <w:rFonts w:ascii="Arial" w:hAnsi="Arial" w:cs="Arial"/>
          <w:sz w:val="18"/>
          <w:szCs w:val="18"/>
          <w:lang w:val="el-GR" w:eastAsia="el-GR"/>
        </w:rPr>
        <w:t>),</w:t>
      </w:r>
      <w:r w:rsidR="00695779" w:rsidRPr="00CB38F0">
        <w:rPr>
          <w:rFonts w:ascii="Arial" w:hAnsi="Arial" w:cs="Arial"/>
          <w:sz w:val="18"/>
          <w:szCs w:val="18"/>
          <w:lang w:val="el-GR" w:eastAsia="el-GR"/>
        </w:rPr>
        <w:t xml:space="preserve"> </w:t>
      </w:r>
      <w:r w:rsidR="004D1327">
        <w:rPr>
          <w:rFonts w:ascii="Arial" w:hAnsi="Arial" w:cs="Arial"/>
          <w:sz w:val="18"/>
          <w:szCs w:val="18"/>
          <w:lang w:val="el-GR" w:eastAsia="el-GR"/>
        </w:rPr>
        <w:t>περίπου στα ίδια επίπεδα από την αρχή του έτους</w:t>
      </w:r>
      <w:r w:rsidR="005508D1" w:rsidRPr="00CB38F0">
        <w:rPr>
          <w:rFonts w:ascii="Arial" w:hAnsi="Arial" w:cs="Arial"/>
          <w:sz w:val="18"/>
          <w:szCs w:val="18"/>
          <w:lang w:val="el-GR" w:eastAsia="el-GR"/>
        </w:rPr>
        <w:t xml:space="preserve">. </w:t>
      </w:r>
    </w:p>
    <w:p w14:paraId="0CB6D993" w14:textId="77777777" w:rsidR="009A3414" w:rsidRPr="002672BE" w:rsidRDefault="009A3414" w:rsidP="00B043BD">
      <w:pPr>
        <w:tabs>
          <w:tab w:val="center" w:pos="4153"/>
          <w:tab w:val="right" w:pos="8306"/>
        </w:tabs>
        <w:spacing w:after="0" w:line="240" w:lineRule="auto"/>
        <w:jc w:val="both"/>
        <w:rPr>
          <w:sz w:val="16"/>
          <w:szCs w:val="16"/>
          <w:highlight w:val="yellow"/>
          <w:lang w:val="el-GR" w:eastAsia="el-GR"/>
        </w:rPr>
      </w:pPr>
    </w:p>
    <w:p w14:paraId="7C7AD026" w14:textId="6AA6667E" w:rsidR="00352599" w:rsidRPr="00CB38F0" w:rsidRDefault="00352599" w:rsidP="004953BA">
      <w:pPr>
        <w:pStyle w:val="Footer"/>
        <w:tabs>
          <w:tab w:val="clear" w:pos="4153"/>
          <w:tab w:val="clear" w:pos="8306"/>
        </w:tabs>
        <w:spacing w:line="360" w:lineRule="auto"/>
        <w:jc w:val="both"/>
        <w:rPr>
          <w:rFonts w:ascii="Arial" w:hAnsi="Arial" w:cs="Arial"/>
          <w:b/>
          <w:bCs/>
          <w:i/>
          <w:color w:val="FF9900"/>
          <w:sz w:val="20"/>
          <w:szCs w:val="24"/>
          <w:lang w:val="el-GR"/>
        </w:rPr>
      </w:pPr>
      <w:r w:rsidRPr="00CB38F0">
        <w:rPr>
          <w:rFonts w:ascii="Arial" w:hAnsi="Arial" w:cs="Arial"/>
          <w:b/>
          <w:bCs/>
          <w:i/>
          <w:color w:val="FF9900"/>
          <w:sz w:val="20"/>
          <w:szCs w:val="24"/>
          <w:lang w:val="el-GR" w:eastAsia="el-GR"/>
        </w:rPr>
        <w:t>Υποχρεώσεις Μειωμένης Εξασφάλισης</w:t>
      </w:r>
    </w:p>
    <w:p w14:paraId="50C52717" w14:textId="1E4A665E" w:rsidR="00352599" w:rsidRPr="00CB38F0" w:rsidRDefault="00352599" w:rsidP="00F70A02">
      <w:pPr>
        <w:spacing w:after="0" w:line="240" w:lineRule="auto"/>
        <w:jc w:val="both"/>
        <w:rPr>
          <w:rFonts w:ascii="Arial" w:hAnsi="Arial" w:cs="Arial"/>
          <w:sz w:val="18"/>
          <w:szCs w:val="18"/>
          <w:lang w:val="el-GR" w:eastAsia="el-GR"/>
        </w:rPr>
      </w:pPr>
      <w:r w:rsidRPr="00CB38F0">
        <w:rPr>
          <w:rFonts w:ascii="Arial" w:hAnsi="Arial" w:cs="Arial"/>
          <w:sz w:val="18"/>
          <w:szCs w:val="18"/>
          <w:lang w:val="el-GR" w:eastAsia="el-GR"/>
        </w:rPr>
        <w:t xml:space="preserve">Στις </w:t>
      </w:r>
      <w:r w:rsidR="00DE567E" w:rsidRPr="00CB38F0">
        <w:rPr>
          <w:rFonts w:ascii="Arial" w:hAnsi="Arial" w:cs="Arial"/>
          <w:sz w:val="18"/>
          <w:lang w:val="el-GR" w:eastAsia="el-GR"/>
        </w:rPr>
        <w:t xml:space="preserve">30 Ιουνίου </w:t>
      </w:r>
      <w:r w:rsidR="005508D1" w:rsidRPr="00CB38F0">
        <w:rPr>
          <w:rFonts w:ascii="Arial" w:hAnsi="Arial" w:cs="Arial"/>
          <w:sz w:val="18"/>
          <w:szCs w:val="18"/>
          <w:lang w:val="el-GR" w:eastAsia="el-GR"/>
        </w:rPr>
        <w:t>2024</w:t>
      </w:r>
      <w:r w:rsidRPr="00CB38F0">
        <w:rPr>
          <w:rFonts w:ascii="Arial" w:hAnsi="Arial" w:cs="Arial"/>
          <w:sz w:val="18"/>
          <w:szCs w:val="18"/>
          <w:lang w:val="el-GR" w:eastAsia="el-GR"/>
        </w:rPr>
        <w:t>,</w:t>
      </w:r>
      <w:r w:rsidR="00135591" w:rsidRPr="00CB38F0">
        <w:rPr>
          <w:rFonts w:ascii="Arial" w:hAnsi="Arial" w:cs="Arial"/>
          <w:sz w:val="18"/>
          <w:szCs w:val="18"/>
          <w:lang w:val="el-GR" w:eastAsia="el-GR"/>
        </w:rPr>
        <w:t xml:space="preserve"> η λογιστική αξία των </w:t>
      </w:r>
      <w:r w:rsidRPr="00CB38F0">
        <w:rPr>
          <w:rFonts w:ascii="Arial" w:hAnsi="Arial" w:cs="Arial"/>
          <w:sz w:val="18"/>
          <w:szCs w:val="18"/>
          <w:lang w:val="el-GR" w:eastAsia="el-GR"/>
        </w:rPr>
        <w:t>υποχρεώσε</w:t>
      </w:r>
      <w:r w:rsidR="00135591" w:rsidRPr="00CB38F0">
        <w:rPr>
          <w:rFonts w:ascii="Arial" w:hAnsi="Arial" w:cs="Arial"/>
          <w:sz w:val="18"/>
          <w:szCs w:val="18"/>
          <w:lang w:val="el-GR" w:eastAsia="el-GR"/>
        </w:rPr>
        <w:t>ων</w:t>
      </w:r>
      <w:r w:rsidRPr="00CB38F0">
        <w:rPr>
          <w:rFonts w:ascii="Arial" w:hAnsi="Arial" w:cs="Arial"/>
          <w:sz w:val="18"/>
          <w:szCs w:val="18"/>
          <w:lang w:val="el-GR" w:eastAsia="el-GR"/>
        </w:rPr>
        <w:t xml:space="preserve"> μειωμένης εξασφάλισης του Συγκροτήματος</w:t>
      </w:r>
      <w:r w:rsidR="00695E49" w:rsidRPr="00CB38F0">
        <w:rPr>
          <w:rFonts w:ascii="Arial" w:hAnsi="Arial" w:cs="Arial"/>
          <w:sz w:val="18"/>
          <w:szCs w:val="18"/>
          <w:lang w:val="el-GR" w:eastAsia="el-GR"/>
        </w:rPr>
        <w:t xml:space="preserve"> </w:t>
      </w:r>
      <w:r w:rsidRPr="00CB38F0">
        <w:rPr>
          <w:rFonts w:ascii="Arial" w:hAnsi="Arial" w:cs="Arial"/>
          <w:sz w:val="18"/>
          <w:szCs w:val="18"/>
          <w:lang w:val="el-GR"/>
        </w:rPr>
        <w:t xml:space="preserve">ανήλθαν σε </w:t>
      </w:r>
      <w:r w:rsidR="00977246" w:rsidRPr="00CB38F0">
        <w:rPr>
          <w:rFonts w:ascii="Arial" w:hAnsi="Arial" w:cs="Arial"/>
          <w:sz w:val="18"/>
          <w:szCs w:val="18"/>
          <w:lang w:val="el-GR"/>
        </w:rPr>
        <w:t>€</w:t>
      </w:r>
      <w:r w:rsidR="004D1327" w:rsidRPr="006A1797">
        <w:rPr>
          <w:rFonts w:ascii="Arial" w:hAnsi="Arial" w:cs="Arial"/>
          <w:sz w:val="18"/>
          <w:szCs w:val="18"/>
          <w:lang w:val="el-GR"/>
        </w:rPr>
        <w:t>313</w:t>
      </w:r>
      <w:r w:rsidR="004D1327">
        <w:rPr>
          <w:rFonts w:ascii="Arial" w:hAnsi="Arial" w:cs="Arial"/>
          <w:sz w:val="18"/>
          <w:szCs w:val="18"/>
          <w:lang w:val="el-GR"/>
        </w:rPr>
        <w:t xml:space="preserve"> </w:t>
      </w:r>
      <w:r w:rsidR="00E25C49" w:rsidRPr="00CB38F0">
        <w:rPr>
          <w:rFonts w:ascii="Arial" w:hAnsi="Arial" w:cs="Arial"/>
          <w:color w:val="000000" w:themeColor="text1"/>
          <w:sz w:val="18"/>
          <w:szCs w:val="18"/>
          <w:lang w:val="el-GR"/>
        </w:rPr>
        <w:t>ε</w:t>
      </w:r>
      <w:r w:rsidRPr="00CB38F0">
        <w:rPr>
          <w:rFonts w:ascii="Arial" w:hAnsi="Arial" w:cs="Arial"/>
          <w:color w:val="000000" w:themeColor="text1"/>
          <w:sz w:val="18"/>
          <w:szCs w:val="18"/>
          <w:lang w:val="el-GR"/>
        </w:rPr>
        <w:t>κατ. (σε σύγκριση</w:t>
      </w:r>
      <w:r w:rsidRPr="00CB38F0">
        <w:rPr>
          <w:rFonts w:ascii="Arial" w:hAnsi="Arial" w:cs="Arial"/>
          <w:sz w:val="18"/>
          <w:szCs w:val="18"/>
          <w:lang w:val="el-GR" w:eastAsia="el-GR"/>
        </w:rPr>
        <w:t xml:space="preserve"> με</w:t>
      </w:r>
      <w:r w:rsidR="00E1300F" w:rsidRPr="00CB38F0">
        <w:rPr>
          <w:rFonts w:ascii="Arial" w:hAnsi="Arial" w:cs="Arial"/>
          <w:sz w:val="18"/>
          <w:szCs w:val="18"/>
          <w:lang w:val="el-GR" w:eastAsia="el-GR"/>
        </w:rPr>
        <w:t xml:space="preserve"> </w:t>
      </w:r>
      <w:r w:rsidR="00DE567E" w:rsidRPr="00CB38F0">
        <w:rPr>
          <w:rFonts w:ascii="Arial" w:hAnsi="Arial" w:cs="Arial"/>
          <w:sz w:val="18"/>
          <w:szCs w:val="18"/>
          <w:lang w:val="el-GR"/>
        </w:rPr>
        <w:t>€309</w:t>
      </w:r>
      <w:r w:rsidR="00DE567E" w:rsidRPr="00CB38F0">
        <w:rPr>
          <w:rFonts w:ascii="Arial" w:hAnsi="Arial" w:cs="Arial"/>
          <w:color w:val="FF0000"/>
          <w:sz w:val="18"/>
          <w:szCs w:val="18"/>
          <w:lang w:val="el-GR"/>
        </w:rPr>
        <w:t xml:space="preserve"> </w:t>
      </w:r>
      <w:r w:rsidR="00DE567E" w:rsidRPr="00CB38F0">
        <w:rPr>
          <w:rFonts w:ascii="Arial" w:hAnsi="Arial" w:cs="Arial"/>
          <w:color w:val="000000" w:themeColor="text1"/>
          <w:sz w:val="18"/>
          <w:szCs w:val="18"/>
          <w:lang w:val="el-GR"/>
        </w:rPr>
        <w:t>εκατ</w:t>
      </w:r>
      <w:r w:rsidR="004D1327">
        <w:rPr>
          <w:rFonts w:ascii="Arial" w:hAnsi="Arial" w:cs="Arial"/>
          <w:color w:val="000000" w:themeColor="text1"/>
          <w:sz w:val="18"/>
          <w:szCs w:val="18"/>
          <w:lang w:val="el-GR"/>
        </w:rPr>
        <w:t>.</w:t>
      </w:r>
      <w:r w:rsidR="00DE567E" w:rsidRPr="00CB38F0">
        <w:rPr>
          <w:rFonts w:ascii="Arial" w:hAnsi="Arial" w:cs="Arial"/>
          <w:sz w:val="18"/>
          <w:szCs w:val="18"/>
          <w:lang w:val="el-GR"/>
        </w:rPr>
        <w:t xml:space="preserve"> στις 31 Μαρτίου 2024 και με </w:t>
      </w:r>
      <w:r w:rsidR="009A3414" w:rsidRPr="00CB38F0">
        <w:rPr>
          <w:rFonts w:ascii="Arial" w:hAnsi="Arial" w:cs="Arial"/>
          <w:sz w:val="18"/>
          <w:szCs w:val="18"/>
          <w:lang w:val="el-GR"/>
        </w:rPr>
        <w:t>€</w:t>
      </w:r>
      <w:r w:rsidR="005508D1" w:rsidRPr="00CB38F0">
        <w:rPr>
          <w:rFonts w:ascii="Arial" w:hAnsi="Arial" w:cs="Arial"/>
          <w:sz w:val="18"/>
          <w:szCs w:val="18"/>
          <w:lang w:val="el-GR"/>
        </w:rPr>
        <w:t>307</w:t>
      </w:r>
      <w:r w:rsidR="005508D1" w:rsidRPr="00CB38F0">
        <w:rPr>
          <w:rFonts w:ascii="Arial" w:hAnsi="Arial" w:cs="Arial"/>
          <w:color w:val="FF0000"/>
          <w:sz w:val="18"/>
          <w:szCs w:val="18"/>
          <w:lang w:val="el-GR"/>
        </w:rPr>
        <w:t xml:space="preserve"> </w:t>
      </w:r>
      <w:r w:rsidR="00E1300F" w:rsidRPr="00CB38F0">
        <w:rPr>
          <w:rFonts w:ascii="Arial" w:hAnsi="Arial" w:cs="Arial"/>
          <w:color w:val="000000" w:themeColor="text1"/>
          <w:sz w:val="18"/>
          <w:szCs w:val="18"/>
          <w:lang w:val="el-GR"/>
        </w:rPr>
        <w:t>εκατ. σ</w:t>
      </w:r>
      <w:r w:rsidR="00E1300F" w:rsidRPr="00CB38F0">
        <w:rPr>
          <w:rFonts w:ascii="Arial" w:hAnsi="Arial" w:cs="Arial"/>
          <w:sz w:val="18"/>
          <w:szCs w:val="18"/>
          <w:lang w:val="el-GR" w:eastAsia="el-GR"/>
        </w:rPr>
        <w:t xml:space="preserve">τις </w:t>
      </w:r>
      <w:r w:rsidR="005508D1" w:rsidRPr="00CB38F0">
        <w:rPr>
          <w:rFonts w:ascii="Arial" w:hAnsi="Arial" w:cs="Arial"/>
          <w:sz w:val="18"/>
          <w:szCs w:val="18"/>
          <w:lang w:val="el-GR" w:eastAsia="el-GR"/>
        </w:rPr>
        <w:t xml:space="preserve">31 Δεκεμβρίου </w:t>
      </w:r>
      <w:r w:rsidR="009A3414" w:rsidRPr="00CB38F0">
        <w:rPr>
          <w:rFonts w:ascii="Arial" w:hAnsi="Arial" w:cs="Arial"/>
          <w:sz w:val="18"/>
          <w:lang w:val="el-GR" w:eastAsia="el-GR"/>
        </w:rPr>
        <w:t>2023</w:t>
      </w:r>
      <w:r w:rsidRPr="00CB38F0">
        <w:rPr>
          <w:rFonts w:ascii="Arial" w:hAnsi="Arial" w:cs="Arial"/>
          <w:sz w:val="18"/>
          <w:szCs w:val="18"/>
          <w:lang w:val="el-GR" w:eastAsia="el-GR"/>
        </w:rPr>
        <w:t xml:space="preserve">) και αφορούν </w:t>
      </w:r>
      <w:r w:rsidRPr="00CB38F0">
        <w:rPr>
          <w:rFonts w:ascii="Arial" w:hAnsi="Arial" w:cs="Arial"/>
          <w:color w:val="000000" w:themeColor="text1"/>
          <w:sz w:val="18"/>
          <w:szCs w:val="18"/>
          <w:lang w:val="el-GR"/>
        </w:rPr>
        <w:t>ομόλογο δευτεροβάθμιου κεφαλαίου μειωμένης εξασφάλισης (</w:t>
      </w:r>
      <w:r w:rsidR="00590419" w:rsidRPr="00CB38F0">
        <w:rPr>
          <w:rFonts w:ascii="Arial" w:hAnsi="Arial" w:cs="Arial"/>
          <w:color w:val="000000" w:themeColor="text1"/>
          <w:sz w:val="18"/>
          <w:szCs w:val="18"/>
          <w:lang w:val="el-GR"/>
        </w:rPr>
        <w:t>‘</w:t>
      </w:r>
      <w:r w:rsidRPr="00CB38F0">
        <w:rPr>
          <w:rFonts w:ascii="Arial" w:hAnsi="Arial" w:cs="Arial"/>
          <w:color w:val="000000" w:themeColor="text1"/>
          <w:sz w:val="18"/>
          <w:szCs w:val="18"/>
          <w:lang w:val="el-GR"/>
        </w:rPr>
        <w:t>ομόλογο δευτεροβάθμιου κεφαλαίου</w:t>
      </w:r>
      <w:r w:rsidR="00590419" w:rsidRPr="00CB38F0">
        <w:rPr>
          <w:rFonts w:ascii="Arial" w:hAnsi="Arial" w:cs="Arial"/>
          <w:color w:val="000000" w:themeColor="text1"/>
          <w:sz w:val="18"/>
          <w:szCs w:val="18"/>
          <w:lang w:val="el-GR"/>
        </w:rPr>
        <w:t>’</w:t>
      </w:r>
      <w:r w:rsidRPr="00CB38F0">
        <w:rPr>
          <w:rFonts w:ascii="Arial" w:hAnsi="Arial" w:cs="Arial"/>
          <w:color w:val="000000" w:themeColor="text1"/>
          <w:sz w:val="18"/>
          <w:szCs w:val="18"/>
          <w:lang w:val="el-GR"/>
        </w:rPr>
        <w:t>)</w:t>
      </w:r>
      <w:r w:rsidRPr="00CB38F0">
        <w:rPr>
          <w:rFonts w:ascii="Arial" w:eastAsia="Times New Roman" w:hAnsi="Arial" w:cs="Arial"/>
          <w:sz w:val="18"/>
          <w:szCs w:val="18"/>
          <w:lang w:val="el-GR" w:eastAsia="en-US"/>
        </w:rPr>
        <w:t>.</w:t>
      </w:r>
      <w:r w:rsidRPr="00CB38F0">
        <w:rPr>
          <w:rFonts w:ascii="Arial" w:hAnsi="Arial" w:cs="Arial"/>
          <w:sz w:val="18"/>
          <w:szCs w:val="18"/>
          <w:lang w:val="el-GR" w:eastAsia="el-GR"/>
        </w:rPr>
        <w:t>  </w:t>
      </w:r>
    </w:p>
    <w:p w14:paraId="3679716D" w14:textId="77777777" w:rsidR="00352599" w:rsidRPr="00CB38F0" w:rsidRDefault="00352599" w:rsidP="00F70A02">
      <w:pPr>
        <w:pStyle w:val="BodyText3"/>
        <w:jc w:val="both"/>
        <w:rPr>
          <w:rFonts w:ascii="Arial" w:eastAsiaTheme="minorEastAsia" w:hAnsi="Arial" w:cs="Arial"/>
          <w:color w:val="000000" w:themeColor="text1"/>
          <w:sz w:val="18"/>
          <w:szCs w:val="18"/>
          <w:lang w:val="el-GR" w:eastAsia="en-GB"/>
        </w:rPr>
      </w:pPr>
    </w:p>
    <w:p w14:paraId="6C0134CB" w14:textId="2745DC46" w:rsidR="00352599" w:rsidRPr="00CB38F0" w:rsidRDefault="00352599" w:rsidP="00F70A02">
      <w:pPr>
        <w:pStyle w:val="BodyText3"/>
        <w:jc w:val="both"/>
        <w:rPr>
          <w:rFonts w:ascii="Arial" w:eastAsiaTheme="minorEastAsia" w:hAnsi="Arial" w:cs="Arial"/>
          <w:color w:val="000000" w:themeColor="text1"/>
          <w:sz w:val="18"/>
          <w:szCs w:val="18"/>
          <w:lang w:val="el-GR" w:eastAsia="en-GB"/>
        </w:rPr>
      </w:pPr>
      <w:r w:rsidRPr="00CB38F0">
        <w:rPr>
          <w:rFonts w:ascii="Arial" w:eastAsiaTheme="minorEastAsia" w:hAnsi="Arial" w:cs="Arial"/>
          <w:color w:val="000000" w:themeColor="text1"/>
          <w:sz w:val="18"/>
          <w:szCs w:val="18"/>
          <w:lang w:val="el-GR" w:eastAsia="en-GB"/>
        </w:rPr>
        <w:t xml:space="preserve">Το ομόλογο δευτεροβάθμιου κεφαλαίου εκδόθηκε στην ονομαστική αξία και φέρει σταθερό ετήσιο επιτόκιο ύψους 6.625%. Ο τόκος επί του </w:t>
      </w:r>
      <w:r w:rsidRPr="00CB38F0">
        <w:rPr>
          <w:rFonts w:ascii="Arial" w:eastAsiaTheme="minorEastAsia" w:hAnsi="Arial" w:cs="Arial"/>
          <w:sz w:val="18"/>
          <w:szCs w:val="18"/>
          <w:lang w:val="el-GR" w:eastAsia="en-GB"/>
        </w:rPr>
        <w:t xml:space="preserve">ομολόγου </w:t>
      </w:r>
      <w:r w:rsidRPr="00CB38F0">
        <w:rPr>
          <w:rFonts w:ascii="Arial" w:eastAsiaTheme="minorEastAsia" w:hAnsi="Arial" w:cs="Arial"/>
          <w:color w:val="000000" w:themeColor="text1"/>
          <w:sz w:val="18"/>
          <w:szCs w:val="18"/>
          <w:lang w:val="el-GR" w:eastAsia="en-GB"/>
        </w:rPr>
        <w:t>δευτεροβάθμιου κεφαλαίου καταβάλλεται ετησίως αναδρομικά και θα επανακαθορισθεί στις 23 Οκτωβρίου 2026. Το ομόλογο δευτεροβάθμιου κεφαλαίου λήγει στις 23 Οκτωβρίου 2031.</w:t>
      </w:r>
      <w:r w:rsidR="004D1327">
        <w:rPr>
          <w:rFonts w:ascii="Arial" w:eastAsiaTheme="minorEastAsia" w:hAnsi="Arial" w:cs="Arial"/>
          <w:color w:val="000000" w:themeColor="text1"/>
          <w:sz w:val="18"/>
          <w:szCs w:val="18"/>
          <w:lang w:val="el-GR" w:eastAsia="en-GB"/>
        </w:rPr>
        <w:t xml:space="preserve"> </w:t>
      </w:r>
      <w:r w:rsidRPr="00CB38F0">
        <w:rPr>
          <w:rFonts w:ascii="Arial" w:eastAsiaTheme="minorEastAsia" w:hAnsi="Arial" w:cs="Arial"/>
          <w:color w:val="000000" w:themeColor="text1"/>
          <w:sz w:val="18"/>
          <w:szCs w:val="18"/>
          <w:lang w:val="el-GR" w:eastAsia="en-GB"/>
        </w:rPr>
        <w:t>Η Εταιρία έχει το δικαίωμα πρόωρης εξόφλησης του ομολόγου δευτεροβάθμιου κεφαλαίου οποιαδήποτε μέρα κατά τη διάρκεια της περιόδου των έξι μηνών από τις 23 Απριλίου 2026 μέχρι τις 23 Οκτωβρίου 2026, υπό τη λήψη εποπτικών εγκρίσεων.</w:t>
      </w:r>
    </w:p>
    <w:p w14:paraId="342EC1F9" w14:textId="77777777" w:rsidR="00D022B5" w:rsidRPr="006A1797" w:rsidRDefault="00D022B5" w:rsidP="00D022B5">
      <w:pPr>
        <w:rPr>
          <w:rFonts w:ascii="Arial" w:hAnsi="Arial" w:cs="Arial"/>
          <w:b/>
          <w:bCs/>
          <w:color w:val="FF9900"/>
          <w:sz w:val="24"/>
          <w:lang w:val="el-GR"/>
        </w:rPr>
      </w:pPr>
      <w:r w:rsidRPr="00132262">
        <w:rPr>
          <w:rFonts w:ascii="Arial" w:hAnsi="Arial" w:cs="Arial"/>
          <w:b/>
          <w:bCs/>
          <w:color w:val="FF9900"/>
          <w:sz w:val="24"/>
          <w:lang w:val="el-GR"/>
        </w:rPr>
        <w:lastRenderedPageBreak/>
        <w:t xml:space="preserve">Β. Οικονομικά Αποτελέσματα Συγκροτήματος – Υποκείμενη Βάση </w:t>
      </w:r>
      <w:r w:rsidRPr="00132262">
        <w:rPr>
          <w:rFonts w:ascii="Arial" w:hAnsi="Arial" w:cs="Arial"/>
          <w:color w:val="FF9900"/>
          <w:sz w:val="24"/>
          <w:lang w:val="el-GR"/>
        </w:rPr>
        <w:t>(συνέχεια)</w:t>
      </w:r>
    </w:p>
    <w:p w14:paraId="00D432FF" w14:textId="77777777" w:rsidR="00D022B5" w:rsidRPr="006A1797" w:rsidRDefault="00D022B5" w:rsidP="00D022B5">
      <w:pPr>
        <w:rPr>
          <w:rFonts w:ascii="Arial" w:hAnsi="Arial" w:cs="Arial"/>
          <w:b/>
          <w:bCs/>
          <w:color w:val="FF9900"/>
          <w:sz w:val="24"/>
          <w:lang w:val="el-GR"/>
        </w:rPr>
      </w:pPr>
      <w:r w:rsidRPr="00132262">
        <w:rPr>
          <w:rFonts w:ascii="Arial" w:hAnsi="Arial" w:cs="Arial"/>
          <w:b/>
          <w:bCs/>
          <w:color w:val="FF9900"/>
          <w:sz w:val="23"/>
          <w:szCs w:val="23"/>
          <w:lang w:val="el-GR"/>
        </w:rPr>
        <w:t xml:space="preserve">Β.2 Ανάλυση Ισολογισμού </w:t>
      </w:r>
      <w:r w:rsidRPr="00132262">
        <w:rPr>
          <w:rFonts w:ascii="Arial" w:hAnsi="Arial" w:cs="Arial"/>
          <w:color w:val="FF9900"/>
          <w:sz w:val="23"/>
          <w:szCs w:val="23"/>
          <w:lang w:val="el-GR"/>
        </w:rPr>
        <w:t>(συνέχεια)</w:t>
      </w:r>
    </w:p>
    <w:p w14:paraId="67B50354" w14:textId="77777777" w:rsidR="00D022B5" w:rsidRPr="006A1797" w:rsidRDefault="00D022B5" w:rsidP="00D022B5">
      <w:pPr>
        <w:rPr>
          <w:rFonts w:ascii="Arial" w:hAnsi="Arial" w:cs="Arial"/>
          <w:b/>
          <w:bCs/>
          <w:color w:val="FF9900"/>
          <w:sz w:val="23"/>
          <w:szCs w:val="23"/>
          <w:lang w:val="el-GR"/>
        </w:rPr>
      </w:pPr>
      <w:r w:rsidRPr="00CB38F0">
        <w:rPr>
          <w:rFonts w:ascii="Arial" w:eastAsia="Times New Roman" w:hAnsi="Arial" w:cs="Arial"/>
          <w:b/>
          <w:bCs/>
          <w:color w:val="FF9900"/>
          <w:lang w:val="el-GR" w:eastAsia="el-GR"/>
        </w:rPr>
        <w:t xml:space="preserve">Β.2.3 Χρηματοδότηση και </w:t>
      </w:r>
      <w:r w:rsidRPr="001A4264">
        <w:rPr>
          <w:rFonts w:ascii="Arial" w:eastAsia="Times New Roman" w:hAnsi="Arial" w:cs="Arial"/>
          <w:b/>
          <w:bCs/>
          <w:color w:val="FF9900"/>
          <w:lang w:val="el-GR" w:eastAsia="el-GR"/>
        </w:rPr>
        <w:t>Ρευστότητα</w:t>
      </w:r>
      <w:r w:rsidRPr="006A1797">
        <w:rPr>
          <w:rFonts w:ascii="Arial" w:eastAsia="Times New Roman" w:hAnsi="Arial" w:cs="Arial"/>
          <w:b/>
          <w:bCs/>
          <w:color w:val="FF9900"/>
          <w:lang w:val="el-GR" w:eastAsia="el-GR"/>
        </w:rPr>
        <w:t xml:space="preserve"> </w:t>
      </w:r>
      <w:r w:rsidRPr="006A1797">
        <w:rPr>
          <w:rFonts w:ascii="Arial" w:hAnsi="Arial" w:cs="Arial"/>
          <w:color w:val="FF9900"/>
          <w:lang w:val="el-GR"/>
        </w:rPr>
        <w:t>(συνέχεια)</w:t>
      </w:r>
    </w:p>
    <w:p w14:paraId="1E300B50" w14:textId="6345E6F5" w:rsidR="00D022B5" w:rsidRPr="00D022B5" w:rsidRDefault="00D022B5" w:rsidP="00D022B5">
      <w:pPr>
        <w:rPr>
          <w:rFonts w:ascii="Arial" w:hAnsi="Arial" w:cs="Arial"/>
          <w:b/>
          <w:bCs/>
          <w:color w:val="FF9900"/>
          <w:sz w:val="23"/>
          <w:szCs w:val="23"/>
          <w:lang w:val="el-GR"/>
        </w:rPr>
      </w:pPr>
      <w:r w:rsidRPr="001A4264">
        <w:rPr>
          <w:rFonts w:ascii="Arial" w:eastAsia="Times New Roman" w:hAnsi="Arial" w:cs="Arial"/>
          <w:b/>
          <w:bCs/>
          <w:color w:val="FF9900"/>
          <w:sz w:val="20"/>
          <w:szCs w:val="20"/>
          <w:lang w:val="el-GR" w:eastAsia="el-GR"/>
        </w:rPr>
        <w:t xml:space="preserve">Χρηματοδότηση </w:t>
      </w:r>
      <w:r w:rsidRPr="006A1797">
        <w:rPr>
          <w:rFonts w:ascii="Arial" w:hAnsi="Arial" w:cs="Arial"/>
          <w:color w:val="FF9900"/>
          <w:sz w:val="20"/>
          <w:szCs w:val="20"/>
          <w:lang w:val="el-GR"/>
        </w:rPr>
        <w:t>(συνέχεια)</w:t>
      </w:r>
    </w:p>
    <w:p w14:paraId="33FA5F78" w14:textId="08040B3E" w:rsidR="00870528" w:rsidRPr="00CB38F0" w:rsidRDefault="00870528" w:rsidP="00870528">
      <w:pPr>
        <w:spacing w:after="0" w:line="360" w:lineRule="auto"/>
        <w:rPr>
          <w:rFonts w:ascii="Arial" w:eastAsia="Times New Roman" w:hAnsi="Arial" w:cs="Arial"/>
          <w:b/>
          <w:bCs/>
          <w:i/>
          <w:color w:val="FF9900"/>
          <w:sz w:val="20"/>
          <w:szCs w:val="24"/>
          <w:lang w:val="el-GR" w:eastAsia="el-GR"/>
        </w:rPr>
      </w:pPr>
      <w:r w:rsidRPr="00CB38F0">
        <w:rPr>
          <w:rFonts w:ascii="Arial" w:eastAsia="Times New Roman" w:hAnsi="Arial" w:cs="Arial"/>
          <w:b/>
          <w:bCs/>
          <w:i/>
          <w:color w:val="FF9900"/>
          <w:sz w:val="20"/>
          <w:szCs w:val="24"/>
          <w:lang w:val="el-GR" w:eastAsia="el-GR"/>
        </w:rPr>
        <w:t>Ομολογιακά δάνεια</w:t>
      </w:r>
    </w:p>
    <w:p w14:paraId="4DD22F91" w14:textId="12B05786" w:rsidR="00870528" w:rsidRPr="00CB38F0" w:rsidRDefault="00352599" w:rsidP="00F70A02">
      <w:pPr>
        <w:pStyle w:val="Footer"/>
        <w:tabs>
          <w:tab w:val="clear" w:pos="4153"/>
          <w:tab w:val="clear" w:pos="8306"/>
        </w:tabs>
        <w:jc w:val="both"/>
        <w:rPr>
          <w:rFonts w:ascii="Arial" w:eastAsiaTheme="minorEastAsia" w:hAnsi="Arial" w:cs="Arial"/>
          <w:color w:val="000000" w:themeColor="text1"/>
          <w:sz w:val="18"/>
          <w:szCs w:val="18"/>
          <w:lang w:val="el-GR"/>
        </w:rPr>
      </w:pPr>
      <w:r w:rsidRPr="00CB38F0">
        <w:rPr>
          <w:rFonts w:ascii="Arial" w:eastAsiaTheme="minorEastAsia" w:hAnsi="Arial" w:cs="Arial"/>
          <w:sz w:val="18"/>
          <w:szCs w:val="18"/>
          <w:lang w:val="el-GR" w:eastAsia="el-GR"/>
        </w:rPr>
        <w:t xml:space="preserve">Στις </w:t>
      </w:r>
      <w:r w:rsidR="00DE567E" w:rsidRPr="00CB38F0">
        <w:rPr>
          <w:rFonts w:ascii="Arial" w:hAnsi="Arial" w:cs="Arial"/>
          <w:sz w:val="18"/>
          <w:lang w:val="el-GR" w:eastAsia="el-GR"/>
        </w:rPr>
        <w:t xml:space="preserve">30 Ιουνίου </w:t>
      </w:r>
      <w:r w:rsidR="005F5C6D" w:rsidRPr="00CB38F0">
        <w:rPr>
          <w:rFonts w:ascii="Arial" w:hAnsi="Arial" w:cs="Arial"/>
          <w:sz w:val="18"/>
          <w:szCs w:val="18"/>
          <w:lang w:val="el-GR" w:eastAsia="el-GR"/>
        </w:rPr>
        <w:t>2024</w:t>
      </w:r>
      <w:r w:rsidRPr="00CB38F0">
        <w:rPr>
          <w:rFonts w:ascii="Arial" w:eastAsiaTheme="minorEastAsia" w:hAnsi="Arial" w:cs="Arial"/>
          <w:sz w:val="18"/>
          <w:szCs w:val="18"/>
          <w:lang w:val="el-GR" w:eastAsia="el-GR"/>
        </w:rPr>
        <w:t>, η λογιστική αξία των ομολογιακών δανείων του Συγκροτήματος</w:t>
      </w:r>
      <w:r w:rsidR="007B1475" w:rsidRPr="00CB38F0">
        <w:rPr>
          <w:rFonts w:ascii="Arial" w:eastAsiaTheme="minorEastAsia" w:hAnsi="Arial" w:cs="Arial"/>
          <w:sz w:val="18"/>
          <w:szCs w:val="18"/>
          <w:lang w:val="el-GR" w:eastAsia="el-GR"/>
        </w:rPr>
        <w:t xml:space="preserve"> </w:t>
      </w:r>
      <w:r w:rsidRPr="00CB38F0">
        <w:rPr>
          <w:rFonts w:ascii="Arial" w:eastAsiaTheme="minorEastAsia" w:hAnsi="Arial" w:cs="Arial"/>
          <w:sz w:val="18"/>
          <w:szCs w:val="18"/>
          <w:lang w:val="el-GR" w:eastAsia="el-GR"/>
        </w:rPr>
        <w:t xml:space="preserve">ανήλθαν σε </w:t>
      </w:r>
      <w:r w:rsidR="00977246" w:rsidRPr="00CB38F0">
        <w:rPr>
          <w:rFonts w:ascii="Arial" w:hAnsi="Arial" w:cs="Arial"/>
          <w:sz w:val="18"/>
          <w:szCs w:val="18"/>
          <w:lang w:val="el-GR"/>
        </w:rPr>
        <w:t>€</w:t>
      </w:r>
      <w:r w:rsidR="004D1327" w:rsidRPr="006A1797">
        <w:rPr>
          <w:rFonts w:ascii="Arial" w:hAnsi="Arial" w:cs="Arial"/>
          <w:sz w:val="18"/>
          <w:szCs w:val="18"/>
          <w:lang w:val="el-GR"/>
        </w:rPr>
        <w:t>971</w:t>
      </w:r>
      <w:r w:rsidR="004D1327">
        <w:rPr>
          <w:rFonts w:ascii="Arial" w:hAnsi="Arial" w:cs="Arial"/>
          <w:sz w:val="18"/>
          <w:szCs w:val="18"/>
          <w:lang w:val="el-GR"/>
        </w:rPr>
        <w:t xml:space="preserve"> </w:t>
      </w:r>
      <w:r w:rsidRPr="00CB38F0">
        <w:rPr>
          <w:rFonts w:ascii="Arial" w:eastAsiaTheme="minorEastAsia" w:hAnsi="Arial" w:cs="Arial"/>
          <w:sz w:val="18"/>
          <w:szCs w:val="18"/>
          <w:lang w:val="el-GR" w:eastAsia="el-GR"/>
        </w:rPr>
        <w:t xml:space="preserve">εκατ. (σε σύγκριση με </w:t>
      </w:r>
      <w:r w:rsidR="00DE567E" w:rsidRPr="00CB38F0">
        <w:rPr>
          <w:rFonts w:ascii="Arial" w:hAnsi="Arial" w:cs="Arial"/>
          <w:sz w:val="18"/>
          <w:szCs w:val="18"/>
          <w:lang w:val="el-GR"/>
        </w:rPr>
        <w:t xml:space="preserve">€673 </w:t>
      </w:r>
      <w:r w:rsidR="00DE567E" w:rsidRPr="00CB38F0">
        <w:rPr>
          <w:rFonts w:ascii="Arial" w:eastAsiaTheme="minorEastAsia" w:hAnsi="Arial" w:cs="Arial"/>
          <w:sz w:val="18"/>
          <w:szCs w:val="18"/>
          <w:lang w:val="el-GR" w:eastAsia="el-GR"/>
        </w:rPr>
        <w:t xml:space="preserve">εκατ. στις </w:t>
      </w:r>
      <w:r w:rsidR="00DE567E" w:rsidRPr="00CB38F0">
        <w:rPr>
          <w:rFonts w:ascii="Arial" w:hAnsi="Arial" w:cs="Arial"/>
          <w:sz w:val="18"/>
          <w:lang w:val="el-GR" w:eastAsia="el-GR"/>
        </w:rPr>
        <w:t xml:space="preserve">31 Μαρτίου </w:t>
      </w:r>
      <w:r w:rsidR="00DE567E" w:rsidRPr="00CB38F0">
        <w:rPr>
          <w:rFonts w:ascii="Arial" w:hAnsi="Arial" w:cs="Arial"/>
          <w:sz w:val="18"/>
          <w:szCs w:val="18"/>
          <w:lang w:val="el-GR" w:eastAsia="el-GR"/>
        </w:rPr>
        <w:t>2024 και με</w:t>
      </w:r>
      <w:r w:rsidR="00DE567E" w:rsidRPr="00CB38F0">
        <w:rPr>
          <w:rFonts w:ascii="Arial" w:eastAsiaTheme="minorEastAsia" w:hAnsi="Arial" w:cs="Arial"/>
          <w:sz w:val="18"/>
          <w:szCs w:val="18"/>
          <w:lang w:val="el-GR" w:eastAsia="el-GR"/>
        </w:rPr>
        <w:t xml:space="preserve"> </w:t>
      </w:r>
      <w:r w:rsidR="002F12EA" w:rsidRPr="00CB38F0">
        <w:rPr>
          <w:rFonts w:ascii="Arial" w:eastAsiaTheme="minorEastAsia" w:hAnsi="Arial" w:cs="Arial"/>
          <w:sz w:val="18"/>
          <w:szCs w:val="18"/>
          <w:lang w:val="el-GR" w:eastAsia="el-GR"/>
        </w:rPr>
        <w:t>€</w:t>
      </w:r>
      <w:r w:rsidR="005F5C6D" w:rsidRPr="00CB38F0">
        <w:rPr>
          <w:rFonts w:ascii="Arial" w:eastAsiaTheme="minorEastAsia" w:hAnsi="Arial" w:cs="Arial"/>
          <w:color w:val="000000" w:themeColor="text1"/>
          <w:sz w:val="18"/>
          <w:szCs w:val="18"/>
          <w:lang w:val="el-GR"/>
        </w:rPr>
        <w:t xml:space="preserve">672 </w:t>
      </w:r>
      <w:r w:rsidR="002F12EA" w:rsidRPr="00CB38F0">
        <w:rPr>
          <w:rFonts w:ascii="Arial" w:eastAsiaTheme="minorEastAsia" w:hAnsi="Arial" w:cs="Arial"/>
          <w:color w:val="000000" w:themeColor="text1"/>
          <w:sz w:val="18"/>
          <w:szCs w:val="18"/>
          <w:lang w:val="el-GR"/>
        </w:rPr>
        <w:t xml:space="preserve">εκατ. στις </w:t>
      </w:r>
      <w:r w:rsidR="005F5C6D" w:rsidRPr="00CB38F0">
        <w:rPr>
          <w:rFonts w:ascii="Arial" w:eastAsiaTheme="minorEastAsia" w:hAnsi="Arial" w:cs="Arial"/>
          <w:color w:val="000000" w:themeColor="text1"/>
          <w:sz w:val="18"/>
          <w:szCs w:val="18"/>
          <w:lang w:val="el-GR"/>
        </w:rPr>
        <w:t xml:space="preserve">31 Δεκεμβρίου </w:t>
      </w:r>
      <w:r w:rsidR="009A3414" w:rsidRPr="00CB38F0">
        <w:rPr>
          <w:rFonts w:ascii="Arial" w:eastAsiaTheme="minorEastAsia" w:hAnsi="Arial" w:cs="Arial"/>
          <w:color w:val="000000" w:themeColor="text1"/>
          <w:sz w:val="18"/>
          <w:szCs w:val="18"/>
          <w:lang w:val="el-GR"/>
        </w:rPr>
        <w:t>2023</w:t>
      </w:r>
      <w:r w:rsidRPr="00CB38F0">
        <w:rPr>
          <w:rFonts w:ascii="Arial" w:eastAsiaTheme="minorEastAsia" w:hAnsi="Arial" w:cs="Arial"/>
          <w:color w:val="000000" w:themeColor="text1"/>
          <w:sz w:val="18"/>
          <w:szCs w:val="18"/>
          <w:lang w:val="el-GR"/>
        </w:rPr>
        <w:t>) και αφορούν ομόλογο υψηλής εξοφλητικής προτεραιότητας.</w:t>
      </w:r>
      <w:r w:rsidR="00977246" w:rsidRPr="00CB38F0">
        <w:rPr>
          <w:rFonts w:ascii="Arial" w:eastAsiaTheme="minorEastAsia" w:hAnsi="Arial" w:cs="Arial"/>
          <w:color w:val="000000" w:themeColor="text1"/>
          <w:sz w:val="18"/>
          <w:szCs w:val="18"/>
          <w:lang w:val="el-GR"/>
        </w:rPr>
        <w:t xml:space="preserve"> </w:t>
      </w:r>
      <w:r w:rsidR="00C36C7D">
        <w:rPr>
          <w:rFonts w:ascii="Arial" w:eastAsiaTheme="minorEastAsia" w:hAnsi="Arial" w:cs="Arial"/>
          <w:color w:val="000000" w:themeColor="text1"/>
          <w:sz w:val="18"/>
          <w:szCs w:val="18"/>
          <w:lang w:val="el-GR"/>
        </w:rPr>
        <w:t xml:space="preserve">Η αύξηση κατά 45% από την αρχή του έτους αφορά την έκδοση </w:t>
      </w:r>
      <w:r w:rsidR="00C36C7D" w:rsidRPr="00CB38F0">
        <w:rPr>
          <w:rFonts w:ascii="Arial" w:hAnsi="Arial" w:cs="Arial"/>
          <w:color w:val="000000" w:themeColor="text1"/>
          <w:sz w:val="18"/>
          <w:szCs w:val="18"/>
          <w:lang w:val="el-GR"/>
        </w:rPr>
        <w:t>πράσινου ομολόγου υψηλής εξοφλητικής προτεραιότητας ύψους €300 εκατ.</w:t>
      </w:r>
      <w:r w:rsidR="00C36C7D">
        <w:rPr>
          <w:rFonts w:ascii="Arial" w:hAnsi="Arial" w:cs="Arial"/>
          <w:color w:val="000000" w:themeColor="text1"/>
          <w:sz w:val="18"/>
          <w:szCs w:val="18"/>
          <w:lang w:val="el-GR"/>
        </w:rPr>
        <w:t xml:space="preserve"> </w:t>
      </w:r>
      <w:r w:rsidR="00C36C7D" w:rsidRPr="00CB38F0">
        <w:rPr>
          <w:rFonts w:ascii="Arial" w:hAnsi="Arial" w:cs="Arial"/>
          <w:color w:val="000000" w:themeColor="text1"/>
          <w:sz w:val="18"/>
          <w:szCs w:val="18"/>
          <w:lang w:val="el-GR"/>
        </w:rPr>
        <w:t>(το ‘Πράσινο Ομόλογο’)</w:t>
      </w:r>
      <w:r w:rsidR="00C36C7D">
        <w:rPr>
          <w:rFonts w:ascii="Arial" w:hAnsi="Arial" w:cs="Arial"/>
          <w:color w:val="000000" w:themeColor="text1"/>
          <w:sz w:val="18"/>
          <w:szCs w:val="18"/>
          <w:lang w:val="el-GR"/>
        </w:rPr>
        <w:t xml:space="preserve"> </w:t>
      </w:r>
      <w:r w:rsidR="00DD4F43">
        <w:rPr>
          <w:rFonts w:ascii="Arial" w:hAnsi="Arial" w:cs="Arial"/>
          <w:color w:val="000000" w:themeColor="text1"/>
          <w:sz w:val="18"/>
          <w:szCs w:val="18"/>
          <w:lang w:val="el-GR"/>
        </w:rPr>
        <w:t>τον Απρίλιο 2024</w:t>
      </w:r>
      <w:r w:rsidR="00C36C7D">
        <w:rPr>
          <w:rFonts w:ascii="Arial" w:hAnsi="Arial" w:cs="Arial"/>
          <w:color w:val="000000" w:themeColor="text1"/>
          <w:sz w:val="18"/>
          <w:szCs w:val="18"/>
          <w:lang w:val="el-GR"/>
        </w:rPr>
        <w:t xml:space="preserve">. </w:t>
      </w:r>
    </w:p>
    <w:p w14:paraId="2EADD331" w14:textId="77777777" w:rsidR="001A4264" w:rsidRPr="006A1797" w:rsidRDefault="001A4264" w:rsidP="00F70A02">
      <w:pPr>
        <w:pStyle w:val="Footer"/>
        <w:tabs>
          <w:tab w:val="clear" w:pos="4153"/>
          <w:tab w:val="clear" w:pos="8306"/>
        </w:tabs>
        <w:jc w:val="both"/>
        <w:rPr>
          <w:rFonts w:ascii="Arial" w:hAnsi="Arial" w:cs="Arial"/>
          <w:color w:val="000000" w:themeColor="text1"/>
          <w:sz w:val="18"/>
          <w:szCs w:val="18"/>
          <w:lang w:val="el-GR"/>
        </w:rPr>
      </w:pPr>
    </w:p>
    <w:p w14:paraId="7DAE84E0" w14:textId="4499BF2B" w:rsidR="005F5C6D" w:rsidRPr="009F73D8" w:rsidRDefault="005F5C6D" w:rsidP="00F70A02">
      <w:pPr>
        <w:pStyle w:val="Footer"/>
        <w:tabs>
          <w:tab w:val="clear" w:pos="4153"/>
          <w:tab w:val="clear" w:pos="8306"/>
        </w:tabs>
        <w:jc w:val="both"/>
        <w:rPr>
          <w:rFonts w:ascii="Arial" w:hAnsi="Arial" w:cs="Arial"/>
          <w:sz w:val="18"/>
          <w:szCs w:val="18"/>
          <w:highlight w:val="yellow"/>
          <w:lang w:val="el-GR"/>
        </w:rPr>
      </w:pPr>
      <w:r w:rsidRPr="00CB38F0">
        <w:rPr>
          <w:rFonts w:ascii="Arial" w:hAnsi="Arial" w:cs="Arial"/>
          <w:color w:val="000000" w:themeColor="text1"/>
          <w:sz w:val="18"/>
          <w:szCs w:val="18"/>
          <w:lang w:val="el-GR"/>
        </w:rPr>
        <w:t>Τον Απρίλιο 2024, η Τράπεζα ολοκλήρωσε με επιτυχία την έκδοση και την τιμολόγηση πράσινου ομολόγου υψηλής εξοφλητικής προτεραιότητας ύψους €300 εκατ.</w:t>
      </w:r>
      <w:r w:rsidR="00C36C7D">
        <w:rPr>
          <w:rFonts w:ascii="Arial" w:hAnsi="Arial" w:cs="Arial"/>
          <w:color w:val="000000" w:themeColor="text1"/>
          <w:sz w:val="18"/>
          <w:szCs w:val="18"/>
          <w:lang w:val="el-GR"/>
        </w:rPr>
        <w:t xml:space="preserve"> </w:t>
      </w:r>
      <w:r w:rsidRPr="00CB38F0">
        <w:rPr>
          <w:rFonts w:ascii="Arial" w:hAnsi="Arial" w:cs="Arial"/>
          <w:color w:val="000000" w:themeColor="text1"/>
          <w:sz w:val="18"/>
          <w:szCs w:val="18"/>
          <w:lang w:val="el-GR"/>
        </w:rPr>
        <w:t xml:space="preserve">Το </w:t>
      </w:r>
      <w:r w:rsidR="00875179" w:rsidRPr="00CB38F0">
        <w:rPr>
          <w:rFonts w:ascii="Arial" w:hAnsi="Arial" w:cs="Arial"/>
          <w:color w:val="000000" w:themeColor="text1"/>
          <w:sz w:val="18"/>
          <w:szCs w:val="18"/>
          <w:lang w:val="el-GR"/>
        </w:rPr>
        <w:t>Πράσινο Ομόλογο εκδόθηκε</w:t>
      </w:r>
      <w:r w:rsidRPr="00CB38F0">
        <w:rPr>
          <w:rFonts w:ascii="Arial" w:hAnsi="Arial" w:cs="Arial"/>
          <w:color w:val="000000" w:themeColor="text1"/>
          <w:sz w:val="18"/>
          <w:szCs w:val="18"/>
          <w:lang w:val="el-GR"/>
        </w:rPr>
        <w:t xml:space="preserve"> στην ονομαστική του</w:t>
      </w:r>
      <w:r w:rsidRPr="00CB38F0">
        <w:rPr>
          <w:rFonts w:ascii="Arial" w:hAnsi="Arial" w:cs="Arial"/>
          <w:sz w:val="18"/>
          <w:szCs w:val="18"/>
          <w:lang w:val="el-GR"/>
        </w:rPr>
        <w:t xml:space="preserve"> αξία και </w:t>
      </w:r>
      <w:r w:rsidR="00875179" w:rsidRPr="00CB38F0">
        <w:rPr>
          <w:rFonts w:ascii="Arial" w:hAnsi="Arial" w:cs="Arial"/>
          <w:sz w:val="18"/>
          <w:szCs w:val="18"/>
          <w:lang w:val="el-GR"/>
        </w:rPr>
        <w:t>φέρει</w:t>
      </w:r>
      <w:r w:rsidRPr="00CB38F0">
        <w:rPr>
          <w:rFonts w:ascii="Arial" w:hAnsi="Arial" w:cs="Arial"/>
          <w:sz w:val="18"/>
          <w:szCs w:val="18"/>
          <w:lang w:val="el-GR"/>
        </w:rPr>
        <w:t xml:space="preserve"> ετήσιο σταθερό επιτόκιο ύψους 5% το οποίο θα καταβάλλεται ετησίως αναδρομικά μέχρι την Ημερομηνία</w:t>
      </w:r>
      <w:r w:rsidR="004F5CA6" w:rsidRPr="00CB38F0">
        <w:rPr>
          <w:rFonts w:ascii="Arial" w:hAnsi="Arial" w:cs="Arial"/>
          <w:sz w:val="18"/>
          <w:szCs w:val="18"/>
          <w:lang w:val="el-GR"/>
        </w:rPr>
        <w:t xml:space="preserve"> </w:t>
      </w:r>
      <w:r w:rsidRPr="00CB38F0">
        <w:rPr>
          <w:rFonts w:ascii="Arial" w:hAnsi="Arial" w:cs="Arial"/>
          <w:sz w:val="18"/>
          <w:szCs w:val="18"/>
          <w:lang w:val="el-GR"/>
        </w:rPr>
        <w:t xml:space="preserve">Πρόωρης Εξόφλησης στις 2 Μάϊου 2028. </w:t>
      </w:r>
      <w:r w:rsidR="00875179" w:rsidRPr="00CB38F0">
        <w:rPr>
          <w:rFonts w:ascii="Arial" w:hAnsi="Arial" w:cs="Arial"/>
          <w:sz w:val="18"/>
          <w:szCs w:val="18"/>
          <w:lang w:val="el-GR"/>
        </w:rPr>
        <w:t xml:space="preserve">Το </w:t>
      </w:r>
      <w:r w:rsidR="00875179" w:rsidRPr="00CB38F0">
        <w:rPr>
          <w:rFonts w:ascii="Arial" w:eastAsiaTheme="minorEastAsia" w:hAnsi="Arial" w:cs="Arial"/>
          <w:color w:val="000000" w:themeColor="text1"/>
          <w:sz w:val="18"/>
          <w:szCs w:val="18"/>
          <w:lang w:val="el-GR"/>
        </w:rPr>
        <w:t xml:space="preserve">Πράσινο Ομόλογο </w:t>
      </w:r>
      <w:r w:rsidR="00875179" w:rsidRPr="00CB38F0">
        <w:rPr>
          <w:rFonts w:ascii="Arial" w:hAnsi="Arial" w:cs="Arial"/>
          <w:sz w:val="18"/>
          <w:szCs w:val="18"/>
          <w:lang w:val="el-GR"/>
        </w:rPr>
        <w:t>λήγει</w:t>
      </w:r>
      <w:r w:rsidRPr="00CB38F0">
        <w:rPr>
          <w:rFonts w:ascii="Arial" w:hAnsi="Arial" w:cs="Arial"/>
          <w:sz w:val="18"/>
          <w:szCs w:val="18"/>
          <w:lang w:val="el-GR"/>
        </w:rPr>
        <w:t xml:space="preserve"> στις 2 Μάϊου 2029, ωστόσο η Τράπεζα έχει το δικαίωμα πρόωρης εξόφλησης κατά την Ημερομηνία Πρόωρης Εξόφλησης, νοουμένου ότι πληρούνται συγκεκριμένες προϋποθέσεις (περιλαμβανομένης της λήψης των απαραίτητων εποπτικών εγκρίσεων) όπως ορίζονται στους Όρους και Προϋποθέσεις.</w:t>
      </w:r>
      <w:r w:rsidR="004F5CA6" w:rsidRPr="004F5CA6">
        <w:rPr>
          <w:rFonts w:ascii="Arial" w:hAnsi="Arial" w:cs="Arial"/>
          <w:sz w:val="18"/>
          <w:szCs w:val="18"/>
          <w:lang w:val="el-GR"/>
        </w:rPr>
        <w:t xml:space="preserve"> </w:t>
      </w:r>
      <w:r w:rsidRPr="00CB38F0">
        <w:rPr>
          <w:rFonts w:ascii="Arial" w:hAnsi="Arial" w:cs="Arial"/>
          <w:sz w:val="18"/>
          <w:szCs w:val="18"/>
          <w:lang w:val="el-GR"/>
        </w:rPr>
        <w:t xml:space="preserve">Εάν </w:t>
      </w:r>
      <w:r w:rsidR="00875179" w:rsidRPr="00CB38F0">
        <w:rPr>
          <w:rFonts w:ascii="Arial" w:hAnsi="Arial" w:cs="Arial"/>
          <w:sz w:val="18"/>
          <w:szCs w:val="18"/>
          <w:lang w:val="el-GR"/>
        </w:rPr>
        <w:t xml:space="preserve">το </w:t>
      </w:r>
      <w:r w:rsidR="00875179" w:rsidRPr="00CB38F0">
        <w:rPr>
          <w:rFonts w:ascii="Arial" w:eastAsiaTheme="minorEastAsia" w:hAnsi="Arial" w:cs="Arial"/>
          <w:color w:val="000000" w:themeColor="text1"/>
          <w:sz w:val="18"/>
          <w:szCs w:val="18"/>
          <w:lang w:val="el-GR"/>
        </w:rPr>
        <w:t xml:space="preserve">Πράσινο Ομόλογο </w:t>
      </w:r>
      <w:r w:rsidRPr="00CB38F0">
        <w:rPr>
          <w:rFonts w:ascii="Arial" w:hAnsi="Arial" w:cs="Arial"/>
          <w:sz w:val="18"/>
          <w:szCs w:val="18"/>
          <w:lang w:val="el-GR"/>
        </w:rPr>
        <w:t xml:space="preserve">δεν </w:t>
      </w:r>
      <w:r w:rsidR="00875179" w:rsidRPr="00CB38F0">
        <w:rPr>
          <w:rFonts w:ascii="Arial" w:hAnsi="Arial" w:cs="Arial"/>
          <w:sz w:val="18"/>
          <w:szCs w:val="18"/>
          <w:lang w:val="el-GR"/>
        </w:rPr>
        <w:t>εξοφληθεί</w:t>
      </w:r>
      <w:r w:rsidR="00E53092" w:rsidRPr="00CB38F0">
        <w:rPr>
          <w:rFonts w:ascii="Arial" w:hAnsi="Arial" w:cs="Arial"/>
          <w:sz w:val="18"/>
          <w:szCs w:val="18"/>
          <w:lang w:val="el-GR"/>
        </w:rPr>
        <w:t xml:space="preserve"> πρόωρα</w:t>
      </w:r>
      <w:r w:rsidRPr="00CB38F0">
        <w:rPr>
          <w:rFonts w:ascii="Arial" w:hAnsi="Arial" w:cs="Arial"/>
          <w:sz w:val="18"/>
          <w:szCs w:val="18"/>
          <w:lang w:val="el-GR"/>
        </w:rPr>
        <w:t xml:space="preserve"> από την Τράπεζα, το επιτόκιο από την Ημερομηνία Πρόωρης Εξόφλησης μέχρι την ημερομηνία λήξης θα είναι κυμαινόμενο, ίσο με 3 μηνών Euribor + 197.1 μ.β., και θα καταβάλλεται κάθε τρίμηνο αναδρομικά.</w:t>
      </w:r>
    </w:p>
    <w:p w14:paraId="728DF321" w14:textId="77777777" w:rsidR="001A4264" w:rsidRPr="00CB38F0" w:rsidRDefault="001A4264" w:rsidP="00F70A02">
      <w:pPr>
        <w:pStyle w:val="Footer"/>
        <w:tabs>
          <w:tab w:val="clear" w:pos="4153"/>
          <w:tab w:val="clear" w:pos="8306"/>
        </w:tabs>
        <w:jc w:val="both"/>
        <w:rPr>
          <w:rFonts w:ascii="Arial" w:hAnsi="Arial" w:cs="Arial"/>
          <w:sz w:val="18"/>
          <w:lang w:val="el-GR" w:eastAsia="el-GR"/>
        </w:rPr>
      </w:pPr>
    </w:p>
    <w:p w14:paraId="03C6C618" w14:textId="4B18896F" w:rsidR="005F5C6D" w:rsidRPr="00CB38F0" w:rsidRDefault="00E53092" w:rsidP="00F70A02">
      <w:pPr>
        <w:pStyle w:val="Footer"/>
        <w:tabs>
          <w:tab w:val="clear" w:pos="4153"/>
          <w:tab w:val="clear" w:pos="8306"/>
        </w:tabs>
        <w:jc w:val="both"/>
        <w:rPr>
          <w:rFonts w:ascii="Arial" w:hAnsi="Arial" w:cs="Arial"/>
          <w:sz w:val="18"/>
          <w:szCs w:val="18"/>
          <w:lang w:val="el-GR"/>
        </w:rPr>
      </w:pPr>
      <w:r w:rsidRPr="00CB38F0">
        <w:rPr>
          <w:rFonts w:ascii="Arial" w:hAnsi="Arial" w:cs="Arial"/>
          <w:sz w:val="18"/>
          <w:szCs w:val="18"/>
          <w:lang w:val="el-GR"/>
        </w:rPr>
        <w:t>Η έκδοση είχε σημαντική ζήτηση, προσελκύοντας το ενδιαφέρον πέραν των 120 θεσμικών επενδυτών, με το βιβλίο προσφορών να έχει υπερκαλυφθεί περισσότερο από 4 φορές και να ανέρχεται στα €1.3 δις. και με την τελική τιμολόγηση να είναι κατά 50 μ.β.</w:t>
      </w:r>
      <w:r w:rsidR="001A4264" w:rsidRPr="006A1797">
        <w:rPr>
          <w:rFonts w:ascii="Arial" w:hAnsi="Arial" w:cs="Arial"/>
          <w:sz w:val="18"/>
          <w:szCs w:val="18"/>
          <w:lang w:val="el-GR"/>
        </w:rPr>
        <w:t xml:space="preserve"> </w:t>
      </w:r>
      <w:r w:rsidRPr="00CB38F0">
        <w:rPr>
          <w:rFonts w:ascii="Arial" w:hAnsi="Arial" w:cs="Arial"/>
          <w:sz w:val="18"/>
          <w:szCs w:val="18"/>
          <w:lang w:val="el-GR"/>
        </w:rPr>
        <w:t>χαμηλότερη από την αρχική ένδειξη τιμολόγησης. Η συναλλαγή αντιπροσωπεύει την πρώτη έκδοση πράσινου ομολόγου της Τράπεζας ευθυγραμμισμένη με τη φιλοσοφία του Συγκροτήματος ‘Περισσότερο από Τράπεζα - Beyond Banking’ με στόχο να</w:t>
      </w:r>
      <w:r w:rsidR="00C36C7D">
        <w:rPr>
          <w:rFonts w:ascii="Arial" w:hAnsi="Arial" w:cs="Arial"/>
          <w:b/>
          <w:bCs/>
          <w:color w:val="FF9900"/>
          <w:lang w:val="el-GR"/>
        </w:rPr>
        <w:t xml:space="preserve"> </w:t>
      </w:r>
      <w:r w:rsidRPr="00CB38F0">
        <w:rPr>
          <w:rFonts w:ascii="Arial" w:hAnsi="Arial" w:cs="Arial"/>
          <w:sz w:val="18"/>
          <w:szCs w:val="18"/>
          <w:lang w:val="el-GR"/>
        </w:rPr>
        <w:t>δημιουργήσει μια ισχυρή, πιο ασφαλή Τράπεζα, επικεντρωμένη στο μέλλον καθώς και να ηγηθεί της μετάβασης της Κύπρου σε ένα βιώσιμο μέλλον.</w:t>
      </w:r>
      <w:r w:rsidR="004F5CA6" w:rsidRPr="004F5CA6">
        <w:rPr>
          <w:rFonts w:ascii="Arial" w:hAnsi="Arial" w:cs="Arial"/>
          <w:sz w:val="18"/>
          <w:szCs w:val="18"/>
          <w:lang w:val="el-GR"/>
        </w:rPr>
        <w:t xml:space="preserve"> </w:t>
      </w:r>
      <w:r w:rsidRPr="00CB38F0">
        <w:rPr>
          <w:rFonts w:ascii="Arial" w:hAnsi="Arial" w:cs="Arial"/>
          <w:sz w:val="18"/>
          <w:szCs w:val="18"/>
          <w:lang w:val="el-GR"/>
        </w:rPr>
        <w:t>Τα καθαρά έσοδα από την έκδοση του Ομολόγου θα διατεθούν σε Επιλέξιμα Έργα Πράσινης Χρηματοδότησης όπως περιγράφονται στο Πλαίσιο Βιώσιμης Χρηματοδότησης της Τράπεζας, τα οποία περιλαμβάνουν Πράσινα Κτίρια, Βελτίωση Ενεργειακής Απόδοσης, Συγκοινωνίες φιλικές προς το περιβάλλον και Ανανεώσιμες Πηγές Ενέργειας.</w:t>
      </w:r>
    </w:p>
    <w:p w14:paraId="10EF9AE2" w14:textId="77777777" w:rsidR="001F151F" w:rsidRPr="00CB38F0" w:rsidRDefault="001F151F" w:rsidP="001F151F">
      <w:pPr>
        <w:spacing w:after="0" w:line="240" w:lineRule="auto"/>
        <w:jc w:val="both"/>
        <w:rPr>
          <w:rFonts w:ascii="Arial" w:hAnsi="Arial" w:cs="Arial"/>
          <w:sz w:val="18"/>
          <w:szCs w:val="18"/>
          <w:lang w:val="el-GR"/>
        </w:rPr>
      </w:pPr>
    </w:p>
    <w:p w14:paraId="72F2C8AF" w14:textId="694984B2" w:rsidR="001F151F" w:rsidRPr="00CB38F0" w:rsidRDefault="001F151F" w:rsidP="001F151F">
      <w:pPr>
        <w:spacing w:after="0" w:line="240" w:lineRule="auto"/>
        <w:jc w:val="both"/>
        <w:rPr>
          <w:rFonts w:ascii="Arial" w:hAnsi="Arial" w:cs="Arial"/>
          <w:sz w:val="18"/>
          <w:szCs w:val="18"/>
          <w:lang w:val="el-GR"/>
        </w:rPr>
      </w:pPr>
      <w:r w:rsidRPr="00CB38F0">
        <w:rPr>
          <w:rFonts w:ascii="Arial" w:hAnsi="Arial" w:cs="Arial"/>
          <w:sz w:val="18"/>
          <w:szCs w:val="18"/>
          <w:lang w:val="el-GR"/>
        </w:rPr>
        <w:t xml:space="preserve">Με την πιο πάνω έκδοση, η Τράπεζα </w:t>
      </w:r>
      <w:r w:rsidR="00307ACE">
        <w:rPr>
          <w:rFonts w:ascii="Arial" w:hAnsi="Arial" w:cs="Arial"/>
          <w:sz w:val="18"/>
          <w:szCs w:val="18"/>
          <w:lang w:val="el-GR"/>
        </w:rPr>
        <w:t>πέτυχε</w:t>
      </w:r>
      <w:r w:rsidR="00307ACE" w:rsidRPr="00CB38F0">
        <w:rPr>
          <w:rFonts w:ascii="Arial" w:hAnsi="Arial" w:cs="Arial"/>
          <w:sz w:val="18"/>
          <w:szCs w:val="18"/>
          <w:lang w:val="el-GR"/>
        </w:rPr>
        <w:t xml:space="preserve"> </w:t>
      </w:r>
      <w:r w:rsidRPr="00CB38F0">
        <w:rPr>
          <w:rFonts w:ascii="Arial" w:hAnsi="Arial" w:cs="Arial"/>
          <w:sz w:val="18"/>
          <w:szCs w:val="18"/>
          <w:lang w:val="el-GR"/>
        </w:rPr>
        <w:t xml:space="preserve">τη συμμόρφωση και τη δημιουργία επαρκούς αποθέματος ως προς την τελική Ελάχιστη Απαίτηση Ιδίων Κεφαλαίων και Επιλέξιμων Υποχρεώσεων (‘MREL’) ύψους 25% των σταθμισμένων περιουσιακών στοιχείων (ή </w:t>
      </w:r>
      <w:r w:rsidRPr="00CB38F0">
        <w:rPr>
          <w:rFonts w:ascii="Arial" w:eastAsia="Times New Roman" w:hAnsi="Arial" w:cs="Arial"/>
          <w:sz w:val="18"/>
          <w:szCs w:val="18"/>
          <w:lang w:val="el-GR" w:eastAsia="en-US"/>
        </w:rPr>
        <w:t>30.</w:t>
      </w:r>
      <w:r w:rsidR="00D313B7">
        <w:rPr>
          <w:rFonts w:ascii="Arial" w:eastAsia="Times New Roman" w:hAnsi="Arial" w:cs="Arial"/>
          <w:sz w:val="18"/>
          <w:szCs w:val="18"/>
          <w:lang w:val="el-GR" w:eastAsia="en-US"/>
        </w:rPr>
        <w:t>3</w:t>
      </w:r>
      <w:r w:rsidRPr="00CB38F0">
        <w:rPr>
          <w:rFonts w:ascii="Arial" w:eastAsia="Times New Roman" w:hAnsi="Arial" w:cs="Arial"/>
          <w:sz w:val="18"/>
          <w:szCs w:val="18"/>
          <w:lang w:val="el-GR" w:eastAsia="en-US"/>
        </w:rPr>
        <w:t xml:space="preserve">% των σταθμισμένων περιουσιακών στοιχείων περιλαμβάνοντας το κεφάλαιο που χρησιμοποιείται για συμμόρφωση με την εκάστοτε Συνδυασμένη Απαίτηση Αποθέματος Ασφαλείας (CBR) στις 31 Δεκεμβρίου 2024) </w:t>
      </w:r>
      <w:r w:rsidRPr="00CB38F0">
        <w:rPr>
          <w:rFonts w:ascii="Arial" w:hAnsi="Arial" w:cs="Arial"/>
          <w:sz w:val="18"/>
          <w:szCs w:val="18"/>
          <w:lang w:val="el-GR"/>
        </w:rPr>
        <w:t>και 5.91% του</w:t>
      </w:r>
      <w:r w:rsidR="00403EA3">
        <w:rPr>
          <w:rFonts w:ascii="Arial" w:hAnsi="Arial" w:cs="Arial"/>
          <w:sz w:val="18"/>
          <w:szCs w:val="18"/>
          <w:lang w:val="el-GR"/>
        </w:rPr>
        <w:t xml:space="preserve"> </w:t>
      </w:r>
      <w:r w:rsidRPr="00CB38F0">
        <w:rPr>
          <w:rFonts w:ascii="Arial" w:hAnsi="Arial" w:cs="Arial"/>
          <w:sz w:val="18"/>
          <w:szCs w:val="18"/>
          <w:lang w:val="el-GR"/>
        </w:rPr>
        <w:t>δείκτη μόχλευσης μέτρου συνολικού ανοίγματος, με την οποία η Τράπεζα πρέπει να συμμορφωθεί μέχρι τις 31 Δεκεμβρίου 2024.</w:t>
      </w:r>
      <w:r w:rsidRPr="00CB38F0">
        <w:rPr>
          <w:rFonts w:ascii="Arial" w:hAnsi="Arial" w:cs="Arial"/>
          <w:sz w:val="18"/>
          <w:lang w:val="el-GR" w:eastAsia="el-GR"/>
        </w:rPr>
        <w:t xml:space="preserve"> Για περισσότερες πληροφορίες, βλέπε μέρος Β.2.2</w:t>
      </w:r>
      <w:r w:rsidR="00272991">
        <w:rPr>
          <w:rFonts w:ascii="Arial" w:hAnsi="Arial" w:cs="Arial"/>
          <w:sz w:val="18"/>
          <w:lang w:val="el-GR" w:eastAsia="el-GR"/>
        </w:rPr>
        <w:t>.2</w:t>
      </w:r>
      <w:r w:rsidRPr="00CB38F0">
        <w:rPr>
          <w:rFonts w:ascii="Arial" w:hAnsi="Arial" w:cs="Arial"/>
          <w:sz w:val="18"/>
          <w:lang w:val="el-GR" w:eastAsia="el-GR"/>
        </w:rPr>
        <w:t xml:space="preserve"> ‘Ελάχιστη Απαίτηση για Ίδια Κεφάλαια και Επιλέξιμες Υποχρεώσεις (MREL)’. </w:t>
      </w:r>
    </w:p>
    <w:p w14:paraId="7DA8A005" w14:textId="77777777" w:rsidR="00B766AA" w:rsidRPr="00CB38F0" w:rsidRDefault="00B766AA" w:rsidP="00F70A02">
      <w:pPr>
        <w:pStyle w:val="Footer"/>
        <w:tabs>
          <w:tab w:val="clear" w:pos="4153"/>
          <w:tab w:val="clear" w:pos="8306"/>
        </w:tabs>
        <w:jc w:val="both"/>
        <w:rPr>
          <w:rFonts w:ascii="Arial" w:hAnsi="Arial" w:cs="Arial"/>
          <w:sz w:val="18"/>
          <w:lang w:val="el-GR" w:eastAsia="el-GR"/>
        </w:rPr>
      </w:pPr>
    </w:p>
    <w:p w14:paraId="1AA9384D" w14:textId="36D323A3" w:rsidR="00BC042D" w:rsidRPr="00CB38F0" w:rsidRDefault="00977246" w:rsidP="00BC042D">
      <w:pPr>
        <w:pStyle w:val="BodyText3"/>
        <w:jc w:val="both"/>
        <w:rPr>
          <w:rFonts w:ascii="Arial" w:hAnsi="Arial" w:cs="Arial"/>
          <w:sz w:val="18"/>
          <w:szCs w:val="18"/>
          <w:lang w:val="el-GR" w:eastAsia="en-US"/>
        </w:rPr>
      </w:pPr>
      <w:r w:rsidRPr="00CB38F0">
        <w:rPr>
          <w:rFonts w:ascii="Arial" w:hAnsi="Arial" w:cs="Arial"/>
          <w:sz w:val="18"/>
          <w:szCs w:val="18"/>
          <w:lang w:val="el-GR" w:eastAsia="en-US"/>
        </w:rPr>
        <w:t>Τον Ιούλιο 2023, η Τράπεζα ολοκλήρωσε με επιτυχία την έκδοση και την τιμολόγηση ομολόγου υψηλής εξοφλητικής προτεραιότητας ύψους €350 εκατ. (το «Ομόλογο»). Το Ομόλογο εκδόθηκε στην ονομαστική του αξία και φέρει ετήσιο σταθερό επιτόκιο ύψους 7.375% το οποίο θα καταβάλλεται ετησίως αναδρομικά μέχρι την Ημερομηνία Πρόωρης Εξόφλησης στις 25 Ιουλίου 2027. Το Ομόλογο λήγει στις 25 Ιουλίου 2028, ωστόσο η Τράπεζα έχει το δικαίωμα πρόωρης εξόφλησης κατά την Ημερομηνία Πρόωρης Εξόφλησης, νοουμένου ότι πληρούνται συγκεκριμένες προϋποθέσεις (περιλαμβανομένης της λήψης των απαραίτητων εποπτικών εγκρίσεων) όπως ορίζονται στους Όρους και Προϋποθέσεις. Εάν το Ομόλογο δεν εξοφληθεί από την Τράπεζα κατά την Ημερομηνία Πρόωρης Εξόφλησης, το επιτόκιο από την Ημερομηνία Πρόωρης Εξόφλησης μέχρι την ημερομηνία λήξης θα είναι κυμαινόμενο, ίσο με 3 μηνών Euribor + 409.5 μ.β., και θα καταβάλλεται κάθε τρίμηνο αναδρομικά.</w:t>
      </w:r>
      <w:r w:rsidR="009A3414" w:rsidRPr="00CB38F0">
        <w:rPr>
          <w:rFonts w:ascii="Arial" w:hAnsi="Arial" w:cs="Arial"/>
          <w:sz w:val="18"/>
          <w:szCs w:val="18"/>
          <w:lang w:val="el-GR" w:eastAsia="en-US"/>
        </w:rPr>
        <w:t xml:space="preserve"> </w:t>
      </w:r>
      <w:r w:rsidRPr="00CB38F0">
        <w:rPr>
          <w:rFonts w:ascii="Arial" w:hAnsi="Arial" w:cs="Arial"/>
          <w:sz w:val="18"/>
          <w:szCs w:val="18"/>
          <w:lang w:val="el-GR" w:eastAsia="en-US"/>
        </w:rPr>
        <w:t xml:space="preserve">Το Ομόλογο πληροί τα κριτήρια για </w:t>
      </w:r>
      <w:r w:rsidR="00BC042D" w:rsidRPr="00CB38F0">
        <w:rPr>
          <w:rFonts w:ascii="Arial" w:hAnsi="Arial" w:cs="Arial"/>
          <w:sz w:val="18"/>
          <w:szCs w:val="18"/>
          <w:lang w:val="el-GR" w:eastAsia="en-US"/>
        </w:rPr>
        <w:t xml:space="preserve">την Ελάχιστη Απαίτηση Ιδίων Κεφαλαίων και Επιλέξιμων Υποχρεώσεων (MREL) συνεισφέροντας έτσι στις απαιτήσεις MREL της Τράπεζας. </w:t>
      </w:r>
    </w:p>
    <w:p w14:paraId="143E8452" w14:textId="68E1A854" w:rsidR="00977246" w:rsidRPr="00CB38F0" w:rsidRDefault="00977246" w:rsidP="00977246">
      <w:pPr>
        <w:pStyle w:val="BodyText3"/>
        <w:jc w:val="both"/>
        <w:rPr>
          <w:rFonts w:ascii="Arial" w:hAnsi="Arial" w:cs="Arial"/>
          <w:sz w:val="18"/>
          <w:szCs w:val="18"/>
          <w:lang w:val="el-GR" w:eastAsia="en-US"/>
        </w:rPr>
      </w:pPr>
    </w:p>
    <w:p w14:paraId="0766079E" w14:textId="3A4AFBF1" w:rsidR="00BC042D" w:rsidRPr="00CB38F0" w:rsidRDefault="009A3414" w:rsidP="00977246">
      <w:pPr>
        <w:pStyle w:val="BodyText3"/>
        <w:jc w:val="both"/>
        <w:rPr>
          <w:rFonts w:ascii="Arial" w:hAnsi="Arial" w:cs="Arial"/>
          <w:sz w:val="18"/>
          <w:szCs w:val="18"/>
          <w:lang w:val="el-GR" w:eastAsia="en-US"/>
        </w:rPr>
      </w:pPr>
      <w:r w:rsidRPr="00CB38F0">
        <w:rPr>
          <w:rFonts w:ascii="Arial" w:hAnsi="Arial" w:cs="Arial"/>
          <w:sz w:val="18"/>
          <w:szCs w:val="18"/>
          <w:lang w:val="el-GR" w:eastAsia="en-US"/>
        </w:rPr>
        <w:t>Τον Ιούνιο 2021, η Τράπεζα  προχώρησε στην πρώτη της συναλλαγή για σκοπούς ελάχιστης απαίτησης ιδίων κεφαλαίων και επιλέξιμων υποχρεώσεων (MREL) μέσω έκδοσης ομολόγου υψηλής εξοφλητικής προτεραιότητας ύψους €300 εκατ. (το ‘Ομόλογο Υψηλής Εξοφλητικής Προτεραιότητας’). Το Ομόλογο Υψηλής Εξοφλητικής Προτεραιότητας εκδόθηκε στην</w:t>
      </w:r>
      <w:r w:rsidR="006C6CF9" w:rsidRPr="00CB38F0">
        <w:rPr>
          <w:rFonts w:ascii="Arial" w:hAnsi="Arial" w:cs="Arial"/>
          <w:b/>
          <w:bCs/>
          <w:color w:val="FF9900"/>
          <w:sz w:val="24"/>
          <w:lang w:val="el-GR"/>
        </w:rPr>
        <w:t xml:space="preserve"> </w:t>
      </w:r>
      <w:r w:rsidRPr="00CB38F0">
        <w:rPr>
          <w:rFonts w:ascii="Arial" w:hAnsi="Arial" w:cs="Arial"/>
          <w:sz w:val="18"/>
          <w:szCs w:val="18"/>
          <w:lang w:val="el-GR" w:eastAsia="en-US"/>
        </w:rPr>
        <w:t>ονομαστική αξία και φέρει ετήσιο επιτόκιο ύψους 2.50%. Ο τόκος επί του Ομολόγου Υψηλής Εξοφλητικής Προτεραιότητας καταβάλλεται ετησίως αναδρομικά και θα επανακαθορισθεί στις 24 Ιουνίου 2026. Το Ομόλογο Υψηλής Εξοφλητικής Προτεραιότητας λήγει στις 24 Ιουνίου 2027. Η Τράπεζα έχει το δικαίωμα, κατά την απόλυτη της κρίση, για πρόωρη εξόφληση στις 24 Ιουνίου 2026, νοουμένου ότι πληρούνται συγκεκριμένες προϋποθέσεις όπως ορίζονται στους Όρους και Προϋποθέσεις, περιλαμβανομένης της λήψης των απαραίτητων εποπτικών εγκρίσεων. Το Ομόλογο Υψηλής Εξοφλητικής Προτεραιότητας πληροί τα σχετικά κριτήρια και συνεισφέρει στην ελάχιστη απαίτηση ιδίων κεφαλαίων και επιλέξιμων υποχρεώσεων (MREL) για την Τράπεζα.</w:t>
      </w:r>
    </w:p>
    <w:p w14:paraId="51B73472" w14:textId="77777777" w:rsidR="00870528" w:rsidRPr="006B5511" w:rsidRDefault="00870528" w:rsidP="00977246">
      <w:pPr>
        <w:pStyle w:val="BodyText3"/>
        <w:jc w:val="both"/>
        <w:rPr>
          <w:rFonts w:ascii="Arial" w:hAnsi="Arial" w:cs="Arial"/>
          <w:sz w:val="18"/>
          <w:szCs w:val="18"/>
          <w:highlight w:val="yellow"/>
          <w:lang w:val="el-GR" w:eastAsia="en-US"/>
        </w:rPr>
      </w:pPr>
    </w:p>
    <w:p w14:paraId="029C43D6" w14:textId="77777777" w:rsidR="00D022B5" w:rsidRDefault="00D022B5" w:rsidP="004953BA">
      <w:pPr>
        <w:spacing w:after="0" w:line="360" w:lineRule="auto"/>
        <w:rPr>
          <w:rFonts w:ascii="Arial" w:eastAsia="Times New Roman" w:hAnsi="Arial" w:cs="Arial"/>
          <w:b/>
          <w:bCs/>
          <w:i/>
          <w:iCs/>
          <w:color w:val="FF9900"/>
          <w:sz w:val="20"/>
          <w:szCs w:val="24"/>
          <w:lang w:val="el-GR" w:eastAsia="el-GR"/>
        </w:rPr>
      </w:pPr>
    </w:p>
    <w:p w14:paraId="07E674B3" w14:textId="77777777" w:rsidR="00D022B5" w:rsidRDefault="00D022B5" w:rsidP="004953BA">
      <w:pPr>
        <w:spacing w:after="0" w:line="360" w:lineRule="auto"/>
        <w:rPr>
          <w:rFonts w:ascii="Arial" w:eastAsia="Times New Roman" w:hAnsi="Arial" w:cs="Arial"/>
          <w:b/>
          <w:bCs/>
          <w:i/>
          <w:iCs/>
          <w:color w:val="FF9900"/>
          <w:sz w:val="20"/>
          <w:szCs w:val="24"/>
          <w:lang w:val="el-GR" w:eastAsia="el-GR"/>
        </w:rPr>
      </w:pPr>
    </w:p>
    <w:p w14:paraId="3A69A83D" w14:textId="77777777" w:rsidR="00D022B5" w:rsidRPr="006A1797" w:rsidRDefault="00D022B5" w:rsidP="00D022B5">
      <w:pPr>
        <w:rPr>
          <w:rFonts w:ascii="Arial" w:hAnsi="Arial" w:cs="Arial"/>
          <w:b/>
          <w:bCs/>
          <w:color w:val="FF9900"/>
          <w:sz w:val="24"/>
          <w:lang w:val="el-GR"/>
        </w:rPr>
      </w:pPr>
      <w:r w:rsidRPr="00132262">
        <w:rPr>
          <w:rFonts w:ascii="Arial" w:hAnsi="Arial" w:cs="Arial"/>
          <w:b/>
          <w:bCs/>
          <w:color w:val="FF9900"/>
          <w:sz w:val="24"/>
          <w:lang w:val="el-GR"/>
        </w:rPr>
        <w:lastRenderedPageBreak/>
        <w:t xml:space="preserve">Β. Οικονομικά Αποτελέσματα Συγκροτήματος – Υποκείμενη Βάση </w:t>
      </w:r>
      <w:r w:rsidRPr="00132262">
        <w:rPr>
          <w:rFonts w:ascii="Arial" w:hAnsi="Arial" w:cs="Arial"/>
          <w:color w:val="FF9900"/>
          <w:sz w:val="24"/>
          <w:lang w:val="el-GR"/>
        </w:rPr>
        <w:t>(συνέχεια)</w:t>
      </w:r>
    </w:p>
    <w:p w14:paraId="02680062" w14:textId="77777777" w:rsidR="00D022B5" w:rsidRPr="006A1797" w:rsidRDefault="00D022B5" w:rsidP="00D022B5">
      <w:pPr>
        <w:rPr>
          <w:rFonts w:ascii="Arial" w:hAnsi="Arial" w:cs="Arial"/>
          <w:b/>
          <w:bCs/>
          <w:color w:val="FF9900"/>
          <w:sz w:val="24"/>
          <w:lang w:val="el-GR"/>
        </w:rPr>
      </w:pPr>
      <w:r w:rsidRPr="00132262">
        <w:rPr>
          <w:rFonts w:ascii="Arial" w:hAnsi="Arial" w:cs="Arial"/>
          <w:b/>
          <w:bCs/>
          <w:color w:val="FF9900"/>
          <w:sz w:val="23"/>
          <w:szCs w:val="23"/>
          <w:lang w:val="el-GR"/>
        </w:rPr>
        <w:t xml:space="preserve">Β.2 Ανάλυση Ισολογισμού </w:t>
      </w:r>
      <w:r w:rsidRPr="00132262">
        <w:rPr>
          <w:rFonts w:ascii="Arial" w:hAnsi="Arial" w:cs="Arial"/>
          <w:color w:val="FF9900"/>
          <w:sz w:val="23"/>
          <w:szCs w:val="23"/>
          <w:lang w:val="el-GR"/>
        </w:rPr>
        <w:t>(συνέχεια)</w:t>
      </w:r>
    </w:p>
    <w:p w14:paraId="6AE3695E" w14:textId="77777777" w:rsidR="00D022B5" w:rsidRPr="006A1797" w:rsidRDefault="00D022B5" w:rsidP="00D022B5">
      <w:pPr>
        <w:rPr>
          <w:rFonts w:ascii="Arial" w:hAnsi="Arial" w:cs="Arial"/>
          <w:b/>
          <w:bCs/>
          <w:color w:val="FF9900"/>
          <w:sz w:val="23"/>
          <w:szCs w:val="23"/>
          <w:lang w:val="el-GR"/>
        </w:rPr>
      </w:pPr>
      <w:r w:rsidRPr="00CB38F0">
        <w:rPr>
          <w:rFonts w:ascii="Arial" w:eastAsia="Times New Roman" w:hAnsi="Arial" w:cs="Arial"/>
          <w:b/>
          <w:bCs/>
          <w:color w:val="FF9900"/>
          <w:lang w:val="el-GR" w:eastAsia="el-GR"/>
        </w:rPr>
        <w:t xml:space="preserve">Β.2.3 Χρηματοδότηση και </w:t>
      </w:r>
      <w:r w:rsidRPr="001A4264">
        <w:rPr>
          <w:rFonts w:ascii="Arial" w:eastAsia="Times New Roman" w:hAnsi="Arial" w:cs="Arial"/>
          <w:b/>
          <w:bCs/>
          <w:color w:val="FF9900"/>
          <w:lang w:val="el-GR" w:eastAsia="el-GR"/>
        </w:rPr>
        <w:t>Ρευστότητα</w:t>
      </w:r>
      <w:r w:rsidRPr="006A1797">
        <w:rPr>
          <w:rFonts w:ascii="Arial" w:eastAsia="Times New Roman" w:hAnsi="Arial" w:cs="Arial"/>
          <w:b/>
          <w:bCs/>
          <w:color w:val="FF9900"/>
          <w:lang w:val="el-GR" w:eastAsia="el-GR"/>
        </w:rPr>
        <w:t xml:space="preserve"> </w:t>
      </w:r>
      <w:r w:rsidRPr="006A1797">
        <w:rPr>
          <w:rFonts w:ascii="Arial" w:hAnsi="Arial" w:cs="Arial"/>
          <w:color w:val="FF9900"/>
          <w:lang w:val="el-GR"/>
        </w:rPr>
        <w:t>(συνέχεια)</w:t>
      </w:r>
    </w:p>
    <w:p w14:paraId="4737955B" w14:textId="2189F179" w:rsidR="00D022B5" w:rsidRPr="00D022B5" w:rsidRDefault="00D022B5" w:rsidP="00D022B5">
      <w:pPr>
        <w:rPr>
          <w:rFonts w:ascii="Arial" w:hAnsi="Arial" w:cs="Arial"/>
          <w:b/>
          <w:bCs/>
          <w:color w:val="FF9900"/>
          <w:sz w:val="23"/>
          <w:szCs w:val="23"/>
          <w:lang w:val="el-GR"/>
        </w:rPr>
      </w:pPr>
      <w:r w:rsidRPr="001A4264">
        <w:rPr>
          <w:rFonts w:ascii="Arial" w:eastAsia="Times New Roman" w:hAnsi="Arial" w:cs="Arial"/>
          <w:b/>
          <w:bCs/>
          <w:color w:val="FF9900"/>
          <w:sz w:val="20"/>
          <w:szCs w:val="20"/>
          <w:lang w:val="el-GR" w:eastAsia="el-GR"/>
        </w:rPr>
        <w:t xml:space="preserve">Χρηματοδότηση </w:t>
      </w:r>
      <w:r w:rsidRPr="006A1797">
        <w:rPr>
          <w:rFonts w:ascii="Arial" w:hAnsi="Arial" w:cs="Arial"/>
          <w:color w:val="FF9900"/>
          <w:sz w:val="20"/>
          <w:szCs w:val="20"/>
          <w:lang w:val="el-GR"/>
        </w:rPr>
        <w:t>(συνέχεια)</w:t>
      </w:r>
    </w:p>
    <w:p w14:paraId="5771CC83" w14:textId="3141DFE8" w:rsidR="00352599" w:rsidRPr="00CB38F0" w:rsidRDefault="00352599" w:rsidP="004953BA">
      <w:pPr>
        <w:spacing w:after="0" w:line="360" w:lineRule="auto"/>
        <w:rPr>
          <w:rFonts w:ascii="Arial" w:hAnsi="Arial" w:cs="Arial"/>
          <w:sz w:val="18"/>
          <w:szCs w:val="18"/>
          <w:lang w:val="el-GR" w:eastAsia="el-GR"/>
        </w:rPr>
      </w:pPr>
      <w:r w:rsidRPr="00CB38F0">
        <w:rPr>
          <w:rFonts w:ascii="Arial" w:eastAsia="Times New Roman" w:hAnsi="Arial" w:cs="Arial"/>
          <w:b/>
          <w:bCs/>
          <w:i/>
          <w:iCs/>
          <w:color w:val="FF9900"/>
          <w:sz w:val="20"/>
          <w:szCs w:val="24"/>
          <w:lang w:val="el-GR" w:eastAsia="el-GR"/>
        </w:rPr>
        <w:t xml:space="preserve">Ρευστότητα </w:t>
      </w:r>
    </w:p>
    <w:p w14:paraId="23CD17A2" w14:textId="6372D8CA" w:rsidR="00F70DD1" w:rsidRPr="00CB38F0" w:rsidRDefault="00352599" w:rsidP="00EC34F0">
      <w:pPr>
        <w:widowControl w:val="0"/>
        <w:autoSpaceDE w:val="0"/>
        <w:autoSpaceDN w:val="0"/>
        <w:adjustRightInd w:val="0"/>
        <w:spacing w:after="0" w:line="240" w:lineRule="auto"/>
        <w:jc w:val="both"/>
        <w:rPr>
          <w:rFonts w:ascii="Arial" w:hAnsi="Arial" w:cs="Arial"/>
          <w:sz w:val="18"/>
          <w:szCs w:val="18"/>
          <w:lang w:val="el-GR" w:eastAsia="el-GR"/>
        </w:rPr>
      </w:pPr>
      <w:r w:rsidRPr="00CB38F0">
        <w:rPr>
          <w:rFonts w:ascii="Arial" w:hAnsi="Arial" w:cs="Arial"/>
          <w:sz w:val="18"/>
          <w:szCs w:val="18"/>
          <w:lang w:val="el-GR" w:eastAsia="el-GR"/>
        </w:rPr>
        <w:t xml:space="preserve">Στις </w:t>
      </w:r>
      <w:r w:rsidR="00FD3DD0" w:rsidRPr="00CB38F0">
        <w:rPr>
          <w:rFonts w:ascii="Arial" w:hAnsi="Arial" w:cs="Arial"/>
          <w:sz w:val="18"/>
          <w:szCs w:val="18"/>
          <w:lang w:val="el-GR" w:eastAsia="el-GR"/>
        </w:rPr>
        <w:t xml:space="preserve">30 Ιουνίου </w:t>
      </w:r>
      <w:r w:rsidR="006D6749" w:rsidRPr="00CB38F0">
        <w:rPr>
          <w:rFonts w:ascii="Arial" w:hAnsi="Arial" w:cs="Arial"/>
          <w:sz w:val="18"/>
          <w:szCs w:val="18"/>
          <w:lang w:val="el-GR" w:eastAsia="el-GR"/>
        </w:rPr>
        <w:t>2024</w:t>
      </w:r>
      <w:r w:rsidRPr="00CB38F0">
        <w:rPr>
          <w:rFonts w:ascii="Arial" w:hAnsi="Arial" w:cs="Arial"/>
          <w:sz w:val="18"/>
          <w:szCs w:val="18"/>
          <w:lang w:val="el-GR" w:eastAsia="el-GR"/>
        </w:rPr>
        <w:t>,</w:t>
      </w:r>
      <w:r w:rsidR="006D6749" w:rsidRPr="00CB38F0">
        <w:rPr>
          <w:rFonts w:ascii="Arial" w:hAnsi="Arial" w:cs="Arial"/>
          <w:sz w:val="18"/>
          <w:szCs w:val="18"/>
          <w:lang w:val="el-GR" w:eastAsia="el-GR"/>
        </w:rPr>
        <w:t xml:space="preserve"> </w:t>
      </w:r>
      <w:r w:rsidRPr="00CB38F0">
        <w:rPr>
          <w:rFonts w:ascii="Arial" w:hAnsi="Arial" w:cs="Arial"/>
          <w:sz w:val="18"/>
          <w:szCs w:val="18"/>
          <w:lang w:val="el-GR" w:eastAsia="el-GR"/>
        </w:rPr>
        <w:t xml:space="preserve">ο Δείκτης Κάλυψης Ρευστότητας του Συγκροτήματος (ΔΚΡ) ανήλθε σε </w:t>
      </w:r>
      <w:r w:rsidR="00307ACE" w:rsidRPr="006A1797">
        <w:rPr>
          <w:rFonts w:ascii="Arial" w:hAnsi="Arial" w:cs="Arial"/>
          <w:sz w:val="18"/>
          <w:szCs w:val="18"/>
          <w:lang w:val="el-GR" w:eastAsia="el-GR"/>
        </w:rPr>
        <w:t>304</w:t>
      </w:r>
      <w:r w:rsidRPr="00CB38F0">
        <w:rPr>
          <w:rFonts w:ascii="Arial" w:hAnsi="Arial" w:cs="Arial"/>
          <w:sz w:val="18"/>
          <w:szCs w:val="18"/>
          <w:lang w:val="el-GR" w:eastAsia="el-GR"/>
        </w:rPr>
        <w:t>% (σε σύγκριση με</w:t>
      </w:r>
      <w:r w:rsidR="00FD3DD0" w:rsidRPr="00CB38F0">
        <w:rPr>
          <w:rFonts w:ascii="Arial" w:hAnsi="Arial" w:cs="Arial"/>
          <w:sz w:val="18"/>
          <w:szCs w:val="18"/>
          <w:lang w:val="el-GR" w:eastAsia="el-GR"/>
        </w:rPr>
        <w:t xml:space="preserve"> 315% στις 31 Μαρτίου 2024 και με</w:t>
      </w:r>
      <w:r w:rsidR="00C538D0" w:rsidRPr="00CB38F0">
        <w:rPr>
          <w:rFonts w:ascii="Arial" w:hAnsi="Arial" w:cs="Arial"/>
          <w:sz w:val="18"/>
          <w:szCs w:val="18"/>
          <w:lang w:val="el-GR" w:eastAsia="el-GR"/>
        </w:rPr>
        <w:t xml:space="preserve"> </w:t>
      </w:r>
      <w:r w:rsidR="006D6749" w:rsidRPr="00CB38F0">
        <w:rPr>
          <w:rFonts w:ascii="Arial" w:hAnsi="Arial" w:cs="Arial"/>
          <w:sz w:val="18"/>
          <w:szCs w:val="18"/>
          <w:lang w:val="el-GR" w:eastAsia="el-GR"/>
        </w:rPr>
        <w:t>359</w:t>
      </w:r>
      <w:r w:rsidR="00EC6714" w:rsidRPr="00CB38F0">
        <w:rPr>
          <w:rFonts w:ascii="Arial" w:hAnsi="Arial" w:cs="Arial"/>
          <w:sz w:val="18"/>
          <w:szCs w:val="18"/>
          <w:lang w:val="el-GR" w:eastAsia="el-GR"/>
        </w:rPr>
        <w:t xml:space="preserve">% </w:t>
      </w:r>
      <w:r w:rsidR="00C538D0" w:rsidRPr="00CB38F0">
        <w:rPr>
          <w:rFonts w:ascii="Arial" w:hAnsi="Arial" w:cs="Arial"/>
          <w:sz w:val="18"/>
          <w:szCs w:val="18"/>
          <w:lang w:val="el-GR" w:eastAsia="el-GR"/>
        </w:rPr>
        <w:t xml:space="preserve">στις </w:t>
      </w:r>
      <w:r w:rsidR="006D6749" w:rsidRPr="00CB38F0">
        <w:rPr>
          <w:rFonts w:ascii="Arial" w:hAnsi="Arial" w:cs="Arial"/>
          <w:sz w:val="18"/>
          <w:szCs w:val="18"/>
          <w:lang w:val="el-GR" w:eastAsia="el-GR"/>
        </w:rPr>
        <w:t>31 Δεκεμβρίου 2023</w:t>
      </w:r>
      <w:r w:rsidRPr="00CB38F0">
        <w:rPr>
          <w:rFonts w:ascii="Arial" w:hAnsi="Arial" w:cs="Arial"/>
          <w:sz w:val="18"/>
          <w:szCs w:val="18"/>
          <w:lang w:val="el-GR" w:eastAsia="el-GR"/>
        </w:rPr>
        <w:t>),</w:t>
      </w:r>
      <w:r w:rsidR="00E64CFC" w:rsidRPr="00CB38F0">
        <w:rPr>
          <w:rFonts w:ascii="Arial" w:hAnsi="Arial" w:cs="Arial"/>
          <w:sz w:val="18"/>
          <w:szCs w:val="18"/>
          <w:lang w:val="el-GR" w:eastAsia="el-GR"/>
        </w:rPr>
        <w:t xml:space="preserve"> </w:t>
      </w:r>
      <w:r w:rsidRPr="00CB38F0">
        <w:rPr>
          <w:rFonts w:ascii="Arial" w:hAnsi="Arial" w:cs="Arial"/>
          <w:sz w:val="18"/>
          <w:szCs w:val="18"/>
          <w:lang w:val="el-GR" w:eastAsia="el-GR"/>
        </w:rPr>
        <w:t>πολύ πιο πάνω από τις ελάχιστες κανονιστικές απαιτήσεις ύψους 100%.</w:t>
      </w:r>
      <w:r w:rsidR="006D6749" w:rsidRPr="00CB38F0">
        <w:rPr>
          <w:rFonts w:ascii="Arial" w:hAnsi="Arial" w:cs="Arial"/>
          <w:sz w:val="18"/>
          <w:szCs w:val="18"/>
          <w:lang w:val="el-GR" w:eastAsia="el-GR"/>
        </w:rPr>
        <w:t xml:space="preserve"> </w:t>
      </w:r>
      <w:r w:rsidRPr="00CB38F0">
        <w:rPr>
          <w:rFonts w:ascii="Arial" w:hAnsi="Arial" w:cs="Arial"/>
          <w:sz w:val="18"/>
          <w:szCs w:val="18"/>
          <w:lang w:val="el-GR" w:eastAsia="el-GR"/>
        </w:rPr>
        <w:t xml:space="preserve">Το πλεόνασμα ρευστότητας στον ΔΚΡ στις </w:t>
      </w:r>
      <w:r w:rsidR="00FD3DD0" w:rsidRPr="00FD3DD0">
        <w:rPr>
          <w:rFonts w:ascii="Arial" w:hAnsi="Arial" w:cs="Arial"/>
          <w:sz w:val="18"/>
          <w:szCs w:val="18"/>
          <w:lang w:val="el-GR" w:eastAsia="el-GR"/>
        </w:rPr>
        <w:t xml:space="preserve">30 Ιουνίου 2024 </w:t>
      </w:r>
      <w:r w:rsidRPr="00CB38F0">
        <w:rPr>
          <w:rFonts w:ascii="Arial" w:hAnsi="Arial" w:cs="Arial"/>
          <w:sz w:val="18"/>
          <w:szCs w:val="18"/>
          <w:lang w:val="el-GR" w:eastAsia="el-GR"/>
        </w:rPr>
        <w:t xml:space="preserve">ανήλθε σε </w:t>
      </w:r>
      <w:r w:rsidR="00307ACE" w:rsidRPr="006A1797">
        <w:rPr>
          <w:rFonts w:ascii="Arial" w:eastAsia="Times New Roman" w:hAnsi="Arial" w:cs="Arial"/>
          <w:sz w:val="18"/>
          <w:szCs w:val="18"/>
          <w:lang w:val="el-GR"/>
        </w:rPr>
        <w:t>€7.5</w:t>
      </w:r>
      <w:r w:rsidR="00307ACE">
        <w:rPr>
          <w:rFonts w:ascii="Arial" w:hAnsi="Arial" w:cs="Arial"/>
          <w:color w:val="FF0000"/>
          <w:sz w:val="18"/>
          <w:szCs w:val="18"/>
          <w:lang w:val="el-GR" w:eastAsia="el-GR"/>
        </w:rPr>
        <w:t xml:space="preserve"> </w:t>
      </w:r>
      <w:r w:rsidRPr="00CB38F0">
        <w:rPr>
          <w:rFonts w:ascii="Arial" w:hAnsi="Arial" w:cs="Arial"/>
          <w:sz w:val="18"/>
          <w:szCs w:val="18"/>
          <w:lang w:val="el-GR" w:eastAsia="el-GR"/>
        </w:rPr>
        <w:t>δις (σε σύγκριση με</w:t>
      </w:r>
      <w:r w:rsidR="00C538D0" w:rsidRPr="00CB38F0">
        <w:rPr>
          <w:rFonts w:ascii="Arial" w:hAnsi="Arial" w:cs="Arial"/>
          <w:sz w:val="18"/>
          <w:szCs w:val="18"/>
          <w:lang w:val="el-GR" w:eastAsia="el-GR"/>
        </w:rPr>
        <w:t xml:space="preserve"> </w:t>
      </w:r>
      <w:r w:rsidR="00FD3DD0" w:rsidRPr="00CB38F0">
        <w:rPr>
          <w:rFonts w:ascii="Arial" w:hAnsi="Arial" w:cs="Arial"/>
          <w:sz w:val="18"/>
          <w:szCs w:val="18"/>
          <w:lang w:val="el-GR" w:eastAsia="el-GR"/>
        </w:rPr>
        <w:t xml:space="preserve">€7.3 δις στις 31 Μαρτίου 2024 και με </w:t>
      </w:r>
      <w:r w:rsidR="00EC6714" w:rsidRPr="00CB38F0">
        <w:rPr>
          <w:rFonts w:ascii="Arial" w:hAnsi="Arial" w:cs="Arial"/>
          <w:sz w:val="18"/>
          <w:szCs w:val="18"/>
          <w:lang w:val="el-GR" w:eastAsia="el-GR"/>
        </w:rPr>
        <w:t>€</w:t>
      </w:r>
      <w:r w:rsidR="006D6749" w:rsidRPr="00CB38F0">
        <w:rPr>
          <w:rFonts w:ascii="Arial" w:hAnsi="Arial" w:cs="Arial"/>
          <w:sz w:val="18"/>
          <w:szCs w:val="18"/>
          <w:lang w:val="el-GR" w:eastAsia="el-GR"/>
        </w:rPr>
        <w:t xml:space="preserve">9.1 </w:t>
      </w:r>
      <w:r w:rsidR="00C538D0" w:rsidRPr="00CB38F0">
        <w:rPr>
          <w:rFonts w:ascii="Arial" w:hAnsi="Arial" w:cs="Arial"/>
          <w:sz w:val="18"/>
          <w:szCs w:val="18"/>
          <w:lang w:val="el-GR" w:eastAsia="el-GR"/>
        </w:rPr>
        <w:t xml:space="preserve">δις στις </w:t>
      </w:r>
      <w:r w:rsidR="006D6749" w:rsidRPr="00CB38F0">
        <w:rPr>
          <w:rFonts w:ascii="Arial" w:hAnsi="Arial" w:cs="Arial"/>
          <w:sz w:val="18"/>
          <w:szCs w:val="18"/>
          <w:lang w:val="el-GR" w:eastAsia="el-GR"/>
        </w:rPr>
        <w:t>31 Δεκεμβρίου 2023)</w:t>
      </w:r>
      <w:r w:rsidR="00EC34F0">
        <w:rPr>
          <w:rFonts w:ascii="Arial" w:hAnsi="Arial" w:cs="Arial"/>
          <w:sz w:val="18"/>
          <w:szCs w:val="18"/>
          <w:lang w:val="el-GR" w:eastAsia="el-GR"/>
        </w:rPr>
        <w:t xml:space="preserve">, </w:t>
      </w:r>
      <w:r w:rsidR="00307ACE">
        <w:rPr>
          <w:rFonts w:ascii="Arial" w:hAnsi="Arial" w:cs="Arial"/>
          <w:sz w:val="18"/>
          <w:szCs w:val="18"/>
          <w:lang w:val="el-GR" w:eastAsia="el-GR"/>
        </w:rPr>
        <w:t>αυξημένο κατά 3% σε τριμηνιαία βάση</w:t>
      </w:r>
      <w:r w:rsidR="00EC34F0" w:rsidRPr="00333958">
        <w:rPr>
          <w:rFonts w:ascii="Arial" w:hAnsi="Arial" w:cs="Arial"/>
          <w:sz w:val="18"/>
          <w:szCs w:val="18"/>
          <w:lang w:val="el-GR" w:eastAsia="el-GR"/>
        </w:rPr>
        <w:t>,</w:t>
      </w:r>
      <w:r w:rsidR="00307ACE">
        <w:rPr>
          <w:rFonts w:ascii="Arial" w:hAnsi="Arial" w:cs="Arial"/>
          <w:sz w:val="18"/>
          <w:szCs w:val="18"/>
          <w:lang w:val="el-GR" w:eastAsia="el-GR"/>
        </w:rPr>
        <w:t xml:space="preserve"> </w:t>
      </w:r>
      <w:r w:rsidR="00EC34F0" w:rsidRPr="00333958">
        <w:rPr>
          <w:rFonts w:ascii="Arial" w:hAnsi="Arial" w:cs="Arial"/>
          <w:sz w:val="18"/>
          <w:szCs w:val="18"/>
          <w:lang w:val="el-GR" w:eastAsia="el-GR"/>
        </w:rPr>
        <w:t>καθώς</w:t>
      </w:r>
      <w:r w:rsidR="00307ACE">
        <w:rPr>
          <w:rFonts w:ascii="Arial" w:hAnsi="Arial" w:cs="Arial"/>
          <w:sz w:val="18"/>
          <w:szCs w:val="18"/>
          <w:lang w:val="el-GR" w:eastAsia="el-GR"/>
        </w:rPr>
        <w:t xml:space="preserve"> η</w:t>
      </w:r>
      <w:r w:rsidR="00EC34F0" w:rsidRPr="00333958">
        <w:rPr>
          <w:rFonts w:ascii="Arial" w:hAnsi="Arial" w:cs="Arial"/>
          <w:sz w:val="18"/>
          <w:szCs w:val="18"/>
          <w:lang w:val="el-GR" w:eastAsia="el-GR"/>
        </w:rPr>
        <w:t xml:space="preserve"> </w:t>
      </w:r>
      <w:r w:rsidR="00307ACE" w:rsidRPr="00CB38F0">
        <w:rPr>
          <w:rFonts w:ascii="Arial" w:hAnsi="Arial" w:cs="Arial"/>
          <w:sz w:val="18"/>
          <w:szCs w:val="18"/>
          <w:lang w:val="el-GR" w:eastAsia="el-GR"/>
        </w:rPr>
        <w:t xml:space="preserve">έκδοση </w:t>
      </w:r>
      <w:r w:rsidR="00307ACE" w:rsidRPr="00CB38F0">
        <w:rPr>
          <w:rFonts w:ascii="Arial" w:hAnsi="Arial" w:cs="Arial"/>
          <w:color w:val="000000" w:themeColor="text1"/>
          <w:sz w:val="18"/>
          <w:szCs w:val="18"/>
          <w:lang w:val="el-GR"/>
        </w:rPr>
        <w:t>πράσινου ομολόγου υψηλής εξοφλητικής προτεραιότητας ύψους €300 εκατ. τον Απρίλιο 2024</w:t>
      </w:r>
      <w:r w:rsidR="00307ACE">
        <w:rPr>
          <w:rFonts w:ascii="Arial" w:hAnsi="Arial" w:cs="Arial"/>
          <w:sz w:val="18"/>
          <w:szCs w:val="18"/>
          <w:lang w:val="el-GR" w:eastAsia="el-GR"/>
        </w:rPr>
        <w:t xml:space="preserve"> και η αύξηση των καταθέσεων κατά 2% σε τριμηνιαία βάση αντισταθμίζουν εν μέρη την</w:t>
      </w:r>
      <w:r w:rsidR="00DD4F43">
        <w:rPr>
          <w:rFonts w:ascii="Arial" w:hAnsi="Arial" w:cs="Arial"/>
          <w:sz w:val="18"/>
          <w:szCs w:val="18"/>
          <w:lang w:val="el-GR" w:eastAsia="el-GR"/>
        </w:rPr>
        <w:t xml:space="preserve"> επίδραση από την</w:t>
      </w:r>
      <w:r w:rsidR="00307ACE">
        <w:rPr>
          <w:rFonts w:ascii="Arial" w:hAnsi="Arial" w:cs="Arial"/>
          <w:sz w:val="18"/>
          <w:szCs w:val="18"/>
          <w:lang w:val="el-GR" w:eastAsia="el-GR"/>
        </w:rPr>
        <w:t xml:space="preserve"> </w:t>
      </w:r>
      <w:r w:rsidR="00EC34F0" w:rsidRPr="00333958">
        <w:rPr>
          <w:rFonts w:ascii="Arial" w:hAnsi="Arial" w:cs="Arial"/>
          <w:sz w:val="18"/>
          <w:szCs w:val="18"/>
          <w:lang w:val="el-GR" w:eastAsia="el-GR"/>
        </w:rPr>
        <w:t xml:space="preserve">αποπληρωμή του </w:t>
      </w:r>
      <w:r w:rsidR="00EC34F0" w:rsidRPr="00CB38F0">
        <w:rPr>
          <w:rFonts w:ascii="Arial" w:hAnsi="Arial" w:cs="Arial"/>
          <w:sz w:val="18"/>
          <w:szCs w:val="18"/>
          <w:lang w:val="el-GR" w:eastAsia="el-GR"/>
        </w:rPr>
        <w:t>υπόλοιπου ΣΠΠΜΑ ΙΙΙ ύψους €300 εκατ</w:t>
      </w:r>
      <w:r w:rsidR="00EC34F0" w:rsidRPr="00333958">
        <w:rPr>
          <w:rFonts w:ascii="Arial" w:hAnsi="Arial" w:cs="Arial"/>
          <w:sz w:val="18"/>
          <w:szCs w:val="18"/>
          <w:lang w:val="el-GR" w:eastAsia="el-GR"/>
        </w:rPr>
        <w:t>. τον Ιούνιο 2024</w:t>
      </w:r>
      <w:r w:rsidR="00307ACE">
        <w:rPr>
          <w:rFonts w:ascii="Arial" w:hAnsi="Arial" w:cs="Arial"/>
          <w:sz w:val="18"/>
          <w:szCs w:val="18"/>
          <w:lang w:val="el-GR" w:eastAsia="el-GR"/>
        </w:rPr>
        <w:t xml:space="preserve">. </w:t>
      </w:r>
    </w:p>
    <w:p w14:paraId="37D475F6" w14:textId="77777777" w:rsidR="00F70DD1" w:rsidRPr="00CB38F0" w:rsidRDefault="00F70DD1" w:rsidP="00CA36A6">
      <w:pPr>
        <w:widowControl w:val="0"/>
        <w:autoSpaceDE w:val="0"/>
        <w:autoSpaceDN w:val="0"/>
        <w:adjustRightInd w:val="0"/>
        <w:spacing w:after="0" w:line="240" w:lineRule="auto"/>
        <w:jc w:val="both"/>
        <w:rPr>
          <w:rFonts w:ascii="Arial" w:hAnsi="Arial" w:cs="Arial"/>
          <w:sz w:val="18"/>
          <w:szCs w:val="18"/>
          <w:lang w:val="el-GR"/>
        </w:rPr>
      </w:pPr>
    </w:p>
    <w:p w14:paraId="68CF1D4D" w14:textId="6C4FBA13" w:rsidR="005B1FD5" w:rsidRPr="00CB38F0" w:rsidRDefault="00E70DFD" w:rsidP="00CA36A6">
      <w:pPr>
        <w:spacing w:after="0" w:line="240" w:lineRule="auto"/>
        <w:jc w:val="both"/>
        <w:rPr>
          <w:rFonts w:ascii="Arial" w:hAnsi="Arial" w:cs="Arial"/>
          <w:sz w:val="18"/>
          <w:szCs w:val="18"/>
          <w:lang w:val="el-GR"/>
        </w:rPr>
      </w:pPr>
      <w:r w:rsidRPr="00CB38F0">
        <w:rPr>
          <w:rFonts w:ascii="Arial" w:hAnsi="Arial" w:cs="Arial"/>
          <w:sz w:val="18"/>
          <w:szCs w:val="18"/>
          <w:lang w:val="el-GR"/>
        </w:rPr>
        <w:t xml:space="preserve">Στις </w:t>
      </w:r>
      <w:r w:rsidR="00333958" w:rsidRPr="00CB38F0">
        <w:rPr>
          <w:rFonts w:ascii="Arial" w:hAnsi="Arial" w:cs="Arial"/>
          <w:sz w:val="18"/>
          <w:szCs w:val="18"/>
          <w:lang w:val="el-GR" w:eastAsia="el-GR"/>
        </w:rPr>
        <w:t xml:space="preserve">30 Ιουνίου </w:t>
      </w:r>
      <w:r w:rsidR="006D6749" w:rsidRPr="00CB38F0">
        <w:rPr>
          <w:rFonts w:ascii="Arial" w:hAnsi="Arial" w:cs="Arial"/>
          <w:sz w:val="18"/>
          <w:szCs w:val="18"/>
          <w:lang w:val="el-GR" w:eastAsia="el-GR"/>
        </w:rPr>
        <w:t>2024</w:t>
      </w:r>
      <w:r w:rsidRPr="00CB38F0">
        <w:rPr>
          <w:rFonts w:ascii="Arial" w:hAnsi="Arial" w:cs="Arial"/>
          <w:sz w:val="18"/>
          <w:szCs w:val="18"/>
          <w:lang w:val="el-GR"/>
        </w:rPr>
        <w:t>, ο Δείκτης Καθαρής Σταθερής Χρηματοδότησης (ΔΚΣΧ) του Συγκροτήματος ανήλθε</w:t>
      </w:r>
      <w:r w:rsidR="008A6070" w:rsidRPr="00CB38F0">
        <w:rPr>
          <w:rFonts w:ascii="Arial" w:hAnsi="Arial" w:cs="Arial"/>
          <w:sz w:val="18"/>
          <w:szCs w:val="18"/>
          <w:lang w:val="el-GR"/>
        </w:rPr>
        <w:t xml:space="preserve"> </w:t>
      </w:r>
      <w:r w:rsidRPr="00CB38F0">
        <w:rPr>
          <w:rFonts w:ascii="Arial" w:hAnsi="Arial" w:cs="Arial"/>
          <w:sz w:val="18"/>
          <w:szCs w:val="18"/>
          <w:lang w:val="el-GR"/>
        </w:rPr>
        <w:t>σ</w:t>
      </w:r>
      <w:r w:rsidR="00CD0BDC" w:rsidRPr="00CB38F0">
        <w:rPr>
          <w:rFonts w:ascii="Arial" w:hAnsi="Arial" w:cs="Arial"/>
          <w:sz w:val="18"/>
          <w:szCs w:val="18"/>
          <w:lang w:val="el-GR"/>
        </w:rPr>
        <w:t>ε</w:t>
      </w:r>
      <w:r w:rsidR="00307ACE">
        <w:rPr>
          <w:rFonts w:ascii="Arial" w:hAnsi="Arial" w:cs="Arial"/>
          <w:sz w:val="18"/>
          <w:szCs w:val="18"/>
          <w:lang w:val="el-GR"/>
        </w:rPr>
        <w:t xml:space="preserve"> </w:t>
      </w:r>
      <w:r w:rsidR="00307ACE" w:rsidRPr="006A1797">
        <w:rPr>
          <w:rFonts w:ascii="Arial" w:hAnsi="Arial" w:cs="Arial"/>
          <w:sz w:val="18"/>
          <w:szCs w:val="18"/>
          <w:lang w:val="el-GR"/>
        </w:rPr>
        <w:t>156</w:t>
      </w:r>
      <w:r w:rsidRPr="00CB38F0">
        <w:rPr>
          <w:rFonts w:ascii="Arial" w:hAnsi="Arial" w:cs="Arial"/>
          <w:sz w:val="18"/>
          <w:szCs w:val="18"/>
          <w:lang w:val="el-GR"/>
        </w:rPr>
        <w:t xml:space="preserve">% (σε σύγκριση με </w:t>
      </w:r>
      <w:r w:rsidR="00333958" w:rsidRPr="00CB38F0">
        <w:rPr>
          <w:rFonts w:ascii="Arial" w:hAnsi="Arial" w:cs="Arial"/>
          <w:sz w:val="18"/>
          <w:szCs w:val="18"/>
          <w:lang w:val="el-GR"/>
        </w:rPr>
        <w:t xml:space="preserve">155% στις </w:t>
      </w:r>
      <w:r w:rsidR="00333958" w:rsidRPr="00CB38F0">
        <w:rPr>
          <w:rFonts w:ascii="Arial" w:hAnsi="Arial" w:cs="Arial"/>
          <w:sz w:val="18"/>
          <w:szCs w:val="18"/>
          <w:lang w:val="el-GR" w:eastAsia="el-GR"/>
        </w:rPr>
        <w:t xml:space="preserve">31 Μαρτίου 2024 και με </w:t>
      </w:r>
      <w:r w:rsidR="006D6749" w:rsidRPr="00CB38F0">
        <w:rPr>
          <w:rFonts w:ascii="Arial" w:hAnsi="Arial" w:cs="Arial"/>
          <w:sz w:val="18"/>
          <w:szCs w:val="18"/>
          <w:lang w:val="el-GR"/>
        </w:rPr>
        <w:t>158</w:t>
      </w:r>
      <w:r w:rsidRPr="00CB38F0">
        <w:rPr>
          <w:rFonts w:ascii="Arial" w:hAnsi="Arial" w:cs="Arial"/>
          <w:sz w:val="18"/>
          <w:szCs w:val="18"/>
          <w:lang w:val="el-GR"/>
        </w:rPr>
        <w:t xml:space="preserve">% στις </w:t>
      </w:r>
      <w:r w:rsidR="006D6749" w:rsidRPr="00CB38F0">
        <w:rPr>
          <w:rFonts w:ascii="Arial" w:hAnsi="Arial" w:cs="Arial"/>
          <w:sz w:val="18"/>
          <w:szCs w:val="18"/>
          <w:lang w:val="el-GR" w:eastAsia="el-GR"/>
        </w:rPr>
        <w:t>31 Δεκεμβρίου 2023</w:t>
      </w:r>
      <w:r w:rsidRPr="00CB38F0">
        <w:rPr>
          <w:rFonts w:ascii="Arial" w:hAnsi="Arial" w:cs="Arial"/>
          <w:sz w:val="18"/>
          <w:szCs w:val="18"/>
          <w:lang w:val="el-GR"/>
        </w:rPr>
        <w:t>), πολύ πιο πάνω από τις ελάχιστες κανονιστικές απαιτήσεις ύψους 100%.</w:t>
      </w:r>
    </w:p>
    <w:p w14:paraId="08E60C5F" w14:textId="77777777" w:rsidR="001D4750" w:rsidRPr="00CB38F0" w:rsidRDefault="001D4750" w:rsidP="00B043BD">
      <w:pPr>
        <w:spacing w:after="0" w:line="240" w:lineRule="auto"/>
        <w:jc w:val="both"/>
        <w:rPr>
          <w:rFonts w:ascii="Arial" w:eastAsia="Times New Roman" w:hAnsi="Arial" w:cs="Arial"/>
          <w:b/>
          <w:bCs/>
          <w:color w:val="FF9900"/>
          <w:szCs w:val="24"/>
          <w:lang w:val="el-GR" w:eastAsia="el-GR"/>
        </w:rPr>
      </w:pPr>
    </w:p>
    <w:p w14:paraId="7EF35558" w14:textId="2CA6F6A4" w:rsidR="001D4750" w:rsidRPr="00CB38F0" w:rsidRDefault="00333958">
      <w:pPr>
        <w:spacing w:after="0" w:line="360" w:lineRule="auto"/>
        <w:ind w:left="851" w:hanging="851"/>
        <w:jc w:val="both"/>
        <w:rPr>
          <w:rFonts w:ascii="Arial" w:eastAsia="Times New Roman" w:hAnsi="Arial" w:cs="Arial"/>
          <w:b/>
          <w:bCs/>
          <w:color w:val="FF9900"/>
          <w:szCs w:val="24"/>
          <w:lang w:val="el-GR" w:eastAsia="el-GR"/>
        </w:rPr>
      </w:pPr>
      <w:r w:rsidRPr="00CB38F0">
        <w:rPr>
          <w:rFonts w:ascii="Arial" w:hAnsi="Arial" w:cs="Arial"/>
          <w:b/>
          <w:bCs/>
          <w:color w:val="FF9900"/>
          <w:lang w:val="el-GR"/>
        </w:rPr>
        <w:t>Β</w:t>
      </w:r>
      <w:r w:rsidR="001D4750" w:rsidRPr="00CB38F0">
        <w:rPr>
          <w:rFonts w:ascii="Arial" w:hAnsi="Arial" w:cs="Arial"/>
          <w:b/>
          <w:bCs/>
          <w:color w:val="FF9900"/>
          <w:lang w:val="el-GR"/>
        </w:rPr>
        <w:t xml:space="preserve">.2.4 Δάνεια </w:t>
      </w:r>
    </w:p>
    <w:p w14:paraId="4DA371E8" w14:textId="5C7A205F" w:rsidR="00352599" w:rsidRPr="00CB38F0" w:rsidRDefault="00352599" w:rsidP="00F70A02">
      <w:pPr>
        <w:spacing w:after="0" w:line="240" w:lineRule="auto"/>
        <w:jc w:val="both"/>
        <w:rPr>
          <w:rFonts w:ascii="Arial" w:hAnsi="Arial" w:cs="Arial"/>
          <w:sz w:val="18"/>
          <w:szCs w:val="18"/>
          <w:lang w:val="el-GR" w:eastAsia="el-GR"/>
        </w:rPr>
      </w:pPr>
      <w:r w:rsidRPr="00CB38F0">
        <w:rPr>
          <w:rFonts w:ascii="Arial" w:hAnsi="Arial" w:cs="Arial"/>
          <w:b/>
          <w:bCs/>
          <w:sz w:val="18"/>
          <w:szCs w:val="18"/>
          <w:lang w:val="el-GR" w:eastAsia="el-GR"/>
        </w:rPr>
        <w:t>Τα δάνεια του Συγκροτήματος</w:t>
      </w:r>
      <w:r w:rsidRPr="00CB38F0">
        <w:rPr>
          <w:rFonts w:ascii="Arial" w:hAnsi="Arial" w:cs="Arial"/>
          <w:sz w:val="18"/>
          <w:szCs w:val="18"/>
          <w:lang w:val="el-GR"/>
        </w:rPr>
        <w:t xml:space="preserve"> </w:t>
      </w:r>
      <w:r w:rsidRPr="00CB38F0">
        <w:rPr>
          <w:rFonts w:ascii="Arial" w:hAnsi="Arial" w:cs="Arial"/>
          <w:sz w:val="18"/>
          <w:szCs w:val="18"/>
          <w:lang w:val="el-GR" w:eastAsia="el-GR"/>
        </w:rPr>
        <w:t xml:space="preserve">ανήλθαν σε </w:t>
      </w:r>
      <w:r w:rsidR="00750B25" w:rsidRPr="00CB38F0">
        <w:rPr>
          <w:rFonts w:ascii="Arial" w:hAnsi="Arial" w:cs="Arial"/>
          <w:sz w:val="18"/>
          <w:szCs w:val="18"/>
          <w:lang w:val="el-GR"/>
        </w:rPr>
        <w:t>€</w:t>
      </w:r>
      <w:r w:rsidR="00307ACE" w:rsidRPr="006A1797">
        <w:rPr>
          <w:rFonts w:ascii="Arial" w:hAnsi="Arial" w:cs="Arial"/>
          <w:sz w:val="18"/>
          <w:szCs w:val="18"/>
          <w:lang w:val="el-GR"/>
        </w:rPr>
        <w:t>10,318</w:t>
      </w:r>
      <w:r w:rsidR="00307ACE">
        <w:rPr>
          <w:rFonts w:ascii="Arial" w:hAnsi="Arial" w:cs="Arial"/>
          <w:sz w:val="18"/>
          <w:szCs w:val="18"/>
          <w:lang w:val="el-GR"/>
        </w:rPr>
        <w:t xml:space="preserve"> </w:t>
      </w:r>
      <w:r w:rsidRPr="00CB38F0">
        <w:rPr>
          <w:rFonts w:ascii="Arial" w:hAnsi="Arial" w:cs="Arial"/>
          <w:sz w:val="18"/>
          <w:szCs w:val="18"/>
          <w:lang w:val="el-GR" w:eastAsia="el-GR"/>
        </w:rPr>
        <w:t xml:space="preserve">εκατ. </w:t>
      </w:r>
      <w:r w:rsidR="003A2A46" w:rsidRPr="00CB38F0">
        <w:rPr>
          <w:rFonts w:ascii="Arial" w:hAnsi="Arial" w:cs="Arial"/>
          <w:sz w:val="18"/>
          <w:szCs w:val="18"/>
          <w:lang w:val="el-GR" w:eastAsia="el-GR"/>
        </w:rPr>
        <w:t xml:space="preserve">στις </w:t>
      </w:r>
      <w:r w:rsidR="00F606F0" w:rsidRPr="00CB38F0">
        <w:rPr>
          <w:rFonts w:ascii="Arial" w:hAnsi="Arial" w:cs="Arial"/>
          <w:sz w:val="18"/>
          <w:szCs w:val="18"/>
          <w:lang w:val="el-GR" w:eastAsia="el-GR"/>
        </w:rPr>
        <w:t xml:space="preserve">30 </w:t>
      </w:r>
      <w:r w:rsidR="00F606F0" w:rsidRPr="00D434A7">
        <w:rPr>
          <w:rFonts w:ascii="Arial" w:hAnsi="Arial" w:cs="Arial"/>
          <w:sz w:val="18"/>
          <w:szCs w:val="18"/>
          <w:lang w:val="el-GR" w:eastAsia="el-GR"/>
        </w:rPr>
        <w:t xml:space="preserve">Ιουνίου </w:t>
      </w:r>
      <w:r w:rsidR="003676BC" w:rsidRPr="00CB38F0">
        <w:rPr>
          <w:rFonts w:ascii="Arial" w:hAnsi="Arial" w:cs="Arial"/>
          <w:sz w:val="18"/>
          <w:szCs w:val="18"/>
          <w:lang w:val="el-GR" w:eastAsia="el-GR"/>
        </w:rPr>
        <w:t>2024</w:t>
      </w:r>
      <w:r w:rsidRPr="00CB38F0">
        <w:rPr>
          <w:rFonts w:ascii="Arial" w:hAnsi="Arial" w:cs="Arial"/>
          <w:sz w:val="18"/>
          <w:szCs w:val="18"/>
          <w:lang w:val="el-GR" w:eastAsia="el-GR"/>
        </w:rPr>
        <w:t>, σε σύγκριση με</w:t>
      </w:r>
      <w:r w:rsidR="003A2A46" w:rsidRPr="00CB38F0">
        <w:rPr>
          <w:rFonts w:ascii="Arial" w:hAnsi="Arial" w:cs="Arial"/>
          <w:sz w:val="18"/>
          <w:szCs w:val="18"/>
          <w:lang w:val="el-GR" w:eastAsia="el-GR"/>
        </w:rPr>
        <w:t xml:space="preserve"> </w:t>
      </w:r>
      <w:r w:rsidR="00F606F0" w:rsidRPr="00CB38F0">
        <w:rPr>
          <w:rFonts w:ascii="Arial" w:hAnsi="Arial" w:cs="Arial"/>
          <w:sz w:val="18"/>
          <w:szCs w:val="18"/>
          <w:lang w:val="el-GR"/>
        </w:rPr>
        <w:t xml:space="preserve">€10,276 </w:t>
      </w:r>
      <w:r w:rsidR="00F606F0" w:rsidRPr="00CB38F0">
        <w:rPr>
          <w:rFonts w:ascii="Arial" w:hAnsi="Arial" w:cs="Arial"/>
          <w:sz w:val="18"/>
          <w:szCs w:val="18"/>
          <w:lang w:val="el-GR" w:eastAsia="el-GR"/>
        </w:rPr>
        <w:t xml:space="preserve">εκατ. στις 31 </w:t>
      </w:r>
      <w:r w:rsidR="00F606F0" w:rsidRPr="00CB38F0">
        <w:rPr>
          <w:rFonts w:ascii="Arial" w:hAnsi="Arial" w:cs="Arial"/>
          <w:sz w:val="18"/>
          <w:lang w:val="el-GR" w:eastAsia="el-GR"/>
        </w:rPr>
        <w:t xml:space="preserve">Μαρτίου </w:t>
      </w:r>
      <w:r w:rsidR="00F606F0" w:rsidRPr="00CB38F0">
        <w:rPr>
          <w:rFonts w:ascii="Arial" w:hAnsi="Arial" w:cs="Arial"/>
          <w:sz w:val="18"/>
          <w:szCs w:val="18"/>
          <w:lang w:val="el-GR" w:eastAsia="el-GR"/>
        </w:rPr>
        <w:t xml:space="preserve">2024 και με </w:t>
      </w:r>
      <w:r w:rsidR="00307ACE" w:rsidRPr="006A1797">
        <w:rPr>
          <w:rFonts w:ascii="Arial" w:hAnsi="Arial" w:cs="Arial"/>
          <w:sz w:val="18"/>
          <w:szCs w:val="18"/>
          <w:lang w:val="el-GR"/>
        </w:rPr>
        <w:t xml:space="preserve">€10,277 </w:t>
      </w:r>
      <w:r w:rsidR="003676BC" w:rsidRPr="00CB38F0">
        <w:rPr>
          <w:rFonts w:ascii="Arial" w:hAnsi="Arial" w:cs="Arial"/>
          <w:sz w:val="18"/>
          <w:szCs w:val="18"/>
          <w:lang w:val="el-GR" w:eastAsia="el-GR"/>
        </w:rPr>
        <w:t xml:space="preserve">εκατ. στις </w:t>
      </w:r>
      <w:r w:rsidR="00307ACE">
        <w:rPr>
          <w:rFonts w:ascii="Arial" w:hAnsi="Arial" w:cs="Arial"/>
          <w:sz w:val="18"/>
          <w:szCs w:val="18"/>
          <w:lang w:val="el-GR" w:eastAsia="el-GR"/>
        </w:rPr>
        <w:t>30</w:t>
      </w:r>
      <w:r w:rsidR="00307ACE" w:rsidRPr="00CB38F0">
        <w:rPr>
          <w:rFonts w:ascii="Arial" w:hAnsi="Arial" w:cs="Arial"/>
          <w:sz w:val="18"/>
          <w:szCs w:val="18"/>
          <w:lang w:val="el-GR" w:eastAsia="el-GR"/>
        </w:rPr>
        <w:t xml:space="preserve"> </w:t>
      </w:r>
      <w:r w:rsidR="00307ACE">
        <w:rPr>
          <w:rFonts w:ascii="Arial" w:hAnsi="Arial" w:cs="Arial"/>
          <w:sz w:val="18"/>
          <w:lang w:val="el-GR" w:eastAsia="el-GR"/>
        </w:rPr>
        <w:t>Ιουνίου</w:t>
      </w:r>
      <w:r w:rsidR="00307ACE" w:rsidRPr="00CB38F0">
        <w:rPr>
          <w:rFonts w:ascii="Arial" w:hAnsi="Arial" w:cs="Arial"/>
          <w:sz w:val="18"/>
          <w:lang w:val="el-GR" w:eastAsia="el-GR"/>
        </w:rPr>
        <w:t xml:space="preserve"> </w:t>
      </w:r>
      <w:r w:rsidR="003676BC" w:rsidRPr="00CB38F0">
        <w:rPr>
          <w:rFonts w:ascii="Arial" w:hAnsi="Arial" w:cs="Arial"/>
          <w:sz w:val="18"/>
          <w:szCs w:val="18"/>
          <w:lang w:val="el-GR" w:eastAsia="el-GR"/>
        </w:rPr>
        <w:t>2023</w:t>
      </w:r>
      <w:r w:rsidRPr="00CB38F0">
        <w:rPr>
          <w:rFonts w:ascii="Arial" w:hAnsi="Arial" w:cs="Arial"/>
          <w:sz w:val="18"/>
          <w:szCs w:val="18"/>
          <w:lang w:val="el-GR" w:eastAsia="el-GR"/>
        </w:rPr>
        <w:t>,</w:t>
      </w:r>
      <w:r w:rsidR="003676BC" w:rsidRPr="00CB38F0">
        <w:rPr>
          <w:rFonts w:ascii="Arial" w:hAnsi="Arial" w:cs="Arial"/>
          <w:sz w:val="18"/>
          <w:szCs w:val="18"/>
          <w:lang w:val="el-GR" w:eastAsia="el-GR"/>
        </w:rPr>
        <w:t xml:space="preserve"> </w:t>
      </w:r>
      <w:r w:rsidR="007A0969">
        <w:rPr>
          <w:rFonts w:ascii="Arial" w:hAnsi="Arial" w:cs="Arial"/>
          <w:sz w:val="18"/>
          <w:szCs w:val="18"/>
          <w:lang w:val="el-GR" w:eastAsia="el-GR"/>
        </w:rPr>
        <w:t>περίπου στα ίδια επίπεδα σε</w:t>
      </w:r>
      <w:r w:rsidR="00F606F0" w:rsidRPr="00CB38F0">
        <w:rPr>
          <w:rFonts w:ascii="Arial" w:hAnsi="Arial" w:cs="Arial"/>
          <w:sz w:val="18"/>
          <w:szCs w:val="18"/>
          <w:lang w:val="el-GR" w:eastAsia="el-GR"/>
        </w:rPr>
        <w:t xml:space="preserve"> </w:t>
      </w:r>
      <w:r w:rsidR="007A0969" w:rsidRPr="00CB38F0">
        <w:rPr>
          <w:rFonts w:ascii="Arial" w:hAnsi="Arial" w:cs="Arial"/>
          <w:sz w:val="18"/>
          <w:szCs w:val="18"/>
          <w:lang w:val="el-GR" w:eastAsia="el-GR"/>
        </w:rPr>
        <w:t>ετήσια</w:t>
      </w:r>
      <w:r w:rsidR="00F606F0" w:rsidRPr="00CB38F0">
        <w:rPr>
          <w:rFonts w:ascii="Arial" w:hAnsi="Arial" w:cs="Arial"/>
          <w:sz w:val="18"/>
          <w:szCs w:val="18"/>
          <w:lang w:val="el-GR" w:eastAsia="el-GR"/>
        </w:rPr>
        <w:t xml:space="preserve"> βάση</w:t>
      </w:r>
      <w:r w:rsidR="00307ACE">
        <w:rPr>
          <w:rFonts w:ascii="Arial" w:hAnsi="Arial" w:cs="Arial"/>
          <w:sz w:val="18"/>
          <w:szCs w:val="18"/>
          <w:lang w:val="el-GR" w:eastAsia="el-GR"/>
        </w:rPr>
        <w:t>.</w:t>
      </w:r>
    </w:p>
    <w:p w14:paraId="637A4663" w14:textId="77777777" w:rsidR="00EC6714" w:rsidRPr="00CB38F0" w:rsidRDefault="00EC6714" w:rsidP="00F70A02">
      <w:pPr>
        <w:spacing w:after="0" w:line="240" w:lineRule="auto"/>
        <w:jc w:val="both"/>
        <w:rPr>
          <w:rFonts w:ascii="Arial" w:hAnsi="Arial" w:cs="Arial"/>
          <w:sz w:val="18"/>
          <w:szCs w:val="18"/>
          <w:lang w:val="el-GR" w:eastAsia="el-GR"/>
        </w:rPr>
      </w:pPr>
    </w:p>
    <w:p w14:paraId="7E7554B1" w14:textId="1F64E49C" w:rsidR="00352599" w:rsidRPr="006B5511" w:rsidRDefault="00352599" w:rsidP="00F70A02">
      <w:pPr>
        <w:spacing w:after="0" w:line="240" w:lineRule="auto"/>
        <w:jc w:val="both"/>
        <w:rPr>
          <w:rFonts w:ascii="Arial" w:hAnsi="Arial" w:cs="Arial"/>
          <w:sz w:val="18"/>
          <w:szCs w:val="18"/>
          <w:highlight w:val="yellow"/>
          <w:lang w:val="el-GR" w:eastAsia="el-GR"/>
        </w:rPr>
      </w:pPr>
      <w:r w:rsidRPr="00CB38F0">
        <w:rPr>
          <w:rFonts w:ascii="Arial" w:hAnsi="Arial" w:cs="Arial"/>
          <w:sz w:val="18"/>
          <w:szCs w:val="18"/>
          <w:lang w:val="el-GR" w:eastAsia="el-GR"/>
        </w:rPr>
        <w:t xml:space="preserve">Ο νέος δανεισμός που δόθηκε στην Κύπρο κατά το </w:t>
      </w:r>
      <w:r w:rsidR="00D434A7" w:rsidRPr="00D434A7">
        <w:rPr>
          <w:rFonts w:ascii="Arial" w:hAnsi="Arial" w:cs="Arial"/>
          <w:sz w:val="18"/>
          <w:szCs w:val="18"/>
          <w:lang w:val="el-GR" w:eastAsia="el-GR"/>
        </w:rPr>
        <w:t>β’</w:t>
      </w:r>
      <w:r w:rsidR="00D434A7" w:rsidRPr="00CB38F0">
        <w:rPr>
          <w:rFonts w:ascii="Arial" w:hAnsi="Arial" w:cs="Arial"/>
          <w:sz w:val="18"/>
          <w:szCs w:val="18"/>
          <w:lang w:val="el-GR" w:eastAsia="el-GR"/>
        </w:rPr>
        <w:t xml:space="preserve"> </w:t>
      </w:r>
      <w:r w:rsidRPr="00CB38F0">
        <w:rPr>
          <w:rFonts w:ascii="Arial" w:hAnsi="Arial" w:cs="Arial"/>
          <w:sz w:val="18"/>
          <w:szCs w:val="18"/>
          <w:lang w:val="el-GR" w:eastAsia="el-GR"/>
        </w:rPr>
        <w:t xml:space="preserve">τρίμηνο </w:t>
      </w:r>
      <w:r w:rsidR="003676BC" w:rsidRPr="00CB38F0">
        <w:rPr>
          <w:rFonts w:ascii="Arial" w:hAnsi="Arial" w:cs="Arial"/>
          <w:sz w:val="18"/>
          <w:szCs w:val="18"/>
          <w:lang w:val="el-GR" w:eastAsia="el-GR"/>
        </w:rPr>
        <w:t xml:space="preserve">2024 </w:t>
      </w:r>
      <w:r w:rsidRPr="00CB38F0">
        <w:rPr>
          <w:rFonts w:ascii="Arial" w:hAnsi="Arial" w:cs="Arial"/>
          <w:sz w:val="18"/>
          <w:szCs w:val="18"/>
          <w:lang w:val="el-GR" w:eastAsia="el-GR"/>
        </w:rPr>
        <w:t xml:space="preserve">ανήλθε σε </w:t>
      </w:r>
      <w:r w:rsidR="001B6471" w:rsidRPr="00CB38F0">
        <w:rPr>
          <w:rFonts w:ascii="Arial" w:hAnsi="Arial" w:cs="Arial"/>
          <w:sz w:val="18"/>
          <w:szCs w:val="18"/>
          <w:lang w:val="el-GR"/>
        </w:rPr>
        <w:t>€</w:t>
      </w:r>
      <w:r w:rsidR="007A0969" w:rsidRPr="00CB38F0">
        <w:rPr>
          <w:rFonts w:ascii="Arial" w:hAnsi="Arial" w:cs="Arial"/>
          <w:sz w:val="18"/>
          <w:szCs w:val="18"/>
          <w:lang w:val="el-GR"/>
        </w:rPr>
        <w:t>551</w:t>
      </w:r>
      <w:r w:rsidR="00D434A7" w:rsidRPr="00CB38F0">
        <w:rPr>
          <w:rFonts w:ascii="Arial" w:hAnsi="Arial" w:cs="Arial"/>
          <w:sz w:val="18"/>
          <w:szCs w:val="18"/>
          <w:lang w:val="el-GR"/>
        </w:rPr>
        <w:t xml:space="preserve"> </w:t>
      </w:r>
      <w:r w:rsidRPr="00CB38F0">
        <w:rPr>
          <w:rFonts w:ascii="Arial" w:hAnsi="Arial" w:cs="Arial"/>
          <w:sz w:val="18"/>
          <w:szCs w:val="18"/>
          <w:lang w:val="el-GR" w:eastAsia="el-GR"/>
        </w:rPr>
        <w:t>εκατ.</w:t>
      </w:r>
      <w:r w:rsidR="002D2D73" w:rsidRPr="006A1797">
        <w:rPr>
          <w:rFonts w:ascii="Arial" w:hAnsi="Arial" w:cs="Arial"/>
          <w:sz w:val="18"/>
          <w:szCs w:val="18"/>
          <w:lang w:val="el-GR" w:eastAsia="el-GR"/>
        </w:rPr>
        <w:t xml:space="preserve"> </w:t>
      </w:r>
      <w:r w:rsidRPr="00CB38F0">
        <w:rPr>
          <w:rFonts w:ascii="Arial" w:hAnsi="Arial" w:cs="Arial"/>
          <w:sz w:val="18"/>
          <w:szCs w:val="18"/>
          <w:lang w:val="el-GR" w:eastAsia="el-GR"/>
        </w:rPr>
        <w:t>(σε σύγκριση με</w:t>
      </w:r>
      <w:r w:rsidR="003A2A46" w:rsidRPr="00CB38F0">
        <w:rPr>
          <w:rFonts w:ascii="Arial" w:hAnsi="Arial" w:cs="Arial"/>
          <w:sz w:val="18"/>
          <w:szCs w:val="18"/>
          <w:lang w:val="el-GR" w:eastAsia="el-GR"/>
        </w:rPr>
        <w:t xml:space="preserve"> τον </w:t>
      </w:r>
      <w:r w:rsidR="00D434A7" w:rsidRPr="00162754">
        <w:rPr>
          <w:rFonts w:ascii="Arial" w:hAnsi="Arial" w:cs="Arial"/>
          <w:sz w:val="18"/>
          <w:szCs w:val="18"/>
          <w:lang w:val="el-GR" w:eastAsia="el-GR"/>
        </w:rPr>
        <w:t xml:space="preserve"> ισχυρό </w:t>
      </w:r>
      <w:r w:rsidR="003A2A46" w:rsidRPr="00CB38F0">
        <w:rPr>
          <w:rFonts w:ascii="Arial" w:hAnsi="Arial" w:cs="Arial"/>
          <w:sz w:val="18"/>
          <w:szCs w:val="18"/>
          <w:lang w:val="el-GR" w:eastAsia="el-GR"/>
        </w:rPr>
        <w:t>νέο δανεισμό</w:t>
      </w:r>
      <w:r w:rsidR="00C26B1C" w:rsidRPr="00CB38F0">
        <w:rPr>
          <w:rFonts w:ascii="Arial" w:hAnsi="Arial" w:cs="Arial"/>
          <w:sz w:val="18"/>
          <w:szCs w:val="18"/>
          <w:lang w:val="el-GR" w:eastAsia="el-GR"/>
        </w:rPr>
        <w:t xml:space="preserve"> που ανήλθε σε </w:t>
      </w:r>
      <w:r w:rsidR="00D434A7" w:rsidRPr="00CB38F0">
        <w:rPr>
          <w:rFonts w:ascii="Arial" w:hAnsi="Arial" w:cs="Arial"/>
          <w:sz w:val="18"/>
          <w:szCs w:val="18"/>
          <w:lang w:val="el-GR"/>
        </w:rPr>
        <w:t xml:space="preserve">€676 </w:t>
      </w:r>
      <w:r w:rsidR="00D434A7" w:rsidRPr="00CB38F0">
        <w:rPr>
          <w:rFonts w:ascii="Arial" w:hAnsi="Arial" w:cs="Arial"/>
          <w:sz w:val="18"/>
          <w:szCs w:val="18"/>
          <w:lang w:val="el-GR" w:eastAsia="el-GR"/>
        </w:rPr>
        <w:t>εκατ</w:t>
      </w:r>
      <w:r w:rsidR="00D434A7" w:rsidRPr="00CB38F0">
        <w:rPr>
          <w:rFonts w:ascii="Arial" w:hAnsi="Arial" w:cs="Arial"/>
          <w:sz w:val="18"/>
          <w:szCs w:val="18"/>
          <w:lang w:val="el-GR"/>
        </w:rPr>
        <w:t xml:space="preserve">. </w:t>
      </w:r>
      <w:r w:rsidR="00D434A7" w:rsidRPr="00CB38F0">
        <w:rPr>
          <w:rFonts w:ascii="Arial" w:hAnsi="Arial" w:cs="Arial"/>
          <w:sz w:val="18"/>
          <w:szCs w:val="18"/>
          <w:lang w:val="el-GR" w:eastAsia="el-GR"/>
        </w:rPr>
        <w:t>για το α’ τρίμηνο 2024</w:t>
      </w:r>
      <w:r w:rsidR="00D434A7" w:rsidRPr="007A0969">
        <w:rPr>
          <w:rFonts w:ascii="Arial" w:hAnsi="Arial" w:cs="Arial"/>
          <w:sz w:val="18"/>
          <w:szCs w:val="18"/>
          <w:lang w:val="el-GR" w:eastAsia="el-GR"/>
        </w:rPr>
        <w:t xml:space="preserve"> θετικά επηρεασμένος από εποχικότητα</w:t>
      </w:r>
      <w:r w:rsidR="00D434A7" w:rsidRPr="00CB38F0">
        <w:rPr>
          <w:rFonts w:ascii="Arial" w:hAnsi="Arial" w:cs="Arial"/>
          <w:sz w:val="18"/>
          <w:szCs w:val="18"/>
          <w:lang w:val="el-GR" w:eastAsia="el-GR"/>
        </w:rPr>
        <w:t xml:space="preserve"> και </w:t>
      </w:r>
      <w:r w:rsidR="00D434A7" w:rsidRPr="007A0969">
        <w:rPr>
          <w:rFonts w:ascii="Arial" w:hAnsi="Arial" w:cs="Arial"/>
          <w:sz w:val="18"/>
          <w:szCs w:val="18"/>
          <w:lang w:val="el-GR" w:eastAsia="el-GR"/>
        </w:rPr>
        <w:t>με</w:t>
      </w:r>
      <w:r w:rsidR="00D434A7" w:rsidRPr="00CB38F0">
        <w:rPr>
          <w:rFonts w:ascii="Arial" w:hAnsi="Arial" w:cs="Arial"/>
          <w:sz w:val="18"/>
          <w:szCs w:val="18"/>
          <w:lang w:val="el-GR" w:eastAsia="el-GR"/>
        </w:rPr>
        <w:t xml:space="preserve"> </w:t>
      </w:r>
      <w:r w:rsidR="00C26B1C" w:rsidRPr="00CB38F0">
        <w:rPr>
          <w:rFonts w:ascii="Arial" w:hAnsi="Arial" w:cs="Arial"/>
          <w:sz w:val="18"/>
          <w:szCs w:val="18"/>
          <w:lang w:val="el-GR"/>
        </w:rPr>
        <w:t>€</w:t>
      </w:r>
      <w:r w:rsidR="003676BC" w:rsidRPr="00CB38F0">
        <w:rPr>
          <w:rFonts w:ascii="Arial" w:hAnsi="Arial" w:cs="Arial"/>
          <w:sz w:val="18"/>
          <w:szCs w:val="18"/>
          <w:lang w:val="el-GR"/>
        </w:rPr>
        <w:t xml:space="preserve">462 </w:t>
      </w:r>
      <w:r w:rsidR="00C26B1C" w:rsidRPr="00CB38F0">
        <w:rPr>
          <w:rFonts w:ascii="Arial" w:hAnsi="Arial" w:cs="Arial"/>
          <w:sz w:val="18"/>
          <w:szCs w:val="18"/>
          <w:lang w:val="el-GR" w:eastAsia="el-GR"/>
        </w:rPr>
        <w:t xml:space="preserve">εκατ. για </w:t>
      </w:r>
      <w:r w:rsidR="003A2A46" w:rsidRPr="00CB38F0">
        <w:rPr>
          <w:rFonts w:ascii="Arial" w:hAnsi="Arial" w:cs="Arial"/>
          <w:sz w:val="18"/>
          <w:szCs w:val="18"/>
          <w:lang w:val="el-GR" w:eastAsia="el-GR"/>
        </w:rPr>
        <w:t>το</w:t>
      </w:r>
      <w:r w:rsidR="00C26B1C" w:rsidRPr="00CB38F0">
        <w:rPr>
          <w:rFonts w:ascii="Arial" w:hAnsi="Arial" w:cs="Arial"/>
          <w:sz w:val="18"/>
          <w:szCs w:val="18"/>
          <w:lang w:val="el-GR" w:eastAsia="el-GR"/>
        </w:rPr>
        <w:t xml:space="preserve"> </w:t>
      </w:r>
      <w:r w:rsidR="003676BC" w:rsidRPr="00CB38F0">
        <w:rPr>
          <w:rFonts w:ascii="Arial" w:hAnsi="Arial" w:cs="Arial"/>
          <w:sz w:val="18"/>
          <w:szCs w:val="18"/>
          <w:lang w:val="el-GR" w:eastAsia="el-GR"/>
        </w:rPr>
        <w:t>δ</w:t>
      </w:r>
      <w:r w:rsidR="00C26B1C" w:rsidRPr="00CB38F0">
        <w:rPr>
          <w:rFonts w:ascii="Arial" w:hAnsi="Arial" w:cs="Arial"/>
          <w:sz w:val="18"/>
          <w:szCs w:val="18"/>
          <w:lang w:val="el-GR" w:eastAsia="el-GR"/>
        </w:rPr>
        <w:t>’ τρίμηνο 2023</w:t>
      </w:r>
      <w:r w:rsidRPr="00CB38F0">
        <w:rPr>
          <w:rFonts w:ascii="Arial" w:hAnsi="Arial" w:cs="Arial"/>
          <w:sz w:val="18"/>
          <w:szCs w:val="18"/>
          <w:lang w:val="el-GR" w:eastAsia="el-GR"/>
        </w:rPr>
        <w:t xml:space="preserve">), </w:t>
      </w:r>
      <w:r w:rsidR="00D434A7" w:rsidRPr="00CB38F0">
        <w:rPr>
          <w:rFonts w:ascii="Arial" w:hAnsi="Arial" w:cs="Arial"/>
          <w:sz w:val="18"/>
          <w:szCs w:val="18"/>
          <w:lang w:val="el-GR" w:eastAsia="el-GR"/>
        </w:rPr>
        <w:t xml:space="preserve">μειωμένος </w:t>
      </w:r>
      <w:r w:rsidRPr="00CB38F0">
        <w:rPr>
          <w:rFonts w:ascii="Arial" w:hAnsi="Arial" w:cs="Arial"/>
          <w:sz w:val="18"/>
          <w:szCs w:val="18"/>
          <w:lang w:val="el-GR" w:eastAsia="el-GR"/>
        </w:rPr>
        <w:t xml:space="preserve">κατά </w:t>
      </w:r>
      <w:r w:rsidR="002D2D73" w:rsidRPr="006A1797">
        <w:rPr>
          <w:rFonts w:ascii="Arial" w:hAnsi="Arial" w:cs="Arial"/>
          <w:sz w:val="18"/>
          <w:szCs w:val="18"/>
          <w:lang w:val="el-GR" w:eastAsia="el-GR"/>
        </w:rPr>
        <w:t>18</w:t>
      </w:r>
      <w:r w:rsidRPr="00CB38F0">
        <w:rPr>
          <w:rFonts w:ascii="Arial" w:hAnsi="Arial" w:cs="Arial"/>
          <w:sz w:val="18"/>
          <w:szCs w:val="18"/>
          <w:lang w:val="el-GR" w:eastAsia="el-GR"/>
        </w:rPr>
        <w:t>% σε τριμηνιαία βάση</w:t>
      </w:r>
      <w:r w:rsidR="00F06A1B" w:rsidRPr="00CB38F0">
        <w:rPr>
          <w:rFonts w:ascii="Arial" w:hAnsi="Arial" w:cs="Arial"/>
          <w:sz w:val="18"/>
          <w:szCs w:val="18"/>
          <w:lang w:val="el-GR" w:eastAsia="el-GR"/>
        </w:rPr>
        <w:t>.</w:t>
      </w:r>
      <w:r w:rsidR="00BC538A" w:rsidRPr="00CB38F0">
        <w:rPr>
          <w:rFonts w:ascii="Arial" w:hAnsi="Arial" w:cs="Arial"/>
          <w:sz w:val="18"/>
          <w:szCs w:val="18"/>
          <w:lang w:val="el-GR" w:eastAsia="el-GR"/>
        </w:rPr>
        <w:t xml:space="preserve"> </w:t>
      </w:r>
      <w:r w:rsidRPr="00CB38F0">
        <w:rPr>
          <w:rFonts w:ascii="Arial" w:hAnsi="Arial" w:cs="Arial"/>
          <w:sz w:val="18"/>
          <w:szCs w:val="18"/>
          <w:lang w:val="el-GR"/>
        </w:rPr>
        <w:t xml:space="preserve">Ο νέος δανεισμός που δόθηκε κατά το </w:t>
      </w:r>
      <w:r w:rsidR="00D434A7" w:rsidRPr="00CB38F0">
        <w:rPr>
          <w:rFonts w:ascii="Arial" w:hAnsi="Arial" w:cs="Arial"/>
          <w:sz w:val="18"/>
          <w:szCs w:val="18"/>
          <w:lang w:val="el-GR"/>
        </w:rPr>
        <w:t>β</w:t>
      </w:r>
      <w:r w:rsidRPr="00CB38F0">
        <w:rPr>
          <w:rFonts w:ascii="Arial" w:hAnsi="Arial" w:cs="Arial"/>
          <w:sz w:val="18"/>
          <w:szCs w:val="18"/>
          <w:lang w:val="el-GR"/>
        </w:rPr>
        <w:t xml:space="preserve">’ τρίμηνο </w:t>
      </w:r>
      <w:r w:rsidR="003676BC" w:rsidRPr="00CB38F0">
        <w:rPr>
          <w:rFonts w:ascii="Arial" w:hAnsi="Arial" w:cs="Arial"/>
          <w:sz w:val="18"/>
          <w:szCs w:val="18"/>
          <w:lang w:val="el-GR"/>
        </w:rPr>
        <w:t xml:space="preserve">2024 </w:t>
      </w:r>
      <w:r w:rsidRPr="00CB38F0">
        <w:rPr>
          <w:rFonts w:ascii="Arial" w:hAnsi="Arial" w:cs="Arial"/>
          <w:sz w:val="18"/>
          <w:szCs w:val="18"/>
          <w:lang w:val="el-GR"/>
        </w:rPr>
        <w:t>αποτελείτο από δάνεια σε μεγάλες επιχειρήσεις ύψους €</w:t>
      </w:r>
      <w:r w:rsidR="007A0969" w:rsidRPr="00CB38F0">
        <w:rPr>
          <w:rFonts w:ascii="Arial" w:hAnsi="Arial" w:cs="Arial"/>
          <w:sz w:val="18"/>
          <w:szCs w:val="18"/>
          <w:lang w:val="el-GR"/>
        </w:rPr>
        <w:t>210</w:t>
      </w:r>
      <w:r w:rsidR="00D434A7" w:rsidRPr="00CB38F0">
        <w:rPr>
          <w:rFonts w:ascii="Arial" w:hAnsi="Arial" w:cs="Arial"/>
          <w:sz w:val="18"/>
          <w:szCs w:val="18"/>
          <w:lang w:val="el-GR"/>
        </w:rPr>
        <w:t xml:space="preserve"> </w:t>
      </w:r>
      <w:r w:rsidRPr="00CB38F0">
        <w:rPr>
          <w:rFonts w:ascii="Arial" w:hAnsi="Arial" w:cs="Arial"/>
          <w:sz w:val="18"/>
          <w:szCs w:val="18"/>
          <w:lang w:val="el-GR"/>
        </w:rPr>
        <w:t xml:space="preserve">εκατ., δάνεια </w:t>
      </w:r>
      <w:r w:rsidR="00172962" w:rsidRPr="00CB38F0">
        <w:rPr>
          <w:rFonts w:ascii="Arial" w:hAnsi="Arial" w:cs="Arial"/>
          <w:sz w:val="18"/>
          <w:szCs w:val="18"/>
          <w:lang w:val="el-GR"/>
        </w:rPr>
        <w:t xml:space="preserve">σε ιδιώτες </w:t>
      </w:r>
      <w:r w:rsidRPr="00CB38F0">
        <w:rPr>
          <w:rFonts w:ascii="Arial" w:hAnsi="Arial" w:cs="Arial"/>
          <w:sz w:val="18"/>
          <w:szCs w:val="18"/>
          <w:lang w:val="el-GR"/>
        </w:rPr>
        <w:t xml:space="preserve">(λιανικής τραπεζικής) ύψους </w:t>
      </w:r>
      <w:r w:rsidR="001B6471" w:rsidRPr="00CB38F0">
        <w:rPr>
          <w:rFonts w:ascii="Arial" w:hAnsi="Arial" w:cs="Arial"/>
          <w:sz w:val="18"/>
          <w:szCs w:val="18"/>
          <w:lang w:val="el-GR"/>
        </w:rPr>
        <w:t>€</w:t>
      </w:r>
      <w:r w:rsidR="007A0969" w:rsidRPr="00CB38F0">
        <w:rPr>
          <w:rFonts w:ascii="Arial" w:hAnsi="Arial" w:cs="Arial"/>
          <w:sz w:val="18"/>
          <w:szCs w:val="18"/>
          <w:lang w:val="el-GR"/>
        </w:rPr>
        <w:t>209</w:t>
      </w:r>
      <w:r w:rsidR="00D434A7" w:rsidRPr="00CB38F0">
        <w:rPr>
          <w:rFonts w:ascii="Arial" w:hAnsi="Arial" w:cs="Arial"/>
          <w:sz w:val="18"/>
          <w:szCs w:val="18"/>
          <w:lang w:val="el-GR"/>
        </w:rPr>
        <w:t xml:space="preserve"> </w:t>
      </w:r>
      <w:r w:rsidRPr="00CB38F0">
        <w:rPr>
          <w:rFonts w:ascii="Arial" w:hAnsi="Arial" w:cs="Arial"/>
          <w:sz w:val="18"/>
          <w:szCs w:val="18"/>
          <w:lang w:val="el-GR"/>
        </w:rPr>
        <w:t>εκατ. (εκ των οποίων στεγαστικά δάνεια ύψους €</w:t>
      </w:r>
      <w:r w:rsidR="007A0969" w:rsidRPr="00CB38F0">
        <w:rPr>
          <w:rFonts w:ascii="Arial" w:hAnsi="Arial" w:cs="Arial"/>
          <w:sz w:val="18"/>
          <w:szCs w:val="18"/>
          <w:lang w:val="el-GR"/>
        </w:rPr>
        <w:t>137</w:t>
      </w:r>
      <w:r w:rsidR="00D434A7" w:rsidRPr="00CB38F0">
        <w:rPr>
          <w:rFonts w:ascii="Arial" w:hAnsi="Arial" w:cs="Arial"/>
          <w:sz w:val="18"/>
          <w:szCs w:val="18"/>
          <w:lang w:val="el-GR"/>
        </w:rPr>
        <w:t xml:space="preserve"> </w:t>
      </w:r>
      <w:r w:rsidRPr="00CB38F0">
        <w:rPr>
          <w:rFonts w:ascii="Arial" w:hAnsi="Arial" w:cs="Arial"/>
          <w:sz w:val="18"/>
          <w:szCs w:val="18"/>
          <w:lang w:val="el-GR"/>
        </w:rPr>
        <w:t>εκατ.), δάνεια σε μικρομεσαίες επιχειρήσεις ύψους €</w:t>
      </w:r>
      <w:r w:rsidR="007A0969" w:rsidRPr="00CB38F0">
        <w:rPr>
          <w:rFonts w:ascii="Arial" w:hAnsi="Arial" w:cs="Arial"/>
          <w:sz w:val="18"/>
          <w:szCs w:val="18"/>
          <w:lang w:val="el-GR"/>
        </w:rPr>
        <w:t>59</w:t>
      </w:r>
      <w:r w:rsidR="00D434A7" w:rsidRPr="00CB38F0">
        <w:rPr>
          <w:rFonts w:ascii="Arial" w:hAnsi="Arial" w:cs="Arial"/>
          <w:sz w:val="18"/>
          <w:szCs w:val="18"/>
          <w:lang w:val="el-GR"/>
        </w:rPr>
        <w:t xml:space="preserve"> </w:t>
      </w:r>
      <w:r w:rsidRPr="00CB38F0">
        <w:rPr>
          <w:rFonts w:ascii="Arial" w:hAnsi="Arial" w:cs="Arial"/>
          <w:sz w:val="18"/>
          <w:szCs w:val="18"/>
          <w:lang w:val="el-GR"/>
        </w:rPr>
        <w:t xml:space="preserve">εκατ. και δάνεια στον τομέα της ναυτιλίας και </w:t>
      </w:r>
      <w:r w:rsidR="00172962" w:rsidRPr="00CB38F0">
        <w:rPr>
          <w:rFonts w:ascii="Arial" w:hAnsi="Arial" w:cs="Arial"/>
          <w:sz w:val="18"/>
          <w:szCs w:val="18"/>
          <w:lang w:val="el-GR"/>
        </w:rPr>
        <w:t xml:space="preserve">διεθνών </w:t>
      </w:r>
      <w:r w:rsidRPr="00CB38F0">
        <w:rPr>
          <w:rFonts w:ascii="Arial" w:hAnsi="Arial" w:cs="Arial"/>
          <w:sz w:val="18"/>
          <w:szCs w:val="18"/>
          <w:lang w:val="el-GR"/>
        </w:rPr>
        <w:t>εργασιών ύψους €</w:t>
      </w:r>
      <w:r w:rsidR="007A0969" w:rsidRPr="00CB38F0">
        <w:rPr>
          <w:rFonts w:ascii="Arial" w:hAnsi="Arial" w:cs="Arial"/>
          <w:sz w:val="18"/>
          <w:szCs w:val="18"/>
          <w:lang w:val="el-GR"/>
        </w:rPr>
        <w:t>73</w:t>
      </w:r>
      <w:r w:rsidR="00D434A7" w:rsidRPr="00CB38F0">
        <w:rPr>
          <w:rFonts w:ascii="Arial" w:hAnsi="Arial" w:cs="Arial"/>
          <w:sz w:val="18"/>
          <w:szCs w:val="18"/>
          <w:lang w:val="el-GR"/>
        </w:rPr>
        <w:t xml:space="preserve"> </w:t>
      </w:r>
      <w:r w:rsidRPr="00CB38F0">
        <w:rPr>
          <w:rFonts w:ascii="Arial" w:hAnsi="Arial" w:cs="Arial"/>
          <w:sz w:val="18"/>
          <w:szCs w:val="18"/>
          <w:lang w:val="el-GR"/>
        </w:rPr>
        <w:t>εκατ</w:t>
      </w:r>
      <w:r w:rsidR="00BC538A" w:rsidRPr="00CB38F0">
        <w:rPr>
          <w:rFonts w:ascii="Arial" w:hAnsi="Arial" w:cs="Arial"/>
          <w:sz w:val="18"/>
          <w:szCs w:val="18"/>
          <w:lang w:val="el-GR" w:eastAsia="el-GR"/>
        </w:rPr>
        <w:t xml:space="preserve">. </w:t>
      </w:r>
      <w:r w:rsidR="003676BC" w:rsidRPr="00CB38F0">
        <w:rPr>
          <w:rFonts w:ascii="Arial" w:hAnsi="Arial" w:cs="Arial"/>
          <w:sz w:val="18"/>
          <w:szCs w:val="18"/>
          <w:lang w:val="el-GR" w:eastAsia="el-GR"/>
        </w:rPr>
        <w:t xml:space="preserve">Ο </w:t>
      </w:r>
      <w:r w:rsidR="00BC538A" w:rsidRPr="00CB38F0">
        <w:rPr>
          <w:rFonts w:ascii="Arial" w:hAnsi="Arial" w:cs="Arial"/>
          <w:sz w:val="18"/>
          <w:szCs w:val="18"/>
          <w:lang w:val="el-GR" w:eastAsia="el-GR"/>
        </w:rPr>
        <w:t>νέος δανεισμός</w:t>
      </w:r>
      <w:r w:rsidR="003676BC" w:rsidRPr="00CB38F0">
        <w:rPr>
          <w:rFonts w:ascii="Arial" w:hAnsi="Arial" w:cs="Arial"/>
          <w:sz w:val="18"/>
          <w:szCs w:val="18"/>
          <w:lang w:val="el-GR" w:eastAsia="el-GR"/>
        </w:rPr>
        <w:t xml:space="preserve"> που δόθηκε κατά το α’ </w:t>
      </w:r>
      <w:r w:rsidR="00D434A7" w:rsidRPr="00CB38F0">
        <w:rPr>
          <w:rFonts w:ascii="Arial" w:hAnsi="Arial" w:cs="Arial"/>
          <w:sz w:val="18"/>
          <w:szCs w:val="18"/>
          <w:lang w:val="el-GR" w:eastAsia="el-GR"/>
        </w:rPr>
        <w:t xml:space="preserve">εξάμηνο </w:t>
      </w:r>
      <w:r w:rsidR="003676BC" w:rsidRPr="00CB38F0">
        <w:rPr>
          <w:rFonts w:ascii="Arial" w:hAnsi="Arial" w:cs="Arial"/>
          <w:sz w:val="18"/>
          <w:szCs w:val="18"/>
          <w:lang w:val="el-GR" w:eastAsia="el-GR"/>
        </w:rPr>
        <w:t>2024</w:t>
      </w:r>
      <w:r w:rsidR="00162754" w:rsidRPr="00CB38F0">
        <w:rPr>
          <w:rFonts w:ascii="Arial" w:hAnsi="Arial" w:cs="Arial"/>
          <w:sz w:val="18"/>
          <w:szCs w:val="18"/>
          <w:lang w:val="el-GR" w:eastAsia="el-GR"/>
        </w:rPr>
        <w:t xml:space="preserve"> ανήλθε σε €</w:t>
      </w:r>
      <w:r w:rsidR="007A0969" w:rsidRPr="00CB38F0">
        <w:rPr>
          <w:rFonts w:ascii="Arial" w:hAnsi="Arial" w:cs="Arial"/>
          <w:sz w:val="18"/>
          <w:szCs w:val="18"/>
          <w:lang w:val="el-GR" w:eastAsia="el-GR"/>
        </w:rPr>
        <w:t>1,227</w:t>
      </w:r>
      <w:r w:rsidR="00162754" w:rsidRPr="00CB38F0">
        <w:rPr>
          <w:rFonts w:ascii="Arial" w:hAnsi="Arial" w:cs="Arial"/>
          <w:sz w:val="18"/>
          <w:szCs w:val="18"/>
          <w:lang w:val="el-GR" w:eastAsia="el-GR"/>
        </w:rPr>
        <w:t xml:space="preserve"> εκατ.</w:t>
      </w:r>
      <w:r w:rsidR="007A0969">
        <w:rPr>
          <w:rFonts w:ascii="Arial" w:hAnsi="Arial" w:cs="Arial"/>
          <w:sz w:val="18"/>
          <w:szCs w:val="18"/>
          <w:lang w:val="el-GR" w:eastAsia="el-GR"/>
        </w:rPr>
        <w:t>, αυξημένος κατά 10% σε ετήσια βάση,</w:t>
      </w:r>
      <w:r w:rsidR="00162754" w:rsidRPr="00CB38F0">
        <w:rPr>
          <w:rFonts w:ascii="Arial" w:hAnsi="Arial" w:cs="Arial"/>
          <w:sz w:val="18"/>
          <w:szCs w:val="18"/>
          <w:lang w:val="el-GR" w:eastAsia="el-GR"/>
        </w:rPr>
        <w:t xml:space="preserve"> και</w:t>
      </w:r>
      <w:r w:rsidR="00FD191A" w:rsidRPr="00CB38F0">
        <w:rPr>
          <w:rFonts w:ascii="Arial" w:hAnsi="Arial" w:cs="Arial"/>
          <w:sz w:val="18"/>
          <w:szCs w:val="18"/>
          <w:lang w:val="el-GR" w:eastAsia="el-GR"/>
        </w:rPr>
        <w:t xml:space="preserve"> </w:t>
      </w:r>
      <w:r w:rsidR="003676BC" w:rsidRPr="00CB38F0">
        <w:rPr>
          <w:rFonts w:ascii="Arial" w:hAnsi="Arial" w:cs="Arial"/>
          <w:sz w:val="18"/>
          <w:szCs w:val="18"/>
          <w:lang w:val="el-GR" w:eastAsia="el-GR"/>
        </w:rPr>
        <w:t>προέρχεται κυρίως</w:t>
      </w:r>
      <w:r w:rsidR="008F73A3" w:rsidRPr="00CB38F0">
        <w:rPr>
          <w:rFonts w:ascii="Arial" w:hAnsi="Arial" w:cs="Arial"/>
          <w:sz w:val="18"/>
          <w:szCs w:val="18"/>
          <w:lang w:val="el-GR" w:eastAsia="el-GR"/>
        </w:rPr>
        <w:t xml:space="preserve"> λόγω</w:t>
      </w:r>
      <w:r w:rsidR="003676BC" w:rsidRPr="00CB38F0">
        <w:rPr>
          <w:rFonts w:ascii="Arial" w:hAnsi="Arial" w:cs="Arial"/>
          <w:sz w:val="18"/>
          <w:szCs w:val="18"/>
          <w:lang w:val="el-GR" w:eastAsia="el-GR"/>
        </w:rPr>
        <w:t xml:space="preserve"> </w:t>
      </w:r>
      <w:r w:rsidR="00F408BD" w:rsidRPr="00CB38F0">
        <w:rPr>
          <w:rFonts w:ascii="Arial" w:hAnsi="Arial" w:cs="Arial"/>
          <w:sz w:val="18"/>
          <w:szCs w:val="18"/>
          <w:lang w:val="el-GR" w:eastAsia="el-GR"/>
        </w:rPr>
        <w:t xml:space="preserve">της αυξημένης ζήτησης για δάνεια σε επιχειρήσεις. </w:t>
      </w:r>
    </w:p>
    <w:p w14:paraId="763F191C" w14:textId="77777777" w:rsidR="00352599" w:rsidRPr="00CB38F0" w:rsidRDefault="00352599" w:rsidP="00F70A02">
      <w:pPr>
        <w:spacing w:after="0" w:line="240" w:lineRule="auto"/>
        <w:jc w:val="both"/>
        <w:rPr>
          <w:rFonts w:ascii="Arial" w:hAnsi="Arial" w:cs="Arial"/>
          <w:sz w:val="18"/>
          <w:szCs w:val="18"/>
          <w:lang w:val="el-GR"/>
        </w:rPr>
      </w:pPr>
    </w:p>
    <w:p w14:paraId="7AE8F381" w14:textId="2E98B549" w:rsidR="00162754" w:rsidRPr="00CB38F0" w:rsidRDefault="00162754" w:rsidP="00162754">
      <w:pPr>
        <w:spacing w:after="0" w:line="240" w:lineRule="auto"/>
        <w:jc w:val="both"/>
        <w:rPr>
          <w:rFonts w:ascii="Arial" w:hAnsi="Arial" w:cs="Arial"/>
          <w:sz w:val="18"/>
          <w:szCs w:val="18"/>
          <w:lang w:val="el-GR" w:eastAsia="el-GR"/>
        </w:rPr>
      </w:pPr>
      <w:bookmarkStart w:id="11" w:name="_Hlk141892185"/>
      <w:r w:rsidRPr="00CB38F0">
        <w:rPr>
          <w:rFonts w:ascii="Arial" w:hAnsi="Arial" w:cs="Arial"/>
          <w:sz w:val="18"/>
          <w:szCs w:val="18"/>
          <w:lang w:val="el-GR" w:eastAsia="el-GR"/>
        </w:rPr>
        <w:t xml:space="preserve">Στις 30 </w:t>
      </w:r>
      <w:r w:rsidRPr="00CB38F0">
        <w:rPr>
          <w:rFonts w:ascii="Arial" w:hAnsi="Arial" w:cs="Arial"/>
          <w:sz w:val="18"/>
          <w:lang w:val="el-GR" w:eastAsia="el-GR"/>
        </w:rPr>
        <w:t xml:space="preserve">Ιουνίου </w:t>
      </w:r>
      <w:r w:rsidRPr="00CB38F0">
        <w:rPr>
          <w:rFonts w:ascii="Arial" w:hAnsi="Arial" w:cs="Arial"/>
          <w:sz w:val="18"/>
          <w:szCs w:val="18"/>
          <w:lang w:val="el-GR" w:eastAsia="el-GR"/>
        </w:rPr>
        <w:t>2024, τα καθαρά δάνεια και απαιτήσεις από πελάτες του Συγκροτήματος ανήλθαν σε €</w:t>
      </w:r>
      <w:r w:rsidR="002D2D73" w:rsidRPr="006A1797">
        <w:rPr>
          <w:rFonts w:ascii="Arial" w:hAnsi="Arial" w:cs="Arial"/>
          <w:sz w:val="18"/>
          <w:szCs w:val="18"/>
          <w:lang w:val="el-GR"/>
        </w:rPr>
        <w:t>10,085</w:t>
      </w:r>
      <w:r w:rsidR="002D2D73" w:rsidRPr="006A1797">
        <w:rPr>
          <w:rFonts w:ascii="Arial" w:hAnsi="Arial" w:cs="Arial"/>
          <w:color w:val="FF0000"/>
          <w:sz w:val="18"/>
          <w:szCs w:val="18"/>
          <w:lang w:val="el-GR"/>
        </w:rPr>
        <w:t xml:space="preserve"> </w:t>
      </w:r>
      <w:r w:rsidRPr="00CB38F0">
        <w:rPr>
          <w:rFonts w:ascii="Arial" w:hAnsi="Arial" w:cs="Arial"/>
          <w:sz w:val="18"/>
          <w:szCs w:val="18"/>
          <w:lang w:val="el-GR" w:eastAsia="el-GR"/>
        </w:rPr>
        <w:t>εκατ. (σε σύγκριση με €</w:t>
      </w:r>
      <w:r w:rsidRPr="00CB38F0">
        <w:rPr>
          <w:rFonts w:ascii="Arial" w:hAnsi="Arial" w:cs="Arial"/>
          <w:sz w:val="18"/>
          <w:szCs w:val="18"/>
          <w:lang w:val="el-GR"/>
        </w:rPr>
        <w:t xml:space="preserve">10,028 </w:t>
      </w:r>
      <w:r w:rsidRPr="00CB38F0">
        <w:rPr>
          <w:rFonts w:ascii="Arial" w:hAnsi="Arial" w:cs="Arial"/>
          <w:sz w:val="18"/>
          <w:szCs w:val="18"/>
          <w:lang w:val="el-GR" w:eastAsia="el-GR"/>
        </w:rPr>
        <w:t xml:space="preserve">εκατ στις 31 </w:t>
      </w:r>
      <w:r w:rsidRPr="00CB38F0">
        <w:rPr>
          <w:rFonts w:ascii="Arial" w:hAnsi="Arial" w:cs="Arial"/>
          <w:sz w:val="18"/>
          <w:lang w:val="el-GR" w:eastAsia="el-GR"/>
        </w:rPr>
        <w:t xml:space="preserve">Μαρτίου </w:t>
      </w:r>
      <w:r w:rsidRPr="00CB38F0">
        <w:rPr>
          <w:rFonts w:ascii="Arial" w:hAnsi="Arial" w:cs="Arial"/>
          <w:sz w:val="18"/>
          <w:szCs w:val="18"/>
          <w:lang w:val="el-GR" w:eastAsia="el-GR"/>
        </w:rPr>
        <w:t>2024 και με €</w:t>
      </w:r>
      <w:r w:rsidRPr="00CB38F0">
        <w:rPr>
          <w:rFonts w:ascii="Arial" w:hAnsi="Arial" w:cs="Arial"/>
          <w:sz w:val="18"/>
          <w:szCs w:val="18"/>
          <w:lang w:val="el-GR"/>
        </w:rPr>
        <w:t>9,822</w:t>
      </w:r>
      <w:r w:rsidRPr="00CB38F0">
        <w:rPr>
          <w:rFonts w:ascii="Arial" w:hAnsi="Arial" w:cs="Arial"/>
          <w:color w:val="FF0000"/>
          <w:sz w:val="18"/>
          <w:szCs w:val="18"/>
          <w:lang w:val="el-GR"/>
        </w:rPr>
        <w:t xml:space="preserve"> </w:t>
      </w:r>
      <w:r w:rsidRPr="00CB38F0">
        <w:rPr>
          <w:rFonts w:ascii="Arial" w:hAnsi="Arial" w:cs="Arial"/>
          <w:sz w:val="18"/>
          <w:szCs w:val="18"/>
          <w:lang w:val="el-GR" w:eastAsia="el-GR"/>
        </w:rPr>
        <w:t xml:space="preserve">εκατ. στις 31 Δεκεμβρίου 2023), αυξημένα κατά </w:t>
      </w:r>
      <w:r w:rsidR="002D2D73" w:rsidRPr="006A1797">
        <w:rPr>
          <w:rFonts w:ascii="Arial" w:hAnsi="Arial" w:cs="Arial"/>
          <w:sz w:val="18"/>
          <w:szCs w:val="18"/>
          <w:lang w:val="el-GR"/>
        </w:rPr>
        <w:t>3</w:t>
      </w:r>
      <w:r w:rsidRPr="00CB38F0">
        <w:rPr>
          <w:rFonts w:ascii="Arial" w:hAnsi="Arial" w:cs="Arial"/>
          <w:sz w:val="18"/>
          <w:szCs w:val="18"/>
          <w:lang w:val="el-GR" w:eastAsia="el-GR"/>
        </w:rPr>
        <w:t>% από την αρχή του έτους.</w:t>
      </w:r>
    </w:p>
    <w:p w14:paraId="55D2A342" w14:textId="77777777" w:rsidR="00162754" w:rsidRPr="00CB38F0" w:rsidRDefault="00162754" w:rsidP="00162754">
      <w:pPr>
        <w:spacing w:after="0" w:line="240" w:lineRule="auto"/>
        <w:jc w:val="both"/>
        <w:rPr>
          <w:rFonts w:ascii="Arial" w:hAnsi="Arial" w:cs="Arial"/>
          <w:sz w:val="18"/>
          <w:szCs w:val="18"/>
          <w:lang w:val="el-GR" w:eastAsia="el-GR"/>
        </w:rPr>
      </w:pPr>
    </w:p>
    <w:p w14:paraId="0CCDFD83" w14:textId="718344AF" w:rsidR="00162754" w:rsidRPr="00CB38F0" w:rsidRDefault="00162754" w:rsidP="00162754">
      <w:pPr>
        <w:spacing w:after="0" w:line="240" w:lineRule="auto"/>
        <w:jc w:val="both"/>
        <w:rPr>
          <w:rFonts w:ascii="Arial" w:hAnsi="Arial" w:cs="Arial"/>
          <w:sz w:val="18"/>
          <w:szCs w:val="18"/>
          <w:lang w:val="el-GR" w:eastAsia="el-GR"/>
        </w:rPr>
      </w:pPr>
      <w:r w:rsidRPr="00CB38F0">
        <w:rPr>
          <w:rFonts w:ascii="Arial" w:hAnsi="Arial" w:cs="Arial"/>
          <w:sz w:val="18"/>
          <w:szCs w:val="18"/>
          <w:lang w:val="el-GR" w:eastAsia="el-GR"/>
        </w:rPr>
        <w:t>Η Τράπεζα είναι ο μεγαλύτερος παροχέας δανείων στην Κύπρο με το μερίδιο αγοράς να ανέρχεται σε</w:t>
      </w:r>
      <w:r w:rsidRPr="002D2D73">
        <w:rPr>
          <w:rFonts w:ascii="Arial" w:hAnsi="Arial" w:cs="Arial"/>
          <w:sz w:val="18"/>
          <w:szCs w:val="18"/>
          <w:lang w:val="el-GR" w:eastAsia="el-GR"/>
        </w:rPr>
        <w:t xml:space="preserve"> </w:t>
      </w:r>
      <w:r w:rsidR="002D2D73" w:rsidRPr="006A1797">
        <w:rPr>
          <w:rFonts w:ascii="Arial" w:hAnsi="Arial" w:cs="Arial"/>
          <w:sz w:val="18"/>
          <w:szCs w:val="18"/>
          <w:lang w:val="el-GR"/>
        </w:rPr>
        <w:t>43.</w:t>
      </w:r>
      <w:r w:rsidR="00D313B7">
        <w:rPr>
          <w:rFonts w:ascii="Arial" w:hAnsi="Arial" w:cs="Arial"/>
          <w:sz w:val="18"/>
          <w:szCs w:val="18"/>
          <w:lang w:val="el-GR"/>
        </w:rPr>
        <w:t>2</w:t>
      </w:r>
      <w:r w:rsidRPr="002D2D73">
        <w:rPr>
          <w:rFonts w:ascii="Arial" w:hAnsi="Arial" w:cs="Arial"/>
          <w:sz w:val="18"/>
          <w:szCs w:val="18"/>
          <w:lang w:val="el-GR" w:eastAsia="el-GR"/>
        </w:rPr>
        <w:t xml:space="preserve">% </w:t>
      </w:r>
      <w:r w:rsidRPr="00CB38F0">
        <w:rPr>
          <w:rFonts w:ascii="Arial" w:hAnsi="Arial" w:cs="Arial"/>
          <w:sz w:val="18"/>
          <w:szCs w:val="18"/>
          <w:lang w:val="el-GR" w:eastAsia="el-GR"/>
        </w:rPr>
        <w:t xml:space="preserve">στις </w:t>
      </w:r>
      <w:r w:rsidR="00D313B7">
        <w:rPr>
          <w:rFonts w:ascii="Arial" w:hAnsi="Arial" w:cs="Arial"/>
          <w:sz w:val="18"/>
          <w:szCs w:val="18"/>
          <w:lang w:val="el-GR" w:eastAsia="el-GR"/>
        </w:rPr>
        <w:t>30</w:t>
      </w:r>
      <w:r w:rsidR="00D313B7" w:rsidRPr="00CB38F0">
        <w:rPr>
          <w:rFonts w:ascii="Arial" w:hAnsi="Arial" w:cs="Arial"/>
          <w:sz w:val="18"/>
          <w:szCs w:val="18"/>
          <w:lang w:val="el-GR" w:eastAsia="el-GR"/>
        </w:rPr>
        <w:t xml:space="preserve"> </w:t>
      </w:r>
      <w:r w:rsidR="00D313B7">
        <w:rPr>
          <w:rFonts w:ascii="Arial" w:hAnsi="Arial" w:cs="Arial"/>
          <w:sz w:val="18"/>
          <w:szCs w:val="18"/>
          <w:lang w:val="el-GR" w:eastAsia="el-GR"/>
        </w:rPr>
        <w:t>Ιουνίου</w:t>
      </w:r>
      <w:r w:rsidR="00D313B7" w:rsidRPr="00CB38F0">
        <w:rPr>
          <w:rFonts w:ascii="Arial" w:hAnsi="Arial" w:cs="Arial"/>
          <w:sz w:val="18"/>
          <w:szCs w:val="18"/>
          <w:lang w:val="el-GR" w:eastAsia="el-GR"/>
        </w:rPr>
        <w:t xml:space="preserve"> </w:t>
      </w:r>
      <w:r w:rsidRPr="00CB38F0">
        <w:rPr>
          <w:rFonts w:ascii="Arial" w:hAnsi="Arial" w:cs="Arial"/>
          <w:sz w:val="18"/>
          <w:szCs w:val="18"/>
          <w:lang w:val="el-GR" w:eastAsia="el-GR"/>
        </w:rPr>
        <w:t xml:space="preserve">2024, σε σύγκριση με </w:t>
      </w:r>
      <w:r w:rsidRPr="00CB38F0">
        <w:rPr>
          <w:rFonts w:ascii="Arial" w:hAnsi="Arial" w:cs="Arial"/>
          <w:sz w:val="18"/>
          <w:szCs w:val="18"/>
          <w:lang w:val="el-GR"/>
        </w:rPr>
        <w:t>42.9</w:t>
      </w:r>
      <w:r w:rsidRPr="00CB38F0">
        <w:rPr>
          <w:rFonts w:ascii="Arial" w:hAnsi="Arial" w:cs="Arial"/>
          <w:sz w:val="18"/>
          <w:szCs w:val="18"/>
          <w:lang w:val="el-GR" w:eastAsia="el-GR"/>
        </w:rPr>
        <w:t xml:space="preserve">% </w:t>
      </w:r>
      <w:r w:rsidRPr="00162754">
        <w:rPr>
          <w:rFonts w:ascii="Arial" w:hAnsi="Arial" w:cs="Arial"/>
          <w:sz w:val="18"/>
          <w:szCs w:val="18"/>
          <w:lang w:val="el-GR" w:eastAsia="el-GR"/>
        </w:rPr>
        <w:t xml:space="preserve">στις 31 </w:t>
      </w:r>
      <w:r w:rsidRPr="00162754">
        <w:rPr>
          <w:rFonts w:ascii="Arial" w:hAnsi="Arial" w:cs="Arial"/>
          <w:sz w:val="18"/>
          <w:lang w:val="el-GR" w:eastAsia="el-GR"/>
        </w:rPr>
        <w:t xml:space="preserve">Μαρτίου </w:t>
      </w:r>
      <w:r w:rsidRPr="00162754">
        <w:rPr>
          <w:rFonts w:ascii="Arial" w:hAnsi="Arial" w:cs="Arial"/>
          <w:sz w:val="18"/>
          <w:szCs w:val="18"/>
          <w:lang w:val="el-GR" w:eastAsia="el-GR"/>
        </w:rPr>
        <w:t xml:space="preserve">2024 και με </w:t>
      </w:r>
      <w:r w:rsidRPr="00CB38F0">
        <w:rPr>
          <w:rFonts w:ascii="Arial" w:hAnsi="Arial" w:cs="Arial"/>
          <w:sz w:val="18"/>
          <w:szCs w:val="18"/>
          <w:lang w:val="el-GR"/>
        </w:rPr>
        <w:t>42.2</w:t>
      </w:r>
      <w:r w:rsidRPr="00CB38F0">
        <w:rPr>
          <w:rFonts w:ascii="Arial" w:hAnsi="Arial" w:cs="Arial"/>
          <w:sz w:val="18"/>
          <w:szCs w:val="18"/>
          <w:lang w:val="el-GR" w:eastAsia="el-GR"/>
        </w:rPr>
        <w:t>% στις 31 Δεκεμβρίου 2023.</w:t>
      </w:r>
    </w:p>
    <w:p w14:paraId="55833898" w14:textId="77777777" w:rsidR="00162754" w:rsidRPr="006B5511" w:rsidRDefault="00162754" w:rsidP="00162754">
      <w:pPr>
        <w:spacing w:after="0" w:line="240" w:lineRule="auto"/>
        <w:jc w:val="both"/>
        <w:rPr>
          <w:rFonts w:ascii="Arial" w:hAnsi="Arial" w:cs="Arial"/>
          <w:sz w:val="18"/>
          <w:szCs w:val="18"/>
          <w:highlight w:val="yellow"/>
          <w:lang w:val="el-GR" w:eastAsia="el-GR"/>
        </w:rPr>
      </w:pPr>
    </w:p>
    <w:p w14:paraId="21EB0538" w14:textId="78C22C39" w:rsidR="00162754" w:rsidRPr="00CB38F0" w:rsidRDefault="00162754" w:rsidP="00CB38F0">
      <w:pPr>
        <w:spacing w:after="0" w:line="240" w:lineRule="auto"/>
        <w:jc w:val="both"/>
        <w:rPr>
          <w:rFonts w:ascii="Arial" w:hAnsi="Arial" w:cs="Arial"/>
          <w:sz w:val="18"/>
          <w:szCs w:val="18"/>
          <w:lang w:val="el-GR" w:eastAsia="el-GR"/>
        </w:rPr>
      </w:pPr>
      <w:r w:rsidRPr="00CB38F0">
        <w:rPr>
          <w:rFonts w:ascii="Arial" w:hAnsi="Arial" w:cs="Arial"/>
          <w:sz w:val="18"/>
          <w:szCs w:val="18"/>
          <w:lang w:val="el-GR" w:eastAsia="el-GR"/>
        </w:rPr>
        <w:t>Τον Δεκέμβριο 2023</w:t>
      </w:r>
      <w:r w:rsidR="00CB629A">
        <w:rPr>
          <w:rFonts w:ascii="Arial" w:hAnsi="Arial" w:cs="Arial"/>
          <w:sz w:val="18"/>
          <w:szCs w:val="18"/>
          <w:lang w:val="el-GR" w:eastAsia="el-GR"/>
        </w:rPr>
        <w:t>,</w:t>
      </w:r>
      <w:r w:rsidRPr="00CB38F0">
        <w:rPr>
          <w:rFonts w:ascii="Arial" w:hAnsi="Arial" w:cs="Arial"/>
          <w:sz w:val="18"/>
          <w:szCs w:val="18"/>
          <w:lang w:val="el-GR" w:eastAsia="el-GR"/>
        </w:rPr>
        <w:t xml:space="preserve"> η Τράπεζα σύναψε συμφωνία με την Κυπριακή Εταιρεία Διαχείρισης Περιουσιακών Στοιχείων (‘ΚΕΔΙΠΕΣ΄) για απόκτηση χαρτοφυλακίου εξυπηρετούμενων και αναδιαρθρωμένων δανείων ύψους περίπου €58 εκατ. με ημερομηνία αναφοράς 31 Δεκεμβρίου 2022 (η ‘Συναλλαγή’). Η Συναλλαγή δεν είχε επιπτώσεις στην κατάσταση λογαριασμού αποτελεσμάτων και στην κεφαλαιακή θέση της Τράπεζας.</w:t>
      </w:r>
      <w:r w:rsidRPr="00CB38F0">
        <w:rPr>
          <w:lang w:val="el-GR"/>
        </w:rPr>
        <w:t xml:space="preserve"> </w:t>
      </w:r>
      <w:r w:rsidRPr="00CB38F0">
        <w:rPr>
          <w:rFonts w:ascii="Arial" w:hAnsi="Arial" w:cs="Arial"/>
          <w:sz w:val="18"/>
          <w:szCs w:val="18"/>
          <w:lang w:val="el-GR" w:eastAsia="el-GR"/>
        </w:rPr>
        <w:t xml:space="preserve">Η Συναλλαγή ολοκληρώθηκε τον Μάρτιο 2024. </w:t>
      </w:r>
    </w:p>
    <w:bookmarkEnd w:id="11"/>
    <w:p w14:paraId="497787F3" w14:textId="77777777" w:rsidR="00B45230" w:rsidRPr="00CB38F0" w:rsidRDefault="00B45230" w:rsidP="00F70A02">
      <w:pPr>
        <w:spacing w:after="0" w:line="240" w:lineRule="auto"/>
        <w:jc w:val="both"/>
        <w:rPr>
          <w:rFonts w:ascii="Arial" w:hAnsi="Arial" w:cs="Arial"/>
          <w:sz w:val="18"/>
          <w:szCs w:val="18"/>
          <w:lang w:val="el-GR" w:eastAsia="el-GR"/>
        </w:rPr>
      </w:pPr>
    </w:p>
    <w:p w14:paraId="310BC023" w14:textId="1ECDEBEE" w:rsidR="00352599" w:rsidRPr="00CB38F0" w:rsidRDefault="00353BC8" w:rsidP="00B043BD">
      <w:pPr>
        <w:spacing w:after="0" w:line="360" w:lineRule="auto"/>
        <w:jc w:val="both"/>
        <w:rPr>
          <w:rFonts w:ascii="Arial" w:eastAsia="Times New Roman" w:hAnsi="Arial" w:cs="Arial"/>
          <w:b/>
          <w:bCs/>
          <w:color w:val="FF9900"/>
          <w:szCs w:val="24"/>
          <w:lang w:val="el-GR" w:eastAsia="el-GR"/>
        </w:rPr>
      </w:pPr>
      <w:r w:rsidRPr="00353BC8">
        <w:rPr>
          <w:rFonts w:ascii="Arial" w:hAnsi="Arial" w:cs="Arial"/>
          <w:b/>
          <w:bCs/>
          <w:color w:val="FF9900"/>
          <w:lang w:val="el-GR"/>
        </w:rPr>
        <w:t>Β</w:t>
      </w:r>
      <w:r w:rsidR="00352599" w:rsidRPr="00CB38F0">
        <w:rPr>
          <w:rFonts w:ascii="Arial" w:eastAsia="Times New Roman" w:hAnsi="Arial" w:cs="Arial"/>
          <w:b/>
          <w:bCs/>
          <w:color w:val="FF9900"/>
          <w:szCs w:val="24"/>
          <w:lang w:val="el-GR" w:eastAsia="el-GR"/>
        </w:rPr>
        <w:t>.</w:t>
      </w:r>
      <w:r w:rsidR="000A2AB6" w:rsidRPr="00CB38F0">
        <w:rPr>
          <w:rFonts w:ascii="Arial" w:eastAsia="Times New Roman" w:hAnsi="Arial" w:cs="Arial"/>
          <w:b/>
          <w:bCs/>
          <w:color w:val="FF9900"/>
          <w:szCs w:val="24"/>
          <w:lang w:val="el-GR" w:eastAsia="el-GR"/>
        </w:rPr>
        <w:t>2</w:t>
      </w:r>
      <w:r w:rsidR="00352599" w:rsidRPr="00CB38F0">
        <w:rPr>
          <w:rFonts w:ascii="Arial" w:eastAsia="Times New Roman" w:hAnsi="Arial" w:cs="Arial"/>
          <w:b/>
          <w:bCs/>
          <w:color w:val="FF9900"/>
          <w:szCs w:val="24"/>
          <w:lang w:val="el-GR" w:eastAsia="el-GR"/>
        </w:rPr>
        <w:t>.5</w:t>
      </w:r>
      <w:r w:rsidR="00A73FDA" w:rsidRPr="00CB38F0">
        <w:rPr>
          <w:rFonts w:ascii="Arial" w:eastAsia="Times New Roman" w:hAnsi="Arial" w:cs="Arial"/>
          <w:b/>
          <w:bCs/>
          <w:color w:val="FF9900"/>
          <w:szCs w:val="24"/>
          <w:lang w:val="el-GR" w:eastAsia="el-GR"/>
        </w:rPr>
        <w:t xml:space="preserve"> </w:t>
      </w:r>
      <w:r w:rsidR="00352599" w:rsidRPr="00CB38F0">
        <w:rPr>
          <w:rFonts w:ascii="Arial" w:hAnsi="Arial" w:cs="Arial"/>
          <w:b/>
          <w:bCs/>
          <w:color w:val="FF9900"/>
          <w:lang w:val="el-GR" w:eastAsia="el-GR"/>
        </w:rPr>
        <w:t>Ποιότητα δανειακού χαρτοφυλακίου</w:t>
      </w:r>
    </w:p>
    <w:p w14:paraId="2AD6CA2B" w14:textId="38129021" w:rsidR="00352599" w:rsidRPr="00CB38F0" w:rsidRDefault="00352599" w:rsidP="001D77B6">
      <w:pPr>
        <w:autoSpaceDE w:val="0"/>
        <w:autoSpaceDN w:val="0"/>
        <w:spacing w:after="0" w:line="240" w:lineRule="auto"/>
        <w:jc w:val="both"/>
        <w:rPr>
          <w:rFonts w:ascii="Arial" w:hAnsi="Arial" w:cs="Arial"/>
          <w:sz w:val="18"/>
          <w:szCs w:val="18"/>
          <w:lang w:val="el-GR"/>
        </w:rPr>
      </w:pPr>
      <w:r w:rsidRPr="00CB38F0">
        <w:rPr>
          <w:rFonts w:ascii="Arial" w:hAnsi="Arial" w:cs="Arial"/>
          <w:sz w:val="18"/>
          <w:szCs w:val="18"/>
          <w:lang w:val="el-GR"/>
        </w:rPr>
        <w:t>Το Συγκρότημα συνέχισε να σημειώνει σταθερή πρόοδο σε όλες τις παραμέτρους επιμέτρησης της ποιότητας του δανειακού του χαρτοφυλακίου. Σήμερα οι προτεραιότητες του Συγκροτήματος εστιάζουν κυρίως στη</w:t>
      </w:r>
      <w:r w:rsidR="005C44F2" w:rsidRPr="00CB38F0">
        <w:rPr>
          <w:rFonts w:ascii="Arial" w:hAnsi="Arial" w:cs="Arial"/>
          <w:sz w:val="18"/>
          <w:szCs w:val="18"/>
          <w:lang w:val="el-GR"/>
        </w:rPr>
        <w:t xml:space="preserve"> </w:t>
      </w:r>
      <w:r w:rsidRPr="00CB38F0">
        <w:rPr>
          <w:rFonts w:ascii="Arial" w:hAnsi="Arial" w:cs="Arial"/>
          <w:sz w:val="18"/>
          <w:szCs w:val="18"/>
          <w:lang w:val="el-GR"/>
        </w:rPr>
        <w:t>διατήρηση ποιοτικού νέου δανεισμού μέσω αυστηρών πρακτικών και αποφυγή της επιδείνωσης της ποιότητας του δανειακού χαρτοφυλακίου</w:t>
      </w:r>
      <w:r w:rsidR="002D2D73" w:rsidRPr="006A1797">
        <w:rPr>
          <w:rFonts w:ascii="Arial" w:hAnsi="Arial" w:cs="Arial"/>
          <w:sz w:val="18"/>
          <w:szCs w:val="18"/>
          <w:lang w:val="el-GR"/>
        </w:rPr>
        <w:t>.</w:t>
      </w:r>
    </w:p>
    <w:p w14:paraId="0EED48A7" w14:textId="77777777" w:rsidR="00FF36F2" w:rsidRPr="00CB38F0" w:rsidRDefault="00FF36F2" w:rsidP="001D77B6">
      <w:pPr>
        <w:autoSpaceDE w:val="0"/>
        <w:autoSpaceDN w:val="0"/>
        <w:spacing w:after="0" w:line="240" w:lineRule="auto"/>
        <w:jc w:val="both"/>
        <w:rPr>
          <w:rFonts w:ascii="Arial" w:hAnsi="Arial" w:cs="Arial"/>
          <w:sz w:val="18"/>
          <w:szCs w:val="18"/>
          <w:lang w:val="el-GR"/>
        </w:rPr>
      </w:pPr>
    </w:p>
    <w:p w14:paraId="4CCBCCD5" w14:textId="51FC0CCE" w:rsidR="009D59F0" w:rsidRPr="00CB38F0" w:rsidRDefault="009D59F0" w:rsidP="001D77B6">
      <w:pPr>
        <w:spacing w:after="0" w:line="240" w:lineRule="auto"/>
        <w:jc w:val="both"/>
        <w:rPr>
          <w:rFonts w:ascii="Arial" w:hAnsi="Arial" w:cs="Arial"/>
          <w:sz w:val="18"/>
          <w:szCs w:val="18"/>
          <w:lang w:val="el-GR"/>
        </w:rPr>
      </w:pPr>
      <w:r w:rsidRPr="00CB38F0">
        <w:rPr>
          <w:rFonts w:ascii="Arial" w:hAnsi="Arial" w:cs="Arial"/>
          <w:sz w:val="18"/>
          <w:szCs w:val="18"/>
          <w:lang w:val="el-GR"/>
        </w:rPr>
        <w:t xml:space="preserve">Οι πιστωτικές ζημιές δανείων για το </w:t>
      </w:r>
      <w:r w:rsidR="00754150" w:rsidRPr="00CB38F0">
        <w:rPr>
          <w:rFonts w:ascii="Arial" w:hAnsi="Arial" w:cs="Arial"/>
          <w:sz w:val="18"/>
          <w:szCs w:val="18"/>
          <w:lang w:val="el-GR"/>
        </w:rPr>
        <w:t xml:space="preserve">β’ </w:t>
      </w:r>
      <w:r w:rsidRPr="00CB38F0">
        <w:rPr>
          <w:rFonts w:ascii="Arial" w:hAnsi="Arial" w:cs="Arial"/>
          <w:sz w:val="18"/>
          <w:szCs w:val="18"/>
          <w:lang w:val="el-GR"/>
        </w:rPr>
        <w:t xml:space="preserve">τρίμηνο </w:t>
      </w:r>
      <w:r w:rsidR="00BF173A" w:rsidRPr="00CB38F0">
        <w:rPr>
          <w:rFonts w:ascii="Arial" w:hAnsi="Arial" w:cs="Arial"/>
          <w:sz w:val="18"/>
          <w:szCs w:val="18"/>
          <w:lang w:val="el-GR"/>
        </w:rPr>
        <w:t xml:space="preserve">2024 </w:t>
      </w:r>
      <w:r w:rsidRPr="00CB38F0">
        <w:rPr>
          <w:rFonts w:ascii="Arial" w:hAnsi="Arial" w:cs="Arial"/>
          <w:sz w:val="18"/>
          <w:szCs w:val="18"/>
          <w:lang w:val="el-GR"/>
        </w:rPr>
        <w:t>ανήλθαν σε €</w:t>
      </w:r>
      <w:r w:rsidR="002D2D73" w:rsidRPr="006A1797">
        <w:rPr>
          <w:rFonts w:ascii="Arial" w:eastAsia="Times New Roman" w:hAnsi="Arial" w:cs="Arial"/>
          <w:sz w:val="18"/>
          <w:szCs w:val="20"/>
          <w:lang w:val="el-GR" w:eastAsia="el-GR"/>
        </w:rPr>
        <w:t>9</w:t>
      </w:r>
      <w:r w:rsidR="00754150" w:rsidRPr="00CB38F0">
        <w:rPr>
          <w:rFonts w:ascii="Arial" w:hAnsi="Arial" w:cs="Arial"/>
          <w:color w:val="FF0000"/>
          <w:sz w:val="18"/>
          <w:szCs w:val="18"/>
          <w:lang w:val="el-GR"/>
        </w:rPr>
        <w:t xml:space="preserve"> </w:t>
      </w:r>
      <w:r w:rsidRPr="00CB38F0">
        <w:rPr>
          <w:rFonts w:ascii="Arial" w:hAnsi="Arial" w:cs="Arial"/>
          <w:sz w:val="18"/>
          <w:szCs w:val="18"/>
          <w:lang w:val="el-GR"/>
        </w:rPr>
        <w:t>εκατ.,</w:t>
      </w:r>
      <w:r w:rsidR="00F36250" w:rsidRPr="00CB38F0">
        <w:rPr>
          <w:rFonts w:ascii="Arial" w:hAnsi="Arial" w:cs="Arial"/>
          <w:sz w:val="18"/>
          <w:szCs w:val="18"/>
          <w:lang w:val="el-GR"/>
        </w:rPr>
        <w:t xml:space="preserve"> </w:t>
      </w:r>
      <w:r w:rsidR="00BF173A" w:rsidRPr="00CB38F0">
        <w:rPr>
          <w:rFonts w:ascii="Arial" w:hAnsi="Arial" w:cs="Arial"/>
          <w:sz w:val="18"/>
          <w:szCs w:val="18"/>
          <w:lang w:val="el-GR"/>
        </w:rPr>
        <w:t xml:space="preserve">σε σύγκριση με </w:t>
      </w:r>
      <w:r w:rsidR="00754150" w:rsidRPr="00CB38F0">
        <w:rPr>
          <w:rFonts w:ascii="Arial" w:hAnsi="Arial" w:cs="Arial"/>
          <w:sz w:val="18"/>
          <w:szCs w:val="18"/>
          <w:lang w:val="el-GR"/>
        </w:rPr>
        <w:t>€7 εκατ</w:t>
      </w:r>
      <w:r w:rsidR="002D2D73" w:rsidRPr="006A1797">
        <w:rPr>
          <w:rFonts w:ascii="Arial" w:hAnsi="Arial" w:cs="Arial"/>
          <w:sz w:val="18"/>
          <w:szCs w:val="18"/>
          <w:lang w:val="el-GR"/>
        </w:rPr>
        <w:t xml:space="preserve">. </w:t>
      </w:r>
      <w:r w:rsidR="00BF173A" w:rsidRPr="00CB38F0">
        <w:rPr>
          <w:rFonts w:ascii="Arial" w:hAnsi="Arial" w:cs="Arial"/>
          <w:sz w:val="18"/>
          <w:szCs w:val="18"/>
          <w:lang w:val="el-GR"/>
        </w:rPr>
        <w:t>το</w:t>
      </w:r>
      <w:r w:rsidR="00754150" w:rsidRPr="00CB38F0">
        <w:rPr>
          <w:rFonts w:ascii="Arial" w:hAnsi="Arial" w:cs="Arial"/>
          <w:sz w:val="18"/>
          <w:szCs w:val="18"/>
          <w:lang w:val="el-GR"/>
        </w:rPr>
        <w:t xml:space="preserve"> α</w:t>
      </w:r>
      <w:r w:rsidR="00BF173A" w:rsidRPr="00CB38F0">
        <w:rPr>
          <w:rFonts w:ascii="Arial" w:hAnsi="Arial" w:cs="Arial"/>
          <w:sz w:val="18"/>
          <w:szCs w:val="18"/>
          <w:lang w:val="el-GR"/>
        </w:rPr>
        <w:t xml:space="preserve">΄ τρίμηνο </w:t>
      </w:r>
      <w:r w:rsidR="00754150" w:rsidRPr="00CB38F0">
        <w:rPr>
          <w:rFonts w:ascii="Arial" w:hAnsi="Arial" w:cs="Arial"/>
          <w:sz w:val="18"/>
          <w:szCs w:val="18"/>
          <w:lang w:val="el-GR"/>
        </w:rPr>
        <w:t xml:space="preserve">2024 </w:t>
      </w:r>
      <w:r w:rsidR="00BF173A" w:rsidRPr="00CB38F0">
        <w:rPr>
          <w:rFonts w:ascii="Arial" w:hAnsi="Arial" w:cs="Arial"/>
          <w:sz w:val="18"/>
          <w:szCs w:val="18"/>
          <w:lang w:val="el-GR"/>
        </w:rPr>
        <w:t>και</w:t>
      </w:r>
      <w:r w:rsidR="00754150" w:rsidRPr="00CB38F0">
        <w:rPr>
          <w:rFonts w:ascii="Arial" w:hAnsi="Arial" w:cs="Arial"/>
          <w:sz w:val="18"/>
          <w:szCs w:val="18"/>
          <w:lang w:val="el-GR"/>
        </w:rPr>
        <w:t xml:space="preserve"> ανέρχονται σε €</w:t>
      </w:r>
      <w:r w:rsidR="002D2D73" w:rsidRPr="006A1797">
        <w:rPr>
          <w:rFonts w:ascii="Arial" w:eastAsia="Times New Roman" w:hAnsi="Arial" w:cs="Arial"/>
          <w:sz w:val="18"/>
          <w:szCs w:val="20"/>
          <w:lang w:val="el-GR" w:eastAsia="el-GR"/>
        </w:rPr>
        <w:t xml:space="preserve">16 </w:t>
      </w:r>
      <w:r w:rsidR="00754150" w:rsidRPr="00CB38F0">
        <w:rPr>
          <w:rFonts w:ascii="Arial" w:hAnsi="Arial" w:cs="Arial"/>
          <w:sz w:val="18"/>
          <w:szCs w:val="18"/>
          <w:lang w:val="el-GR"/>
        </w:rPr>
        <w:t xml:space="preserve">εκατ. για το α’ εξάμηνο 2024. </w:t>
      </w:r>
      <w:r w:rsidR="005E52E2" w:rsidRPr="00CB38F0">
        <w:rPr>
          <w:rFonts w:ascii="Arial" w:hAnsi="Arial" w:cs="Arial"/>
          <w:sz w:val="18"/>
          <w:szCs w:val="18"/>
          <w:lang w:val="el-GR"/>
        </w:rPr>
        <w:t xml:space="preserve">Περισσότερες πληροφορίες σχετικά με τις πιστωτικές ζημιές δανείων παρέχονται στο Μέρος </w:t>
      </w:r>
      <w:r w:rsidR="00754150" w:rsidRPr="00CB38F0">
        <w:rPr>
          <w:rFonts w:ascii="Arial" w:hAnsi="Arial" w:cs="Arial"/>
          <w:sz w:val="18"/>
          <w:szCs w:val="18"/>
          <w:lang w:val="el-GR"/>
        </w:rPr>
        <w:t>Β</w:t>
      </w:r>
      <w:r w:rsidR="005E52E2" w:rsidRPr="00CB38F0">
        <w:rPr>
          <w:rFonts w:ascii="Arial" w:hAnsi="Arial" w:cs="Arial"/>
          <w:sz w:val="18"/>
          <w:szCs w:val="18"/>
          <w:lang w:val="el-GR"/>
        </w:rPr>
        <w:t>.</w:t>
      </w:r>
      <w:r w:rsidR="000A2AB6" w:rsidRPr="00CB38F0">
        <w:rPr>
          <w:rFonts w:ascii="Arial" w:hAnsi="Arial" w:cs="Arial"/>
          <w:sz w:val="18"/>
          <w:szCs w:val="18"/>
          <w:lang w:val="el-GR"/>
        </w:rPr>
        <w:t>3</w:t>
      </w:r>
      <w:r w:rsidR="005E52E2" w:rsidRPr="00CB38F0">
        <w:rPr>
          <w:rFonts w:ascii="Arial" w:hAnsi="Arial" w:cs="Arial"/>
          <w:sz w:val="18"/>
          <w:szCs w:val="18"/>
          <w:lang w:val="el-GR"/>
        </w:rPr>
        <w:t>.3 'Κέρδη πριν τη φορολογία και μη-επαναλαμβανόμενα στοιχεία'.</w:t>
      </w:r>
    </w:p>
    <w:p w14:paraId="1DDCDD23" w14:textId="77777777" w:rsidR="009D59F0" w:rsidRPr="006B5511" w:rsidRDefault="009D59F0" w:rsidP="001D77B6">
      <w:pPr>
        <w:spacing w:after="0" w:line="240" w:lineRule="auto"/>
        <w:jc w:val="both"/>
        <w:rPr>
          <w:rFonts w:ascii="Arial" w:hAnsi="Arial" w:cs="Arial"/>
          <w:sz w:val="18"/>
          <w:szCs w:val="18"/>
          <w:highlight w:val="yellow"/>
          <w:lang w:val="el-GR"/>
        </w:rPr>
      </w:pPr>
    </w:p>
    <w:p w14:paraId="463A09D8" w14:textId="6584A06D" w:rsidR="00D969F0" w:rsidRPr="00CB38F0" w:rsidRDefault="00D969F0" w:rsidP="00B043BD">
      <w:pPr>
        <w:autoSpaceDE w:val="0"/>
        <w:autoSpaceDN w:val="0"/>
        <w:spacing w:after="0" w:line="360" w:lineRule="auto"/>
        <w:jc w:val="both"/>
        <w:rPr>
          <w:rFonts w:ascii="Arial" w:eastAsia="Times New Roman" w:hAnsi="Arial" w:cs="Arial"/>
          <w:b/>
          <w:bCs/>
          <w:i/>
          <w:iCs/>
          <w:color w:val="FF9900"/>
          <w:sz w:val="20"/>
          <w:lang w:val="el-GR" w:eastAsia="el-GR"/>
        </w:rPr>
      </w:pPr>
      <w:bookmarkStart w:id="12" w:name="_Hlk158712978"/>
      <w:bookmarkStart w:id="13" w:name="_Hlk150500804"/>
      <w:r w:rsidRPr="00CB38F0">
        <w:rPr>
          <w:rFonts w:ascii="Arial" w:eastAsia="Times New Roman" w:hAnsi="Arial" w:cs="Arial"/>
          <w:b/>
          <w:bCs/>
          <w:i/>
          <w:iCs/>
          <w:color w:val="FF9900"/>
          <w:sz w:val="20"/>
          <w:lang w:val="el-GR" w:eastAsia="el-GR"/>
        </w:rPr>
        <w:t>Μη Εξυπηρετούμενα Δάνεια (ΜΕΔ)</w:t>
      </w:r>
    </w:p>
    <w:bookmarkEnd w:id="12"/>
    <w:p w14:paraId="7CE88501" w14:textId="54BD8350" w:rsidR="005A5D01" w:rsidRPr="00CB38F0" w:rsidRDefault="005A5D01" w:rsidP="005A5D01">
      <w:pPr>
        <w:spacing w:after="0" w:line="240" w:lineRule="auto"/>
        <w:jc w:val="both"/>
        <w:rPr>
          <w:rFonts w:ascii="Arial" w:hAnsi="Arial" w:cs="Arial"/>
          <w:sz w:val="18"/>
          <w:szCs w:val="18"/>
          <w:lang w:val="el-GR"/>
        </w:rPr>
      </w:pPr>
      <w:r w:rsidRPr="00CB38F0">
        <w:rPr>
          <w:rFonts w:ascii="Arial" w:eastAsia="Times New Roman" w:hAnsi="Arial" w:cs="Arial"/>
          <w:sz w:val="18"/>
          <w:lang w:val="el-GR" w:eastAsia="el-GR"/>
        </w:rPr>
        <w:t>Το περιβάλλον υψηλών επιτοκίων καθώς και ο συνεχιζόμενος πληθωρισμός αναμένεται να επιβαρύνουν τη συμπεριφορά των πελατών.</w:t>
      </w:r>
      <w:r w:rsidRPr="00CB38F0">
        <w:rPr>
          <w:rFonts w:ascii="Arial" w:hAnsi="Arial" w:cs="Arial"/>
          <w:sz w:val="18"/>
          <w:szCs w:val="18"/>
          <w:lang w:val="el-GR"/>
        </w:rPr>
        <w:t xml:space="preserve"> Παρά</w:t>
      </w:r>
      <w:r w:rsidR="00AF447F" w:rsidRPr="00CB38F0">
        <w:rPr>
          <w:rFonts w:ascii="Arial" w:hAnsi="Arial" w:cs="Arial"/>
          <w:sz w:val="18"/>
          <w:szCs w:val="18"/>
          <w:lang w:val="el-GR"/>
        </w:rPr>
        <w:t xml:space="preserve"> τα πιο πάνω, δεν υπάρχουν μέχρι σήμερα σημαντικές ενδείξεις της επιδείνωσης της ποιότητας του δανειακού χαρτοφυλακίου.</w:t>
      </w:r>
      <w:r w:rsidR="00AF447F" w:rsidRPr="00AF447F">
        <w:rPr>
          <w:rFonts w:ascii="Arial" w:hAnsi="Arial" w:cs="Arial"/>
          <w:sz w:val="18"/>
          <w:szCs w:val="18"/>
          <w:lang w:val="el-GR"/>
        </w:rPr>
        <w:t xml:space="preserve"> Παρά </w:t>
      </w:r>
      <w:r w:rsidRPr="00CB38F0">
        <w:rPr>
          <w:rFonts w:ascii="Arial" w:hAnsi="Arial" w:cs="Arial"/>
          <w:sz w:val="18"/>
          <w:szCs w:val="18"/>
          <w:lang w:val="el-GR"/>
        </w:rPr>
        <w:t xml:space="preserve">την περιορισμένη αθέτηση των πελατειακών υποχρεώσεων, η επιπρόσθετη παρακολούθηση και οι προβλέψεις σε τομείς και άτομα που είναι ευάλωτοι στο μακροοικονομικό περιβάλλον παραμένουν, ούτως ώστε να διασφαλιστεί ότι πιθανές δυσκολίες στην αποπληρωμή εντοπίζονται έγκαιρα, και παρέχονται κατάλληλες λύσεις σε βιώσιμους πελάτες. </w:t>
      </w:r>
    </w:p>
    <w:bookmarkEnd w:id="13"/>
    <w:p w14:paraId="7611707D" w14:textId="77777777" w:rsidR="007F5B28" w:rsidRPr="00CB38F0" w:rsidRDefault="007F5B28" w:rsidP="00D13A81">
      <w:pPr>
        <w:spacing w:after="0" w:line="240" w:lineRule="auto"/>
        <w:jc w:val="both"/>
        <w:rPr>
          <w:rFonts w:ascii="Arial" w:eastAsia="Times New Roman" w:hAnsi="Arial" w:cs="Arial"/>
          <w:sz w:val="18"/>
          <w:lang w:val="el-GR" w:eastAsia="el-GR"/>
        </w:rPr>
      </w:pPr>
    </w:p>
    <w:p w14:paraId="223E1FD3" w14:textId="77777777" w:rsidR="00D022B5" w:rsidRDefault="00D022B5" w:rsidP="004953BA">
      <w:pPr>
        <w:autoSpaceDE w:val="0"/>
        <w:autoSpaceDN w:val="0"/>
        <w:spacing w:after="0" w:line="240" w:lineRule="auto"/>
        <w:jc w:val="both"/>
        <w:rPr>
          <w:rFonts w:ascii="Arial" w:hAnsi="Arial" w:cs="Arial"/>
          <w:b/>
          <w:bCs/>
          <w:sz w:val="18"/>
          <w:szCs w:val="18"/>
          <w:lang w:val="el-GR"/>
        </w:rPr>
      </w:pPr>
    </w:p>
    <w:p w14:paraId="68172395" w14:textId="77777777" w:rsidR="00D022B5" w:rsidRPr="006A1797" w:rsidRDefault="00D022B5" w:rsidP="00D022B5">
      <w:pPr>
        <w:rPr>
          <w:rFonts w:ascii="Arial" w:hAnsi="Arial" w:cs="Arial"/>
          <w:b/>
          <w:bCs/>
          <w:color w:val="FF9900"/>
          <w:sz w:val="24"/>
          <w:lang w:val="el-GR"/>
        </w:rPr>
      </w:pPr>
      <w:r w:rsidRPr="00132262">
        <w:rPr>
          <w:rFonts w:ascii="Arial" w:hAnsi="Arial" w:cs="Arial"/>
          <w:b/>
          <w:bCs/>
          <w:color w:val="FF9900"/>
          <w:sz w:val="24"/>
          <w:lang w:val="el-GR"/>
        </w:rPr>
        <w:lastRenderedPageBreak/>
        <w:t xml:space="preserve">Β. Οικονομικά Αποτελέσματα Συγκροτήματος – Υποκείμενη Βάση </w:t>
      </w:r>
      <w:r w:rsidRPr="00132262">
        <w:rPr>
          <w:rFonts w:ascii="Arial" w:hAnsi="Arial" w:cs="Arial"/>
          <w:color w:val="FF9900"/>
          <w:sz w:val="24"/>
          <w:lang w:val="el-GR"/>
        </w:rPr>
        <w:t>(συνέχεια)</w:t>
      </w:r>
    </w:p>
    <w:p w14:paraId="5ABCE890" w14:textId="77777777" w:rsidR="00D022B5" w:rsidRPr="006A1797" w:rsidRDefault="00D022B5" w:rsidP="00D022B5">
      <w:pPr>
        <w:rPr>
          <w:rFonts w:ascii="Arial" w:hAnsi="Arial" w:cs="Arial"/>
          <w:b/>
          <w:bCs/>
          <w:color w:val="FF9900"/>
          <w:sz w:val="24"/>
          <w:lang w:val="el-GR"/>
        </w:rPr>
      </w:pPr>
      <w:r w:rsidRPr="00132262">
        <w:rPr>
          <w:rFonts w:ascii="Arial" w:hAnsi="Arial" w:cs="Arial"/>
          <w:b/>
          <w:bCs/>
          <w:color w:val="FF9900"/>
          <w:sz w:val="23"/>
          <w:szCs w:val="23"/>
          <w:lang w:val="el-GR"/>
        </w:rPr>
        <w:t xml:space="preserve">Β.2 Ανάλυση Ισολογισμού </w:t>
      </w:r>
      <w:r w:rsidRPr="00132262">
        <w:rPr>
          <w:rFonts w:ascii="Arial" w:hAnsi="Arial" w:cs="Arial"/>
          <w:color w:val="FF9900"/>
          <w:sz w:val="23"/>
          <w:szCs w:val="23"/>
          <w:lang w:val="el-GR"/>
        </w:rPr>
        <w:t>(συνέχεια)</w:t>
      </w:r>
    </w:p>
    <w:p w14:paraId="636B4658" w14:textId="5D07EA0F" w:rsidR="00D022B5" w:rsidRDefault="00D022B5" w:rsidP="00D022B5">
      <w:pPr>
        <w:rPr>
          <w:rFonts w:ascii="Arial" w:hAnsi="Arial" w:cs="Arial"/>
          <w:color w:val="FF9900"/>
          <w:lang w:val="el-GR"/>
        </w:rPr>
      </w:pPr>
      <w:r w:rsidRPr="00353BC8">
        <w:rPr>
          <w:rFonts w:ascii="Arial" w:hAnsi="Arial" w:cs="Arial"/>
          <w:b/>
          <w:bCs/>
          <w:color w:val="FF9900"/>
          <w:lang w:val="el-GR"/>
        </w:rPr>
        <w:t>Β</w:t>
      </w:r>
      <w:r w:rsidRPr="00CB38F0">
        <w:rPr>
          <w:rFonts w:ascii="Arial" w:eastAsia="Times New Roman" w:hAnsi="Arial" w:cs="Arial"/>
          <w:b/>
          <w:bCs/>
          <w:color w:val="FF9900"/>
          <w:szCs w:val="24"/>
          <w:lang w:val="el-GR" w:eastAsia="el-GR"/>
        </w:rPr>
        <w:t xml:space="preserve">.2.5 </w:t>
      </w:r>
      <w:r w:rsidRPr="00CB38F0">
        <w:rPr>
          <w:rFonts w:ascii="Arial" w:hAnsi="Arial" w:cs="Arial"/>
          <w:b/>
          <w:bCs/>
          <w:color w:val="FF9900"/>
          <w:lang w:val="el-GR" w:eastAsia="el-GR"/>
        </w:rPr>
        <w:t xml:space="preserve">Ποιότητα δανειακού </w:t>
      </w:r>
      <w:r w:rsidRPr="00D022B5">
        <w:rPr>
          <w:rFonts w:ascii="Arial" w:hAnsi="Arial" w:cs="Arial"/>
          <w:b/>
          <w:bCs/>
          <w:color w:val="FF9900"/>
          <w:lang w:val="el-GR" w:eastAsia="el-GR"/>
        </w:rPr>
        <w:t xml:space="preserve">χαρτοφυλακίου </w:t>
      </w:r>
      <w:r w:rsidRPr="00D022B5">
        <w:rPr>
          <w:rFonts w:ascii="Arial" w:hAnsi="Arial" w:cs="Arial"/>
          <w:color w:val="FF9900"/>
          <w:lang w:val="el-GR"/>
        </w:rPr>
        <w:t>(συνέχεια)</w:t>
      </w:r>
    </w:p>
    <w:p w14:paraId="5B802F94" w14:textId="4787C5E6" w:rsidR="00D022B5" w:rsidRPr="00D022B5" w:rsidRDefault="00D022B5" w:rsidP="00D022B5">
      <w:pPr>
        <w:autoSpaceDE w:val="0"/>
        <w:autoSpaceDN w:val="0"/>
        <w:spacing w:after="0" w:line="360" w:lineRule="auto"/>
        <w:jc w:val="both"/>
        <w:rPr>
          <w:rFonts w:ascii="Arial" w:eastAsia="Times New Roman" w:hAnsi="Arial" w:cs="Arial"/>
          <w:b/>
          <w:bCs/>
          <w:i/>
          <w:iCs/>
          <w:color w:val="FF9900"/>
          <w:sz w:val="20"/>
          <w:lang w:val="el-GR" w:eastAsia="el-GR"/>
        </w:rPr>
      </w:pPr>
      <w:r w:rsidRPr="00CB38F0">
        <w:rPr>
          <w:rFonts w:ascii="Arial" w:eastAsia="Times New Roman" w:hAnsi="Arial" w:cs="Arial"/>
          <w:b/>
          <w:bCs/>
          <w:i/>
          <w:iCs/>
          <w:color w:val="FF9900"/>
          <w:sz w:val="20"/>
          <w:lang w:val="el-GR" w:eastAsia="el-GR"/>
        </w:rPr>
        <w:t xml:space="preserve">Μη Εξυπηρετούμενα </w:t>
      </w:r>
      <w:r w:rsidRPr="00D022B5">
        <w:rPr>
          <w:rFonts w:ascii="Arial" w:eastAsia="Times New Roman" w:hAnsi="Arial" w:cs="Arial"/>
          <w:b/>
          <w:bCs/>
          <w:i/>
          <w:iCs/>
          <w:color w:val="FF9900"/>
          <w:sz w:val="20"/>
          <w:szCs w:val="20"/>
          <w:lang w:val="el-GR" w:eastAsia="el-GR"/>
        </w:rPr>
        <w:t xml:space="preserve">Δάνεια (ΜΕΔ) </w:t>
      </w:r>
      <w:r w:rsidRPr="00D022B5">
        <w:rPr>
          <w:rFonts w:ascii="Arial" w:hAnsi="Arial" w:cs="Arial"/>
          <w:i/>
          <w:iCs/>
          <w:color w:val="FF9900"/>
          <w:sz w:val="20"/>
          <w:szCs w:val="20"/>
          <w:lang w:val="el-GR"/>
        </w:rPr>
        <w:t>(συνέχεια)</w:t>
      </w:r>
    </w:p>
    <w:p w14:paraId="740E6A76" w14:textId="77777777" w:rsidR="00D022B5" w:rsidRDefault="00D022B5" w:rsidP="004953BA">
      <w:pPr>
        <w:autoSpaceDE w:val="0"/>
        <w:autoSpaceDN w:val="0"/>
        <w:spacing w:after="0" w:line="240" w:lineRule="auto"/>
        <w:jc w:val="both"/>
        <w:rPr>
          <w:rFonts w:ascii="Arial" w:hAnsi="Arial" w:cs="Arial"/>
          <w:b/>
          <w:bCs/>
          <w:sz w:val="18"/>
          <w:szCs w:val="18"/>
          <w:lang w:val="el-GR"/>
        </w:rPr>
      </w:pPr>
    </w:p>
    <w:p w14:paraId="64760E5C" w14:textId="3594B0A0" w:rsidR="00F60E3F" w:rsidRPr="00CB38F0" w:rsidRDefault="00352599" w:rsidP="004953BA">
      <w:pPr>
        <w:autoSpaceDE w:val="0"/>
        <w:autoSpaceDN w:val="0"/>
        <w:spacing w:after="0" w:line="240" w:lineRule="auto"/>
        <w:jc w:val="both"/>
        <w:rPr>
          <w:rFonts w:ascii="Arial" w:hAnsi="Arial" w:cs="Arial"/>
          <w:b/>
          <w:sz w:val="18"/>
          <w:szCs w:val="18"/>
          <w:lang w:val="el-GR"/>
        </w:rPr>
      </w:pPr>
      <w:r w:rsidRPr="00CB38F0">
        <w:rPr>
          <w:rFonts w:ascii="Arial" w:hAnsi="Arial" w:cs="Arial"/>
          <w:b/>
          <w:bCs/>
          <w:sz w:val="18"/>
          <w:szCs w:val="18"/>
          <w:lang w:val="el-GR"/>
        </w:rPr>
        <w:t xml:space="preserve">Τα μη εξυπηρετούμενα δάνεια με βάση την Ευρωπαϊκή Αρχή Τραπεζών (ΜΕΔ) </w:t>
      </w:r>
      <w:r w:rsidR="00F60E3F" w:rsidRPr="00CB38F0">
        <w:rPr>
          <w:rFonts w:ascii="Arial" w:hAnsi="Arial" w:cs="Arial"/>
          <w:sz w:val="18"/>
          <w:szCs w:val="18"/>
          <w:lang w:val="el-GR"/>
        </w:rPr>
        <w:t xml:space="preserve">μειώθηκαν </w:t>
      </w:r>
      <w:r w:rsidRPr="00CB38F0">
        <w:rPr>
          <w:rFonts w:ascii="Arial" w:hAnsi="Arial" w:cs="Arial"/>
          <w:sz w:val="18"/>
          <w:szCs w:val="18"/>
          <w:lang w:val="el-GR"/>
        </w:rPr>
        <w:t>κατά €</w:t>
      </w:r>
      <w:r w:rsidR="002D2D73" w:rsidRPr="006A1797">
        <w:rPr>
          <w:rFonts w:ascii="Arial" w:eastAsia="Times New Roman" w:hAnsi="Arial" w:cs="Arial"/>
          <w:bCs/>
          <w:sz w:val="18"/>
          <w:szCs w:val="20"/>
          <w:lang w:val="el-GR" w:eastAsia="el-GR"/>
        </w:rPr>
        <w:t xml:space="preserve">53 </w:t>
      </w:r>
      <w:r w:rsidRPr="00CB38F0">
        <w:rPr>
          <w:rFonts w:ascii="Arial" w:hAnsi="Arial" w:cs="Arial"/>
          <w:sz w:val="18"/>
          <w:szCs w:val="18"/>
          <w:lang w:val="el-GR"/>
        </w:rPr>
        <w:t>εκατ.,</w:t>
      </w:r>
      <w:r w:rsidR="00B60BB8" w:rsidRPr="00CB38F0">
        <w:rPr>
          <w:rFonts w:ascii="Arial" w:hAnsi="Arial" w:cs="Arial"/>
          <w:sz w:val="18"/>
          <w:szCs w:val="18"/>
          <w:lang w:val="el-GR"/>
        </w:rPr>
        <w:t xml:space="preserve"> </w:t>
      </w:r>
      <w:r w:rsidRPr="00CB38F0">
        <w:rPr>
          <w:rFonts w:ascii="Arial" w:hAnsi="Arial" w:cs="Arial"/>
          <w:sz w:val="18"/>
          <w:szCs w:val="18"/>
          <w:lang w:val="el-GR"/>
        </w:rPr>
        <w:t xml:space="preserve">ή </w:t>
      </w:r>
      <w:r w:rsidR="002D2D73" w:rsidRPr="006A1797">
        <w:rPr>
          <w:rFonts w:ascii="Arial" w:eastAsia="Times New Roman" w:hAnsi="Arial" w:cs="Arial"/>
          <w:bCs/>
          <w:sz w:val="18"/>
          <w:szCs w:val="20"/>
          <w:lang w:val="el-GR" w:eastAsia="el-GR"/>
        </w:rPr>
        <w:t>15</w:t>
      </w:r>
      <w:r w:rsidRPr="00CB38F0">
        <w:rPr>
          <w:rFonts w:ascii="Arial" w:hAnsi="Arial" w:cs="Arial"/>
          <w:sz w:val="18"/>
          <w:szCs w:val="18"/>
          <w:lang w:val="el-GR"/>
        </w:rPr>
        <w:t>%</w:t>
      </w:r>
      <w:r w:rsidR="00296055" w:rsidRPr="00CB38F0">
        <w:rPr>
          <w:rFonts w:ascii="Arial" w:hAnsi="Arial" w:cs="Arial"/>
          <w:sz w:val="18"/>
          <w:szCs w:val="18"/>
          <w:lang w:val="el-GR"/>
        </w:rPr>
        <w:t xml:space="preserve"> </w:t>
      </w:r>
      <w:r w:rsidRPr="00CB38F0">
        <w:rPr>
          <w:rFonts w:ascii="Arial" w:hAnsi="Arial" w:cs="Arial"/>
          <w:sz w:val="18"/>
          <w:szCs w:val="18"/>
          <w:lang w:val="el-GR"/>
        </w:rPr>
        <w:t xml:space="preserve">κατά το </w:t>
      </w:r>
      <w:r w:rsidR="00AF447F" w:rsidRPr="00CB38F0">
        <w:rPr>
          <w:rFonts w:ascii="Arial" w:hAnsi="Arial" w:cs="Arial"/>
          <w:sz w:val="18"/>
          <w:szCs w:val="18"/>
          <w:lang w:val="el-GR"/>
        </w:rPr>
        <w:t xml:space="preserve">β’ </w:t>
      </w:r>
      <w:r w:rsidRPr="00CB38F0">
        <w:rPr>
          <w:rFonts w:ascii="Arial" w:hAnsi="Arial" w:cs="Arial"/>
          <w:sz w:val="18"/>
          <w:szCs w:val="18"/>
          <w:lang w:val="el-GR"/>
        </w:rPr>
        <w:t xml:space="preserve">τρίμηνο </w:t>
      </w:r>
      <w:r w:rsidR="00F60E3F" w:rsidRPr="00CB38F0">
        <w:rPr>
          <w:rFonts w:ascii="Arial" w:hAnsi="Arial" w:cs="Arial"/>
          <w:sz w:val="18"/>
          <w:szCs w:val="18"/>
          <w:lang w:val="el-GR"/>
        </w:rPr>
        <w:t>2024</w:t>
      </w:r>
      <w:r w:rsidRPr="00CB38F0">
        <w:rPr>
          <w:rFonts w:ascii="Arial" w:hAnsi="Arial" w:cs="Arial"/>
          <w:sz w:val="18"/>
          <w:szCs w:val="18"/>
          <w:lang w:val="el-GR"/>
        </w:rPr>
        <w:t xml:space="preserve">, σε σύγκριση με </w:t>
      </w:r>
      <w:r w:rsidR="000B2CEC" w:rsidRPr="00CB38F0">
        <w:rPr>
          <w:rFonts w:ascii="Arial" w:eastAsia="Times New Roman" w:hAnsi="Arial" w:cs="Arial"/>
          <w:bCs/>
          <w:sz w:val="18"/>
          <w:szCs w:val="20"/>
          <w:lang w:val="el-GR" w:eastAsia="el-GR"/>
        </w:rPr>
        <w:t xml:space="preserve">καθαρή </w:t>
      </w:r>
      <w:r w:rsidR="00AF447F" w:rsidRPr="00CB38F0">
        <w:rPr>
          <w:rFonts w:ascii="Arial" w:eastAsia="Times New Roman" w:hAnsi="Arial" w:cs="Arial"/>
          <w:bCs/>
          <w:sz w:val="18"/>
          <w:szCs w:val="20"/>
          <w:lang w:val="el-GR" w:eastAsia="el-GR"/>
        </w:rPr>
        <w:t xml:space="preserve">μείωση </w:t>
      </w:r>
      <w:r w:rsidR="000B2CEC" w:rsidRPr="00CB38F0">
        <w:rPr>
          <w:rFonts w:ascii="Arial" w:eastAsia="Times New Roman" w:hAnsi="Arial" w:cs="Arial"/>
          <w:bCs/>
          <w:sz w:val="18"/>
          <w:szCs w:val="20"/>
          <w:lang w:val="el-GR" w:eastAsia="el-GR"/>
        </w:rPr>
        <w:t xml:space="preserve">ΜΕΔ ύψους </w:t>
      </w:r>
      <w:r w:rsidR="00AF447F" w:rsidRPr="00CB38F0">
        <w:rPr>
          <w:rFonts w:ascii="Arial" w:hAnsi="Arial" w:cs="Arial"/>
          <w:sz w:val="18"/>
          <w:szCs w:val="18"/>
          <w:lang w:val="el-GR"/>
        </w:rPr>
        <w:t>€</w:t>
      </w:r>
      <w:r w:rsidR="00AF447F" w:rsidRPr="00CB38F0">
        <w:rPr>
          <w:rFonts w:ascii="Arial" w:eastAsia="Times New Roman" w:hAnsi="Arial" w:cs="Arial"/>
          <w:bCs/>
          <w:sz w:val="18"/>
          <w:szCs w:val="20"/>
          <w:lang w:val="el-GR" w:eastAsia="el-GR"/>
        </w:rPr>
        <w:t xml:space="preserve">18 </w:t>
      </w:r>
      <w:r w:rsidR="00AF447F" w:rsidRPr="00CB38F0">
        <w:rPr>
          <w:rFonts w:ascii="Arial" w:hAnsi="Arial" w:cs="Arial"/>
          <w:sz w:val="18"/>
          <w:szCs w:val="18"/>
          <w:lang w:val="el-GR"/>
        </w:rPr>
        <w:t>εκατ</w:t>
      </w:r>
      <w:r w:rsidR="00AF447F" w:rsidRPr="00CB38F0">
        <w:rPr>
          <w:rFonts w:ascii="Arial" w:eastAsia="Times New Roman" w:hAnsi="Arial" w:cs="Arial"/>
          <w:bCs/>
          <w:sz w:val="18"/>
          <w:szCs w:val="20"/>
          <w:lang w:val="el-GR" w:eastAsia="el-GR"/>
        </w:rPr>
        <w:t>. κατά το α΄ τρίμηνο 2024</w:t>
      </w:r>
      <w:r w:rsidR="000E5BC5" w:rsidRPr="006A1797">
        <w:rPr>
          <w:rFonts w:ascii="Arial" w:eastAsia="Times New Roman" w:hAnsi="Arial" w:cs="Arial"/>
          <w:bCs/>
          <w:sz w:val="18"/>
          <w:szCs w:val="20"/>
          <w:lang w:val="el-GR" w:eastAsia="el-GR"/>
        </w:rPr>
        <w:t xml:space="preserve">, </w:t>
      </w:r>
      <w:r w:rsidRPr="00CB38F0">
        <w:rPr>
          <w:rFonts w:ascii="Arial" w:hAnsi="Arial" w:cs="Arial"/>
          <w:sz w:val="18"/>
          <w:szCs w:val="18"/>
          <w:lang w:val="el-GR"/>
        </w:rPr>
        <w:t>σε €</w:t>
      </w:r>
      <w:r w:rsidR="000E5BC5" w:rsidRPr="006A1797">
        <w:rPr>
          <w:rFonts w:ascii="Arial" w:eastAsia="Times New Roman" w:hAnsi="Arial" w:cs="Arial"/>
          <w:bCs/>
          <w:sz w:val="18"/>
          <w:szCs w:val="20"/>
          <w:lang w:val="el-GR" w:eastAsia="el-GR"/>
        </w:rPr>
        <w:t xml:space="preserve">294 </w:t>
      </w:r>
      <w:r w:rsidRPr="00CB38F0">
        <w:rPr>
          <w:rFonts w:ascii="Arial" w:hAnsi="Arial" w:cs="Arial"/>
          <w:sz w:val="18"/>
          <w:szCs w:val="18"/>
          <w:lang w:val="el-GR"/>
        </w:rPr>
        <w:t xml:space="preserve">εκατ. στις </w:t>
      </w:r>
      <w:r w:rsidR="00AF447F" w:rsidRPr="00CB38F0">
        <w:rPr>
          <w:rFonts w:ascii="Arial" w:hAnsi="Arial" w:cs="Arial"/>
          <w:sz w:val="18"/>
          <w:szCs w:val="18"/>
          <w:lang w:val="el-GR"/>
        </w:rPr>
        <w:t xml:space="preserve">30 </w:t>
      </w:r>
      <w:r w:rsidR="00AF447F" w:rsidRPr="00CB38F0">
        <w:rPr>
          <w:rFonts w:ascii="Arial" w:hAnsi="Arial" w:cs="Arial"/>
          <w:sz w:val="18"/>
          <w:lang w:val="el-GR" w:eastAsia="el-GR"/>
        </w:rPr>
        <w:t xml:space="preserve">Ιουνίου </w:t>
      </w:r>
      <w:r w:rsidR="00F60E3F" w:rsidRPr="00CB38F0">
        <w:rPr>
          <w:rFonts w:ascii="Arial" w:hAnsi="Arial" w:cs="Arial"/>
          <w:sz w:val="18"/>
          <w:szCs w:val="18"/>
          <w:lang w:val="el-GR"/>
        </w:rPr>
        <w:t xml:space="preserve">2024 </w:t>
      </w:r>
      <w:r w:rsidRPr="00CB38F0">
        <w:rPr>
          <w:rFonts w:ascii="Arial" w:hAnsi="Arial" w:cs="Arial"/>
          <w:sz w:val="18"/>
          <w:szCs w:val="18"/>
          <w:lang w:val="el-GR"/>
        </w:rPr>
        <w:t>(σε σύγκριση με</w:t>
      </w:r>
      <w:r w:rsidR="00AF447F" w:rsidRPr="00CB38F0">
        <w:rPr>
          <w:rFonts w:ascii="Arial" w:hAnsi="Arial" w:cs="Arial"/>
          <w:sz w:val="18"/>
          <w:szCs w:val="18"/>
          <w:lang w:val="el-GR"/>
        </w:rPr>
        <w:t xml:space="preserve"> </w:t>
      </w:r>
      <w:r w:rsidR="00272164" w:rsidRPr="00CB38F0">
        <w:rPr>
          <w:rFonts w:ascii="Arial" w:hAnsi="Arial" w:cs="Arial"/>
          <w:sz w:val="18"/>
          <w:szCs w:val="18"/>
          <w:lang w:val="el-GR"/>
        </w:rPr>
        <w:t>€</w:t>
      </w:r>
      <w:r w:rsidR="00AF447F" w:rsidRPr="00CB38F0">
        <w:rPr>
          <w:rFonts w:ascii="Arial" w:eastAsia="Times New Roman" w:hAnsi="Arial" w:cs="Arial"/>
          <w:bCs/>
          <w:sz w:val="18"/>
          <w:szCs w:val="20"/>
          <w:lang w:val="el-GR" w:eastAsia="el-GR"/>
        </w:rPr>
        <w:t xml:space="preserve">347 </w:t>
      </w:r>
      <w:r w:rsidR="00AF447F" w:rsidRPr="00CB38F0">
        <w:rPr>
          <w:rFonts w:ascii="Arial" w:hAnsi="Arial" w:cs="Arial"/>
          <w:sz w:val="18"/>
          <w:szCs w:val="18"/>
          <w:lang w:val="el-GR"/>
        </w:rPr>
        <w:t xml:space="preserve">εκατ. στις 31 </w:t>
      </w:r>
      <w:r w:rsidR="00AF447F" w:rsidRPr="00CB38F0">
        <w:rPr>
          <w:rFonts w:ascii="Arial" w:hAnsi="Arial" w:cs="Arial"/>
          <w:sz w:val="18"/>
          <w:lang w:val="el-GR" w:eastAsia="el-GR"/>
        </w:rPr>
        <w:t xml:space="preserve">Μαρτίου </w:t>
      </w:r>
      <w:r w:rsidR="00AF447F" w:rsidRPr="00CB38F0">
        <w:rPr>
          <w:rFonts w:ascii="Arial" w:hAnsi="Arial" w:cs="Arial"/>
          <w:sz w:val="18"/>
          <w:szCs w:val="18"/>
          <w:lang w:val="el-GR"/>
        </w:rPr>
        <w:t xml:space="preserve">2024 και με </w:t>
      </w:r>
      <w:r w:rsidR="00B60BB8" w:rsidRPr="00CB38F0">
        <w:rPr>
          <w:rFonts w:ascii="Arial" w:hAnsi="Arial" w:cs="Arial"/>
          <w:sz w:val="18"/>
          <w:szCs w:val="18"/>
          <w:lang w:val="el-GR"/>
        </w:rPr>
        <w:t>€</w:t>
      </w:r>
      <w:r w:rsidR="00F60E3F" w:rsidRPr="00CB38F0">
        <w:rPr>
          <w:rFonts w:ascii="Arial" w:eastAsia="Times New Roman" w:hAnsi="Arial" w:cs="Arial"/>
          <w:bCs/>
          <w:sz w:val="18"/>
          <w:szCs w:val="20"/>
          <w:lang w:val="el-GR" w:eastAsia="el-GR"/>
        </w:rPr>
        <w:t xml:space="preserve">365 </w:t>
      </w:r>
      <w:r w:rsidR="00B60BB8" w:rsidRPr="00CB38F0">
        <w:rPr>
          <w:rFonts w:ascii="Arial" w:hAnsi="Arial" w:cs="Arial"/>
          <w:sz w:val="18"/>
          <w:szCs w:val="18"/>
          <w:lang w:val="el-GR"/>
        </w:rPr>
        <w:t xml:space="preserve">εκατ. στις </w:t>
      </w:r>
      <w:r w:rsidR="00F60E3F" w:rsidRPr="00CB38F0">
        <w:rPr>
          <w:rFonts w:ascii="Arial" w:hAnsi="Arial" w:cs="Arial"/>
          <w:sz w:val="18"/>
          <w:szCs w:val="18"/>
          <w:lang w:val="el-GR"/>
        </w:rPr>
        <w:t xml:space="preserve">31 Δεκεμβρίου </w:t>
      </w:r>
      <w:r w:rsidR="00475152" w:rsidRPr="00CB38F0">
        <w:rPr>
          <w:rFonts w:ascii="Arial" w:hAnsi="Arial" w:cs="Arial"/>
          <w:sz w:val="18"/>
          <w:szCs w:val="18"/>
          <w:lang w:val="el-GR"/>
        </w:rPr>
        <w:t>2023</w:t>
      </w:r>
      <w:r w:rsidR="000E5BC5" w:rsidRPr="006A1797">
        <w:rPr>
          <w:rFonts w:ascii="Arial" w:hAnsi="Arial" w:cs="Arial"/>
          <w:sz w:val="18"/>
          <w:szCs w:val="18"/>
          <w:lang w:val="el-GR"/>
        </w:rPr>
        <w:t>)</w:t>
      </w:r>
      <w:r w:rsidR="00F60E3F" w:rsidRPr="00CB38F0">
        <w:rPr>
          <w:rFonts w:ascii="Arial" w:hAnsi="Arial" w:cs="Arial"/>
          <w:sz w:val="18"/>
          <w:szCs w:val="18"/>
          <w:lang w:val="el-GR"/>
        </w:rPr>
        <w:t>.</w:t>
      </w:r>
    </w:p>
    <w:p w14:paraId="0A66CA8D" w14:textId="77777777" w:rsidR="00E25C49" w:rsidRPr="00CB38F0" w:rsidRDefault="00E25C49" w:rsidP="001D77B6">
      <w:pPr>
        <w:autoSpaceDE w:val="0"/>
        <w:autoSpaceDN w:val="0"/>
        <w:spacing w:after="0" w:line="240" w:lineRule="auto"/>
        <w:jc w:val="both"/>
        <w:rPr>
          <w:rFonts w:ascii="Arial" w:hAnsi="Arial" w:cs="Arial"/>
          <w:sz w:val="18"/>
          <w:szCs w:val="18"/>
          <w:lang w:val="el-GR"/>
        </w:rPr>
      </w:pPr>
    </w:p>
    <w:p w14:paraId="6E944BEF" w14:textId="22663D92" w:rsidR="00E771D9" w:rsidRPr="00CB38F0" w:rsidRDefault="00352599" w:rsidP="001D77B6">
      <w:pPr>
        <w:autoSpaceDE w:val="0"/>
        <w:autoSpaceDN w:val="0"/>
        <w:spacing w:after="0" w:line="240" w:lineRule="auto"/>
        <w:jc w:val="both"/>
        <w:rPr>
          <w:rFonts w:ascii="Arial" w:hAnsi="Arial" w:cs="Arial"/>
          <w:sz w:val="18"/>
          <w:szCs w:val="18"/>
          <w:lang w:val="el-GR"/>
        </w:rPr>
      </w:pPr>
      <w:r w:rsidRPr="00CB38F0">
        <w:rPr>
          <w:rFonts w:ascii="Arial" w:hAnsi="Arial" w:cs="Arial"/>
          <w:sz w:val="18"/>
          <w:szCs w:val="18"/>
          <w:lang w:val="el-GR"/>
        </w:rPr>
        <w:t xml:space="preserve">Ως αποτέλεσμα, τα ΜΕΔ </w:t>
      </w:r>
      <w:r w:rsidR="0059202E">
        <w:rPr>
          <w:rFonts w:ascii="Arial" w:hAnsi="Arial" w:cs="Arial"/>
          <w:sz w:val="18"/>
          <w:szCs w:val="18"/>
          <w:lang w:val="el-GR"/>
        </w:rPr>
        <w:t>μειώθηκαν στο</w:t>
      </w:r>
      <w:r w:rsidR="00F66142" w:rsidRPr="00CB38F0">
        <w:rPr>
          <w:rFonts w:ascii="Arial" w:eastAsia="Times New Roman" w:hAnsi="Arial" w:cs="Arial"/>
          <w:sz w:val="18"/>
          <w:szCs w:val="20"/>
          <w:lang w:val="el-GR" w:eastAsia="el-GR"/>
        </w:rPr>
        <w:t xml:space="preserve"> </w:t>
      </w:r>
      <w:r w:rsidR="000E5BC5" w:rsidRPr="006A1797">
        <w:rPr>
          <w:rFonts w:ascii="Arial" w:eastAsia="Times New Roman" w:hAnsi="Arial" w:cs="Arial"/>
          <w:sz w:val="18"/>
          <w:szCs w:val="20"/>
          <w:lang w:val="el-GR" w:eastAsia="el-GR"/>
        </w:rPr>
        <w:t>2.8</w:t>
      </w:r>
      <w:r w:rsidRPr="00CB38F0">
        <w:rPr>
          <w:rFonts w:ascii="Arial" w:hAnsi="Arial" w:cs="Arial"/>
          <w:sz w:val="18"/>
          <w:szCs w:val="18"/>
          <w:lang w:val="el-GR"/>
        </w:rPr>
        <w:t xml:space="preserve">% του συνόλου των δανείων στις </w:t>
      </w:r>
      <w:r w:rsidR="00AF447F" w:rsidRPr="00CB38F0">
        <w:rPr>
          <w:rFonts w:ascii="Arial" w:hAnsi="Arial" w:cs="Arial"/>
          <w:sz w:val="18"/>
          <w:szCs w:val="18"/>
          <w:lang w:val="el-GR"/>
        </w:rPr>
        <w:t xml:space="preserve">30 </w:t>
      </w:r>
      <w:r w:rsidR="00AF447F" w:rsidRPr="00CB38F0">
        <w:rPr>
          <w:rFonts w:ascii="Arial" w:hAnsi="Arial" w:cs="Arial"/>
          <w:sz w:val="18"/>
          <w:lang w:val="el-GR" w:eastAsia="el-GR"/>
        </w:rPr>
        <w:t xml:space="preserve">Ιουνίου </w:t>
      </w:r>
      <w:r w:rsidR="00E771D9" w:rsidRPr="00CB38F0">
        <w:rPr>
          <w:rFonts w:ascii="Arial" w:hAnsi="Arial" w:cs="Arial"/>
          <w:sz w:val="18"/>
          <w:szCs w:val="18"/>
          <w:lang w:val="el-GR"/>
        </w:rPr>
        <w:t>2024</w:t>
      </w:r>
      <w:r w:rsidRPr="00CB38F0">
        <w:rPr>
          <w:rFonts w:ascii="Arial" w:hAnsi="Arial" w:cs="Arial"/>
          <w:sz w:val="18"/>
          <w:szCs w:val="18"/>
          <w:lang w:val="el-GR"/>
        </w:rPr>
        <w:t xml:space="preserve">, σε σύγκριση με </w:t>
      </w:r>
      <w:r w:rsidR="00AF447F" w:rsidRPr="00CB38F0">
        <w:rPr>
          <w:rFonts w:ascii="Arial" w:eastAsia="Times New Roman" w:hAnsi="Arial" w:cs="Arial"/>
          <w:sz w:val="18"/>
          <w:szCs w:val="20"/>
          <w:lang w:val="el-GR" w:eastAsia="el-GR"/>
        </w:rPr>
        <w:t>3.4</w:t>
      </w:r>
      <w:r w:rsidR="00AF447F" w:rsidRPr="00CB38F0">
        <w:rPr>
          <w:rFonts w:ascii="Arial" w:hAnsi="Arial" w:cs="Arial"/>
          <w:sz w:val="18"/>
          <w:szCs w:val="18"/>
          <w:lang w:val="el-GR"/>
        </w:rPr>
        <w:t xml:space="preserve">% στις 31 </w:t>
      </w:r>
      <w:r w:rsidR="00AF447F" w:rsidRPr="00CB38F0">
        <w:rPr>
          <w:rFonts w:ascii="Arial" w:hAnsi="Arial" w:cs="Arial"/>
          <w:sz w:val="18"/>
          <w:lang w:val="el-GR" w:eastAsia="el-GR"/>
        </w:rPr>
        <w:t xml:space="preserve">Μαρτίου </w:t>
      </w:r>
      <w:r w:rsidR="00AF447F" w:rsidRPr="00CB38F0">
        <w:rPr>
          <w:rFonts w:ascii="Arial" w:hAnsi="Arial" w:cs="Arial"/>
          <w:sz w:val="18"/>
          <w:szCs w:val="18"/>
          <w:lang w:val="el-GR"/>
        </w:rPr>
        <w:t xml:space="preserve">2024 και με </w:t>
      </w:r>
      <w:r w:rsidR="00475152" w:rsidRPr="00CB38F0">
        <w:rPr>
          <w:rFonts w:ascii="Arial" w:hAnsi="Arial" w:cs="Arial"/>
          <w:sz w:val="18"/>
          <w:szCs w:val="18"/>
          <w:lang w:val="el-GR"/>
        </w:rPr>
        <w:t>3.</w:t>
      </w:r>
      <w:r w:rsidR="00E771D9" w:rsidRPr="00CB38F0">
        <w:rPr>
          <w:rFonts w:ascii="Arial" w:hAnsi="Arial" w:cs="Arial"/>
          <w:sz w:val="18"/>
          <w:szCs w:val="18"/>
          <w:lang w:val="el-GR"/>
        </w:rPr>
        <w:t>6</w:t>
      </w:r>
      <w:r w:rsidR="00475152" w:rsidRPr="00CB38F0">
        <w:rPr>
          <w:rFonts w:ascii="Arial" w:hAnsi="Arial" w:cs="Arial"/>
          <w:sz w:val="18"/>
          <w:szCs w:val="18"/>
          <w:lang w:val="el-GR"/>
        </w:rPr>
        <w:t xml:space="preserve">% </w:t>
      </w:r>
      <w:r w:rsidR="000B2CEC" w:rsidRPr="00CB38F0">
        <w:rPr>
          <w:rFonts w:ascii="Arial" w:hAnsi="Arial" w:cs="Arial"/>
          <w:sz w:val="18"/>
          <w:szCs w:val="18"/>
          <w:lang w:val="el-GR"/>
        </w:rPr>
        <w:t xml:space="preserve">στις </w:t>
      </w:r>
      <w:r w:rsidR="00E771D9" w:rsidRPr="00CB38F0">
        <w:rPr>
          <w:rFonts w:ascii="Arial" w:hAnsi="Arial" w:cs="Arial"/>
          <w:sz w:val="18"/>
          <w:szCs w:val="18"/>
          <w:lang w:val="el-GR"/>
        </w:rPr>
        <w:t xml:space="preserve">31 Δεκεμβρίου </w:t>
      </w:r>
      <w:r w:rsidR="00D969F0" w:rsidRPr="00CB38F0">
        <w:rPr>
          <w:rFonts w:ascii="Arial" w:hAnsi="Arial" w:cs="Arial"/>
          <w:sz w:val="18"/>
          <w:szCs w:val="18"/>
          <w:lang w:val="el-GR"/>
        </w:rPr>
        <w:t>2023</w:t>
      </w:r>
      <w:r w:rsidR="00E771D9" w:rsidRPr="00CB38F0">
        <w:rPr>
          <w:rFonts w:ascii="Arial" w:hAnsi="Arial" w:cs="Arial"/>
          <w:sz w:val="18"/>
          <w:szCs w:val="18"/>
          <w:lang w:val="el-GR"/>
        </w:rPr>
        <w:t>.</w:t>
      </w:r>
    </w:p>
    <w:p w14:paraId="348604ED" w14:textId="77777777" w:rsidR="00352599" w:rsidRPr="00CB38F0" w:rsidRDefault="00352599" w:rsidP="001D77B6">
      <w:pPr>
        <w:autoSpaceDE w:val="0"/>
        <w:autoSpaceDN w:val="0"/>
        <w:spacing w:after="0" w:line="240" w:lineRule="auto"/>
        <w:jc w:val="both"/>
        <w:rPr>
          <w:rFonts w:ascii="Arial" w:hAnsi="Arial" w:cs="Arial"/>
          <w:sz w:val="18"/>
          <w:szCs w:val="18"/>
          <w:lang w:val="el-GR"/>
        </w:rPr>
      </w:pPr>
    </w:p>
    <w:p w14:paraId="736E29D0" w14:textId="4754DB56" w:rsidR="001E1E65" w:rsidRPr="000E5BC5" w:rsidRDefault="00352599" w:rsidP="001E1E65">
      <w:pPr>
        <w:spacing w:after="0" w:line="240" w:lineRule="auto"/>
        <w:jc w:val="both"/>
        <w:rPr>
          <w:rFonts w:ascii="Arial" w:hAnsi="Arial" w:cs="Arial"/>
          <w:sz w:val="18"/>
          <w:szCs w:val="18"/>
          <w:lang w:val="el-GR"/>
        </w:rPr>
      </w:pPr>
      <w:r w:rsidRPr="00CB38F0">
        <w:rPr>
          <w:rFonts w:ascii="Arial" w:hAnsi="Arial" w:cs="Arial"/>
          <w:sz w:val="18"/>
          <w:szCs w:val="18"/>
          <w:lang w:val="el-GR"/>
        </w:rPr>
        <w:t xml:space="preserve">Το ποσοστό κάλυψης των ΜΕΔ ανέρχεται σε </w:t>
      </w:r>
      <w:r w:rsidR="000E5BC5" w:rsidRPr="006A1797">
        <w:rPr>
          <w:rFonts w:ascii="Arial" w:eastAsia="Times New Roman" w:hAnsi="Arial" w:cs="Arial"/>
          <w:sz w:val="18"/>
          <w:szCs w:val="20"/>
          <w:lang w:val="el-GR" w:eastAsia="el-GR"/>
        </w:rPr>
        <w:t>85</w:t>
      </w:r>
      <w:r w:rsidRPr="00CB38F0">
        <w:rPr>
          <w:rFonts w:ascii="Arial" w:hAnsi="Arial" w:cs="Arial"/>
          <w:sz w:val="18"/>
          <w:szCs w:val="18"/>
          <w:lang w:val="el-GR"/>
        </w:rPr>
        <w:t xml:space="preserve">% στις </w:t>
      </w:r>
      <w:r w:rsidR="00AF447F" w:rsidRPr="00AF447F">
        <w:rPr>
          <w:rFonts w:ascii="Arial" w:hAnsi="Arial" w:cs="Arial"/>
          <w:sz w:val="18"/>
          <w:szCs w:val="18"/>
          <w:lang w:val="el-GR"/>
        </w:rPr>
        <w:t xml:space="preserve">30 </w:t>
      </w:r>
      <w:r w:rsidR="00AF447F" w:rsidRPr="00AF447F">
        <w:rPr>
          <w:rFonts w:ascii="Arial" w:hAnsi="Arial" w:cs="Arial"/>
          <w:sz w:val="18"/>
          <w:lang w:val="el-GR" w:eastAsia="el-GR"/>
        </w:rPr>
        <w:t xml:space="preserve">Ιουνίου </w:t>
      </w:r>
      <w:r w:rsidR="00AF447F" w:rsidRPr="00AF447F">
        <w:rPr>
          <w:rFonts w:ascii="Arial" w:hAnsi="Arial" w:cs="Arial"/>
          <w:sz w:val="18"/>
          <w:szCs w:val="18"/>
          <w:lang w:val="el-GR"/>
        </w:rPr>
        <w:t>2024</w:t>
      </w:r>
      <w:r w:rsidRPr="00CB38F0">
        <w:rPr>
          <w:rFonts w:ascii="Arial" w:hAnsi="Arial" w:cs="Arial"/>
          <w:sz w:val="18"/>
          <w:szCs w:val="18"/>
          <w:lang w:val="el-GR"/>
        </w:rPr>
        <w:t>, σε σύγκριση</w:t>
      </w:r>
      <w:r w:rsidR="000B2CEC" w:rsidRPr="00CB38F0">
        <w:rPr>
          <w:rFonts w:ascii="Arial" w:hAnsi="Arial" w:cs="Arial"/>
          <w:sz w:val="18"/>
          <w:szCs w:val="18"/>
          <w:lang w:val="el-GR"/>
        </w:rPr>
        <w:t xml:space="preserve"> με</w:t>
      </w:r>
      <w:r w:rsidRPr="00CB38F0">
        <w:rPr>
          <w:rFonts w:ascii="Arial" w:hAnsi="Arial" w:cs="Arial"/>
          <w:sz w:val="18"/>
          <w:szCs w:val="18"/>
          <w:lang w:val="el-GR"/>
        </w:rPr>
        <w:t xml:space="preserve"> </w:t>
      </w:r>
      <w:r w:rsidR="00AF447F" w:rsidRPr="00CB38F0">
        <w:rPr>
          <w:rFonts w:ascii="Arial" w:hAnsi="Arial" w:cs="Arial"/>
          <w:sz w:val="18"/>
          <w:szCs w:val="18"/>
          <w:lang w:val="el-GR"/>
        </w:rPr>
        <w:t xml:space="preserve">77% στις 31 Μαρτίου 2024 και με </w:t>
      </w:r>
      <w:r w:rsidR="00E771D9" w:rsidRPr="00CB38F0">
        <w:rPr>
          <w:rFonts w:ascii="Arial" w:hAnsi="Arial" w:cs="Arial"/>
          <w:sz w:val="18"/>
          <w:szCs w:val="18"/>
          <w:lang w:val="el-GR"/>
        </w:rPr>
        <w:t>73</w:t>
      </w:r>
      <w:r w:rsidR="00475152" w:rsidRPr="00CB38F0">
        <w:rPr>
          <w:rFonts w:ascii="Arial" w:hAnsi="Arial" w:cs="Arial"/>
          <w:sz w:val="18"/>
          <w:szCs w:val="18"/>
          <w:lang w:val="el-GR"/>
        </w:rPr>
        <w:t xml:space="preserve">% στις </w:t>
      </w:r>
      <w:r w:rsidR="00E771D9" w:rsidRPr="00CB38F0">
        <w:rPr>
          <w:rFonts w:ascii="Arial" w:hAnsi="Arial" w:cs="Arial"/>
          <w:sz w:val="18"/>
          <w:szCs w:val="18"/>
          <w:lang w:val="el-GR"/>
        </w:rPr>
        <w:t xml:space="preserve">31 Δεκεμβρίου </w:t>
      </w:r>
      <w:r w:rsidR="00475152" w:rsidRPr="00CB38F0">
        <w:rPr>
          <w:rFonts w:ascii="Arial" w:hAnsi="Arial" w:cs="Arial"/>
          <w:sz w:val="18"/>
          <w:szCs w:val="18"/>
          <w:lang w:val="el-GR"/>
        </w:rPr>
        <w:t>2023</w:t>
      </w:r>
      <w:r w:rsidR="00E771D9" w:rsidRPr="00CB38F0">
        <w:rPr>
          <w:rFonts w:ascii="Arial" w:hAnsi="Arial" w:cs="Arial"/>
          <w:sz w:val="18"/>
          <w:szCs w:val="18"/>
          <w:lang w:val="el-GR"/>
        </w:rPr>
        <w:t xml:space="preserve">. </w:t>
      </w:r>
      <w:r w:rsidRPr="00CB38F0">
        <w:rPr>
          <w:rFonts w:ascii="Arial" w:hAnsi="Arial" w:cs="Arial"/>
          <w:sz w:val="18"/>
          <w:szCs w:val="18"/>
          <w:lang w:val="el-GR"/>
        </w:rPr>
        <w:t xml:space="preserve">Λαμβάνοντας υπόψη τις εμπράγματες εξασφαλίσεις σε </w:t>
      </w:r>
      <w:r w:rsidRPr="000E5BC5">
        <w:rPr>
          <w:rFonts w:ascii="Arial" w:hAnsi="Arial" w:cs="Arial"/>
          <w:sz w:val="18"/>
          <w:szCs w:val="18"/>
          <w:lang w:val="el-GR"/>
        </w:rPr>
        <w:t xml:space="preserve">εύλογη αξία, τα ΜΕΔ καλύπτονται πλήρως. </w:t>
      </w:r>
    </w:p>
    <w:p w14:paraId="64DB3FA4" w14:textId="77777777" w:rsidR="001E1E65" w:rsidRPr="000E5BC5" w:rsidRDefault="001E1E65" w:rsidP="001E1E65">
      <w:pPr>
        <w:spacing w:after="0" w:line="240" w:lineRule="auto"/>
        <w:jc w:val="both"/>
        <w:rPr>
          <w:rFonts w:ascii="Arial" w:hAnsi="Arial" w:cs="Arial"/>
          <w:b/>
          <w:bCs/>
          <w:sz w:val="18"/>
          <w:szCs w:val="18"/>
          <w:lang w:val="el-GR"/>
        </w:rPr>
      </w:pPr>
    </w:p>
    <w:p w14:paraId="29246034" w14:textId="64696250" w:rsidR="001D4750" w:rsidRPr="000E5BC5" w:rsidRDefault="001E1E65" w:rsidP="00511684">
      <w:pPr>
        <w:autoSpaceDE w:val="0"/>
        <w:autoSpaceDN w:val="0"/>
        <w:spacing w:after="0" w:line="240" w:lineRule="auto"/>
        <w:jc w:val="both"/>
        <w:rPr>
          <w:rFonts w:ascii="Arial" w:hAnsi="Arial" w:cs="Arial"/>
          <w:b/>
          <w:bCs/>
          <w:sz w:val="18"/>
          <w:szCs w:val="18"/>
          <w:lang w:val="el-GR"/>
        </w:rPr>
      </w:pPr>
      <w:r w:rsidRPr="000E5BC5">
        <w:rPr>
          <w:rFonts w:ascii="Arial" w:hAnsi="Arial" w:cs="Arial"/>
          <w:b/>
          <w:bCs/>
          <w:sz w:val="18"/>
          <w:szCs w:val="18"/>
          <w:lang w:val="el-GR"/>
        </w:rPr>
        <w:t>Συνολικά, από το ανώτατό τους επίπεδο το 2014, τα ΜΕΔ έχουν μειωθεί κατά €</w:t>
      </w:r>
      <w:r w:rsidR="000E5BC5" w:rsidRPr="006A1797">
        <w:rPr>
          <w:rFonts w:ascii="Arial" w:eastAsia="Times New Roman" w:hAnsi="Arial" w:cs="Arial"/>
          <w:b/>
          <w:bCs/>
          <w:sz w:val="18"/>
          <w:szCs w:val="20"/>
          <w:lang w:val="el-GR" w:eastAsia="el-GR"/>
        </w:rPr>
        <w:t xml:space="preserve">14.7 </w:t>
      </w:r>
      <w:r w:rsidRPr="000E5BC5">
        <w:rPr>
          <w:rFonts w:ascii="Arial" w:hAnsi="Arial" w:cs="Arial"/>
          <w:b/>
          <w:bCs/>
          <w:sz w:val="18"/>
          <w:szCs w:val="18"/>
          <w:lang w:val="el-GR"/>
        </w:rPr>
        <w:t xml:space="preserve">δις ή </w:t>
      </w:r>
      <w:r w:rsidRPr="006A1797">
        <w:rPr>
          <w:rFonts w:ascii="Arial" w:hAnsi="Arial" w:cs="Arial"/>
          <w:b/>
          <w:bCs/>
          <w:sz w:val="18"/>
          <w:szCs w:val="18"/>
          <w:lang w:val="el-GR"/>
        </w:rPr>
        <w:t>98</w:t>
      </w:r>
      <w:r w:rsidRPr="000E5BC5">
        <w:rPr>
          <w:rFonts w:ascii="Arial" w:hAnsi="Arial" w:cs="Arial"/>
          <w:b/>
          <w:bCs/>
          <w:sz w:val="18"/>
          <w:szCs w:val="18"/>
          <w:lang w:val="el-GR"/>
        </w:rPr>
        <w:t xml:space="preserve">% σε </w:t>
      </w:r>
      <w:r w:rsidR="00272164">
        <w:rPr>
          <w:rFonts w:ascii="Arial" w:hAnsi="Arial" w:cs="Arial"/>
          <w:b/>
          <w:bCs/>
          <w:sz w:val="18"/>
          <w:szCs w:val="18"/>
          <w:lang w:val="el-GR"/>
        </w:rPr>
        <w:t xml:space="preserve">περίπου </w:t>
      </w:r>
      <w:r w:rsidRPr="000E5BC5">
        <w:rPr>
          <w:rFonts w:ascii="Arial" w:hAnsi="Arial" w:cs="Arial"/>
          <w:b/>
          <w:bCs/>
          <w:sz w:val="18"/>
          <w:szCs w:val="18"/>
          <w:lang w:val="el-GR"/>
        </w:rPr>
        <w:t>€</w:t>
      </w:r>
      <w:r w:rsidRPr="006A1797">
        <w:rPr>
          <w:rFonts w:ascii="Arial" w:hAnsi="Arial" w:cs="Arial"/>
          <w:b/>
          <w:bCs/>
          <w:sz w:val="18"/>
          <w:szCs w:val="18"/>
          <w:lang w:val="el-GR"/>
        </w:rPr>
        <w:t>0.</w:t>
      </w:r>
      <w:r w:rsidR="000E5BC5" w:rsidRPr="006A1797">
        <w:rPr>
          <w:rFonts w:ascii="Arial" w:hAnsi="Arial" w:cs="Arial"/>
          <w:b/>
          <w:bCs/>
          <w:sz w:val="18"/>
          <w:szCs w:val="18"/>
          <w:lang w:val="el-GR"/>
        </w:rPr>
        <w:t>3</w:t>
      </w:r>
      <w:r w:rsidRPr="006A1797">
        <w:rPr>
          <w:rFonts w:ascii="Arial" w:hAnsi="Arial" w:cs="Arial"/>
          <w:b/>
          <w:bCs/>
          <w:sz w:val="18"/>
          <w:szCs w:val="18"/>
          <w:lang w:val="el-GR"/>
        </w:rPr>
        <w:t xml:space="preserve"> </w:t>
      </w:r>
      <w:r w:rsidRPr="000E5BC5">
        <w:rPr>
          <w:rFonts w:ascii="Arial" w:hAnsi="Arial" w:cs="Arial"/>
          <w:b/>
          <w:bCs/>
          <w:sz w:val="18"/>
          <w:szCs w:val="18"/>
          <w:lang w:val="el-GR"/>
        </w:rPr>
        <w:t xml:space="preserve">δις και το ποσοστό ΜΕΔ προς δάνεια κατά </w:t>
      </w:r>
      <w:r w:rsidR="007072E7">
        <w:rPr>
          <w:rFonts w:ascii="Arial" w:hAnsi="Arial" w:cs="Arial"/>
          <w:b/>
          <w:bCs/>
          <w:sz w:val="18"/>
          <w:szCs w:val="18"/>
          <w:lang w:val="el-GR"/>
        </w:rPr>
        <w:t xml:space="preserve">περίπου </w:t>
      </w:r>
      <w:r w:rsidR="00593763" w:rsidRPr="006A1797">
        <w:rPr>
          <w:rFonts w:ascii="Arial" w:hAnsi="Arial" w:cs="Arial"/>
          <w:b/>
          <w:bCs/>
          <w:sz w:val="18"/>
          <w:szCs w:val="18"/>
          <w:lang w:val="el-GR"/>
        </w:rPr>
        <w:t xml:space="preserve">60 </w:t>
      </w:r>
      <w:r w:rsidRPr="000E5BC5">
        <w:rPr>
          <w:rFonts w:ascii="Arial" w:hAnsi="Arial" w:cs="Arial"/>
          <w:b/>
          <w:bCs/>
          <w:sz w:val="18"/>
          <w:szCs w:val="18"/>
          <w:lang w:val="el-GR"/>
        </w:rPr>
        <w:t xml:space="preserve">εκατοστιαίες μονάδες, από 63% σε κάτω από </w:t>
      </w:r>
      <w:r w:rsidR="00593763" w:rsidRPr="006A1797">
        <w:rPr>
          <w:rFonts w:ascii="Arial" w:hAnsi="Arial" w:cs="Arial"/>
          <w:b/>
          <w:bCs/>
          <w:sz w:val="18"/>
          <w:szCs w:val="18"/>
          <w:lang w:val="el-GR"/>
        </w:rPr>
        <w:t>3</w:t>
      </w:r>
      <w:r w:rsidRPr="000E5BC5">
        <w:rPr>
          <w:rFonts w:ascii="Arial" w:hAnsi="Arial" w:cs="Arial"/>
          <w:b/>
          <w:bCs/>
          <w:sz w:val="18"/>
          <w:szCs w:val="18"/>
          <w:lang w:val="el-GR"/>
        </w:rPr>
        <w:t>%.</w:t>
      </w:r>
    </w:p>
    <w:p w14:paraId="46F3F853" w14:textId="77777777" w:rsidR="007F5B28" w:rsidRPr="00CB38F0" w:rsidRDefault="007F5B28" w:rsidP="00511684">
      <w:pPr>
        <w:autoSpaceDE w:val="0"/>
        <w:autoSpaceDN w:val="0"/>
        <w:spacing w:after="0" w:line="240" w:lineRule="auto"/>
        <w:jc w:val="both"/>
        <w:rPr>
          <w:rFonts w:ascii="Arial" w:hAnsi="Arial" w:cs="Arial"/>
          <w:b/>
          <w:bCs/>
          <w:sz w:val="18"/>
          <w:szCs w:val="18"/>
          <w:lang w:val="el-GR"/>
        </w:rPr>
      </w:pPr>
    </w:p>
    <w:p w14:paraId="764C1C0E" w14:textId="0B2BC0A1" w:rsidR="005B1FD5" w:rsidRPr="00CB38F0" w:rsidRDefault="001D4750" w:rsidP="00B043BD">
      <w:pPr>
        <w:spacing w:after="0" w:line="360" w:lineRule="auto"/>
        <w:jc w:val="both"/>
        <w:rPr>
          <w:rFonts w:ascii="Arial" w:eastAsia="Times New Roman" w:hAnsi="Arial" w:cs="Arial"/>
          <w:b/>
          <w:bCs/>
          <w:i/>
          <w:iCs/>
          <w:color w:val="FF9900"/>
          <w:sz w:val="20"/>
          <w:szCs w:val="24"/>
          <w:lang w:val="el-GR" w:eastAsia="el-GR"/>
        </w:rPr>
      </w:pPr>
      <w:r w:rsidRPr="00CB38F0">
        <w:rPr>
          <w:rFonts w:ascii="Arial" w:eastAsia="Times New Roman" w:hAnsi="Arial" w:cs="Arial"/>
          <w:b/>
          <w:bCs/>
          <w:i/>
          <w:iCs/>
          <w:color w:val="FF9900"/>
          <w:sz w:val="20"/>
          <w:szCs w:val="24"/>
          <w:lang w:val="el-GR" w:eastAsia="el-GR"/>
        </w:rPr>
        <w:t xml:space="preserve">Σχέδιο Ενοίκιο Έναντι Δόσης (ΣΕΕΔ) </w:t>
      </w:r>
    </w:p>
    <w:p w14:paraId="5676B902" w14:textId="77777777" w:rsidR="00D969F0" w:rsidRPr="00CB38F0" w:rsidRDefault="00D969F0" w:rsidP="00E96566">
      <w:pPr>
        <w:spacing w:after="0" w:line="240" w:lineRule="auto"/>
        <w:jc w:val="both"/>
        <w:rPr>
          <w:rFonts w:ascii="Arial" w:hAnsi="Arial" w:cs="Arial"/>
          <w:b/>
          <w:bCs/>
          <w:sz w:val="18"/>
          <w:szCs w:val="18"/>
          <w:lang w:val="el-GR"/>
        </w:rPr>
      </w:pPr>
    </w:p>
    <w:p w14:paraId="6605C2D5" w14:textId="77777777" w:rsidR="00511684" w:rsidRPr="00CB38F0" w:rsidRDefault="00511684" w:rsidP="00511684">
      <w:pPr>
        <w:spacing w:after="0" w:line="240" w:lineRule="auto"/>
        <w:jc w:val="both"/>
        <w:rPr>
          <w:rFonts w:ascii="Arial" w:hAnsi="Arial" w:cs="Arial"/>
          <w:sz w:val="18"/>
          <w:szCs w:val="18"/>
          <w:lang w:val="el-GR"/>
        </w:rPr>
      </w:pPr>
      <w:r w:rsidRPr="00CB38F0">
        <w:rPr>
          <w:rFonts w:ascii="Arial" w:eastAsia="Times New Roman" w:hAnsi="Arial" w:cs="Arial"/>
          <w:sz w:val="18"/>
          <w:szCs w:val="18"/>
          <w:lang w:val="el-GR" w:eastAsia="en-US"/>
        </w:rPr>
        <w:t xml:space="preserve">Τον Ιούλιο 2023, το ΣΕΕΔ εγκρίθηκε από το Υπουργικό Συμβούλιο και στοχεύει στην μείωση των </w:t>
      </w:r>
      <w:r w:rsidRPr="00CB38F0">
        <w:rPr>
          <w:rFonts w:ascii="Arial" w:hAnsi="Arial" w:cs="Arial"/>
          <w:sz w:val="18"/>
          <w:szCs w:val="18"/>
          <w:lang w:val="el-GR"/>
        </w:rPr>
        <w:t xml:space="preserve">ΜΕΔ με υποθήκη κύρια κατοικία και ταυτόχρονα στην προστασία της κύριας κατοικίας των ευάλωτων δανειοληπτών. Τα επιλέξιμα κριτήρια περιλαμβάνουν: </w:t>
      </w:r>
    </w:p>
    <w:p w14:paraId="06105D0B" w14:textId="77777777" w:rsidR="00511684" w:rsidRPr="00CB38F0" w:rsidRDefault="00511684" w:rsidP="00511684">
      <w:pPr>
        <w:spacing w:after="0" w:line="240" w:lineRule="auto"/>
        <w:jc w:val="both"/>
        <w:rPr>
          <w:rFonts w:ascii="Arial" w:hAnsi="Arial" w:cs="Arial"/>
          <w:sz w:val="18"/>
          <w:szCs w:val="18"/>
          <w:lang w:val="el-GR"/>
        </w:rPr>
      </w:pPr>
    </w:p>
    <w:p w14:paraId="3CCE258B" w14:textId="77777777" w:rsidR="00511684" w:rsidRPr="00CB38F0" w:rsidRDefault="00511684" w:rsidP="008D10DD">
      <w:pPr>
        <w:pStyle w:val="ListParagraph"/>
        <w:numPr>
          <w:ilvl w:val="0"/>
          <w:numId w:val="17"/>
        </w:numPr>
        <w:jc w:val="both"/>
        <w:rPr>
          <w:rFonts w:ascii="Arial" w:hAnsi="Arial" w:cs="Arial"/>
          <w:bCs/>
          <w:sz w:val="18"/>
          <w:szCs w:val="20"/>
          <w:lang w:val="el-GR" w:eastAsia="el-GR"/>
        </w:rPr>
      </w:pPr>
      <w:r w:rsidRPr="00CB38F0">
        <w:rPr>
          <w:rFonts w:ascii="Arial" w:hAnsi="Arial" w:cs="Arial"/>
          <w:bCs/>
          <w:sz w:val="18"/>
          <w:szCs w:val="20"/>
          <w:lang w:val="el-GR" w:eastAsia="el-GR"/>
        </w:rPr>
        <w:t>Δανειολήπτες με δάνεια με υποθήκη κύρια κατοικία που κρίθηκαν ως ΜΕΔ στις 31 Δεκεμβρίου 2021, παρέμειναν ως ΜΕΔ στις 31 Δεκεμβρίου 2022 και έλαβαν κυβερνητικά επιδόματα κατά την περίοδο από τον Ιανουάριο 2021 μέχρι τον Δεκέμβριο 2022, με την αγοραία αξία της κύριας κατοικίας να μην υπερβαίνει τις €250 χιλιάδες,</w:t>
      </w:r>
    </w:p>
    <w:p w14:paraId="4B832853" w14:textId="77777777" w:rsidR="00511684" w:rsidRPr="00CB38F0" w:rsidRDefault="00511684" w:rsidP="008D10DD">
      <w:pPr>
        <w:pStyle w:val="ListParagraph"/>
        <w:numPr>
          <w:ilvl w:val="0"/>
          <w:numId w:val="17"/>
        </w:numPr>
        <w:jc w:val="both"/>
        <w:rPr>
          <w:rFonts w:ascii="Arial" w:hAnsi="Arial" w:cs="Arial"/>
          <w:bCs/>
          <w:sz w:val="18"/>
          <w:szCs w:val="20"/>
          <w:lang w:val="el-GR" w:eastAsia="el-GR"/>
        </w:rPr>
      </w:pPr>
      <w:r w:rsidRPr="00CB38F0">
        <w:rPr>
          <w:rFonts w:ascii="Arial" w:hAnsi="Arial" w:cs="Arial"/>
          <w:bCs/>
          <w:sz w:val="18"/>
          <w:szCs w:val="20"/>
          <w:lang w:val="el-GR" w:eastAsia="el-GR"/>
        </w:rPr>
        <w:t>Δανειολήπτες που κατείχαν ολοκληρωμένη αίτησή στο σχέδιο ΕΣΤΙΑ και είχαν κριθεί επιλέξιμοι αλλά μη βιώσιμοι, με την αγοραία αξία της κύριας κατοικίας να μην υπερβαίνει τις €350 χιλιάδες, και</w:t>
      </w:r>
    </w:p>
    <w:p w14:paraId="07878B81" w14:textId="47B46B8B" w:rsidR="00D022B5" w:rsidRDefault="00511684" w:rsidP="00F55BB3">
      <w:pPr>
        <w:pStyle w:val="ListParagraph"/>
        <w:numPr>
          <w:ilvl w:val="0"/>
          <w:numId w:val="17"/>
        </w:numPr>
        <w:autoSpaceDE w:val="0"/>
        <w:autoSpaceDN w:val="0"/>
        <w:jc w:val="both"/>
        <w:rPr>
          <w:rFonts w:ascii="Arial" w:hAnsi="Arial" w:cs="Arial"/>
          <w:bCs/>
          <w:sz w:val="18"/>
          <w:szCs w:val="20"/>
          <w:lang w:val="el-GR" w:eastAsia="el-GR"/>
        </w:rPr>
      </w:pPr>
      <w:r w:rsidRPr="00CB38F0">
        <w:rPr>
          <w:rFonts w:ascii="Arial" w:hAnsi="Arial" w:cs="Arial"/>
          <w:bCs/>
          <w:sz w:val="18"/>
          <w:szCs w:val="20"/>
          <w:lang w:val="el-GR" w:eastAsia="el-GR"/>
        </w:rPr>
        <w:t>Όλοι οι αιτούντες που είχαν εγκριθεί για το σχέδιο ΕΣΤΙΑ αλλά η ένταξη τους στο σχέδιο είχε μετέπειτα τερματιστεί.</w:t>
      </w:r>
    </w:p>
    <w:p w14:paraId="4AB70F14" w14:textId="77777777" w:rsidR="00D022B5" w:rsidRPr="00D022B5" w:rsidRDefault="00D022B5" w:rsidP="00D022B5">
      <w:pPr>
        <w:pStyle w:val="ListParagraph"/>
        <w:autoSpaceDE w:val="0"/>
        <w:autoSpaceDN w:val="0"/>
        <w:jc w:val="both"/>
        <w:rPr>
          <w:rFonts w:ascii="Arial" w:hAnsi="Arial" w:cs="Arial"/>
          <w:bCs/>
          <w:sz w:val="18"/>
          <w:szCs w:val="20"/>
          <w:lang w:val="el-GR" w:eastAsia="el-GR"/>
        </w:rPr>
      </w:pPr>
    </w:p>
    <w:p w14:paraId="6EFA91AF" w14:textId="01C1EC01" w:rsidR="00FC5395" w:rsidRPr="00CB38F0" w:rsidRDefault="006C3AB0" w:rsidP="00F55BB3">
      <w:pPr>
        <w:spacing w:line="240" w:lineRule="auto"/>
        <w:jc w:val="both"/>
        <w:rPr>
          <w:rFonts w:ascii="Arial" w:hAnsi="Arial" w:cs="Arial"/>
          <w:bCs/>
          <w:sz w:val="18"/>
          <w:szCs w:val="20"/>
          <w:lang w:val="el-GR" w:eastAsia="el-GR"/>
        </w:rPr>
      </w:pPr>
      <w:r w:rsidRPr="00CB38F0">
        <w:rPr>
          <w:rFonts w:ascii="Arial" w:hAnsi="Arial" w:cs="Arial"/>
          <w:bCs/>
          <w:sz w:val="18"/>
          <w:szCs w:val="20"/>
          <w:lang w:val="el-GR" w:eastAsia="el-GR"/>
        </w:rPr>
        <w:t xml:space="preserve">Σύμφωνα με το ΣΕΕΔ, οι επιλέξιμοι ιδιοκτήτες ακινήτων θα παραδώσουν εθελοντικά την κυριότητα της κατοικίας τους στην Κυπριακή Εταιρεία Διαχείρισης Περιουσιακών Στοιχείων </w:t>
      </w:r>
      <w:r w:rsidR="00FC5395" w:rsidRPr="00CB38F0">
        <w:rPr>
          <w:rFonts w:ascii="Arial" w:hAnsi="Arial" w:cs="Arial"/>
          <w:bCs/>
          <w:sz w:val="18"/>
          <w:szCs w:val="20"/>
          <w:lang w:val="el-GR" w:eastAsia="el-GR"/>
        </w:rPr>
        <w:t>(‘</w:t>
      </w:r>
      <w:r w:rsidRPr="00CB38F0">
        <w:rPr>
          <w:rFonts w:ascii="Arial" w:hAnsi="Arial" w:cs="Arial"/>
          <w:bCs/>
          <w:sz w:val="18"/>
          <w:szCs w:val="20"/>
          <w:lang w:val="el-GR" w:eastAsia="el-GR"/>
        </w:rPr>
        <w:t>ΚΕΔΙΠΕΣ</w:t>
      </w:r>
      <w:r w:rsidR="00FC5395" w:rsidRPr="00CB38F0">
        <w:rPr>
          <w:rFonts w:ascii="Arial" w:hAnsi="Arial" w:cs="Arial"/>
          <w:bCs/>
          <w:sz w:val="18"/>
          <w:szCs w:val="20"/>
          <w:lang w:val="el-GR" w:eastAsia="el-GR"/>
        </w:rPr>
        <w:t>’</w:t>
      </w:r>
      <w:r w:rsidRPr="00CB38F0">
        <w:rPr>
          <w:rFonts w:ascii="Arial" w:hAnsi="Arial" w:cs="Arial"/>
          <w:bCs/>
          <w:sz w:val="18"/>
          <w:szCs w:val="20"/>
          <w:lang w:val="el-GR" w:eastAsia="el-GR"/>
        </w:rPr>
        <w:t xml:space="preserve">), η οποία έχει εγκριθεί από την κυβέρνηση για την παροχή και διαχείριση κοινωνικής στέγασης και θα </w:t>
      </w:r>
      <w:r w:rsidR="00FC5395" w:rsidRPr="00CB38F0">
        <w:rPr>
          <w:rFonts w:ascii="Arial" w:hAnsi="Arial" w:cs="Arial"/>
          <w:bCs/>
          <w:sz w:val="18"/>
          <w:szCs w:val="20"/>
          <w:lang w:val="el-GR" w:eastAsia="el-GR"/>
        </w:rPr>
        <w:t>εξαιρούνται</w:t>
      </w:r>
      <w:r w:rsidRPr="00CB38F0">
        <w:rPr>
          <w:rFonts w:ascii="Arial" w:hAnsi="Arial" w:cs="Arial"/>
          <w:bCs/>
          <w:sz w:val="18"/>
          <w:szCs w:val="20"/>
          <w:lang w:val="el-GR" w:eastAsia="el-GR"/>
        </w:rPr>
        <w:t xml:space="preserve"> από το στεγαστικό τους δάνειο, καθώς το κράτος θα καλύπτει πλήρως το απαιτούμενο </w:t>
      </w:r>
      <w:r w:rsidR="00361086" w:rsidRPr="00CB38F0">
        <w:rPr>
          <w:rFonts w:ascii="Arial" w:hAnsi="Arial" w:cs="Arial"/>
          <w:bCs/>
          <w:sz w:val="18"/>
          <w:szCs w:val="20"/>
          <w:lang w:val="el-GR" w:eastAsia="el-GR"/>
        </w:rPr>
        <w:t xml:space="preserve">ενοίκιο </w:t>
      </w:r>
      <w:r w:rsidR="00FC5395" w:rsidRPr="00CB38F0">
        <w:rPr>
          <w:rFonts w:ascii="Arial" w:hAnsi="Arial" w:cs="Arial"/>
          <w:bCs/>
          <w:sz w:val="18"/>
          <w:szCs w:val="20"/>
          <w:lang w:val="el-GR" w:eastAsia="el-GR"/>
        </w:rPr>
        <w:t>εκ μέρους τους. Η ΚΕΔΙΠΕΣ θα προβεί σε νέα εκτίμηση και τεχνικό έλε</w:t>
      </w:r>
      <w:r w:rsidR="00C22A56" w:rsidRPr="00CB38F0">
        <w:rPr>
          <w:rFonts w:ascii="Arial" w:hAnsi="Arial" w:cs="Arial"/>
          <w:bCs/>
          <w:sz w:val="18"/>
          <w:szCs w:val="20"/>
          <w:lang w:val="el-GR" w:eastAsia="el-GR"/>
        </w:rPr>
        <w:t>γχο</w:t>
      </w:r>
      <w:r w:rsidR="00361086" w:rsidRPr="00CB38F0">
        <w:rPr>
          <w:rFonts w:ascii="Arial" w:hAnsi="Arial" w:cs="Arial"/>
          <w:bCs/>
          <w:sz w:val="18"/>
          <w:szCs w:val="20"/>
          <w:lang w:val="el-GR" w:eastAsia="el-GR"/>
        </w:rPr>
        <w:t xml:space="preserve"> της κατοικίας των επιλέξιμων αιτούντων και, εφόσον το αποτέλεσμα είναι ικανοποιητικό, θα εγκρίνει την αίτηση και θα καταβάλει στις τράπεζες ποσό ίσο με το 65% της αγοραίας αξίας της κύριας κατοικίας με αντάλλαγμα την αποδέσμευση της υποθήκης, της διαγραφής του ΜΕΔ και της μεταβίβασης των τίτλων ιδιοκτησίας του ακινήτου. </w:t>
      </w:r>
    </w:p>
    <w:p w14:paraId="14A64794" w14:textId="110A9CAE" w:rsidR="00E465D3" w:rsidRPr="00CB38F0" w:rsidRDefault="00FC5395" w:rsidP="00F55BB3">
      <w:pPr>
        <w:spacing w:line="240" w:lineRule="auto"/>
        <w:jc w:val="both"/>
        <w:rPr>
          <w:rFonts w:ascii="Arial" w:hAnsi="Arial" w:cs="Arial"/>
          <w:bCs/>
          <w:sz w:val="18"/>
          <w:szCs w:val="20"/>
          <w:lang w:val="el-GR" w:eastAsia="el-GR"/>
        </w:rPr>
      </w:pPr>
      <w:r w:rsidRPr="00CB38F0">
        <w:rPr>
          <w:rFonts w:ascii="Arial" w:hAnsi="Arial" w:cs="Arial"/>
          <w:bCs/>
          <w:sz w:val="18"/>
          <w:szCs w:val="20"/>
          <w:lang w:val="el-GR" w:eastAsia="el-GR"/>
        </w:rPr>
        <w:t>Οι</w:t>
      </w:r>
      <w:r w:rsidR="00E465D3" w:rsidRPr="00CB38F0">
        <w:rPr>
          <w:rFonts w:ascii="Arial" w:hAnsi="Arial" w:cs="Arial"/>
          <w:bCs/>
          <w:sz w:val="18"/>
          <w:szCs w:val="20"/>
          <w:lang w:val="el-GR" w:eastAsia="el-GR"/>
        </w:rPr>
        <w:t xml:space="preserve"> επιλέξιμοι αιτούντες, μετά τα 5 χρόνια, θα έχουν τη δυνατότητα να αγοράσουν την κύρια κατοικία σε ευνοϊκή αξία, πιο χαμηλή από την αγοραία αξία της. </w:t>
      </w:r>
    </w:p>
    <w:p w14:paraId="098E9B6F" w14:textId="3C1C232B" w:rsidR="000F7768" w:rsidRPr="00CB38F0" w:rsidRDefault="006C3AB0" w:rsidP="00DD0AC7">
      <w:pPr>
        <w:spacing w:after="0" w:line="240" w:lineRule="auto"/>
        <w:jc w:val="both"/>
        <w:rPr>
          <w:rFonts w:ascii="Arial" w:eastAsia="Times New Roman" w:hAnsi="Arial" w:cs="Arial"/>
          <w:sz w:val="18"/>
          <w:szCs w:val="18"/>
          <w:lang w:val="el-GR" w:eastAsia="en-US"/>
        </w:rPr>
      </w:pPr>
      <w:r w:rsidRPr="00CB38F0">
        <w:rPr>
          <w:rFonts w:ascii="Arial" w:eastAsia="Times New Roman" w:hAnsi="Arial" w:cs="Arial"/>
          <w:sz w:val="18"/>
          <w:szCs w:val="18"/>
          <w:lang w:val="el-GR" w:eastAsia="en-US"/>
        </w:rPr>
        <w:t xml:space="preserve">Το </w:t>
      </w:r>
      <w:r w:rsidR="00130FB5" w:rsidRPr="00CB38F0">
        <w:rPr>
          <w:rFonts w:ascii="Arial" w:eastAsia="Times New Roman" w:hAnsi="Arial" w:cs="Arial"/>
          <w:sz w:val="18"/>
          <w:szCs w:val="18"/>
          <w:lang w:val="el-GR" w:eastAsia="en-US"/>
        </w:rPr>
        <w:t xml:space="preserve">σχέδιο </w:t>
      </w:r>
      <w:r w:rsidRPr="00CB38F0">
        <w:rPr>
          <w:rFonts w:ascii="Arial" w:eastAsia="Times New Roman" w:hAnsi="Arial" w:cs="Arial"/>
          <w:sz w:val="18"/>
          <w:szCs w:val="18"/>
          <w:lang w:val="el-GR" w:eastAsia="en-US"/>
        </w:rPr>
        <w:t>τέθηκε σε εφαρμογή τον Δεκέμβριο 2023</w:t>
      </w:r>
      <w:r w:rsidR="00130FB5" w:rsidRPr="00CB38F0">
        <w:rPr>
          <w:rFonts w:ascii="Arial" w:eastAsia="Times New Roman" w:hAnsi="Arial" w:cs="Arial"/>
          <w:sz w:val="18"/>
          <w:szCs w:val="18"/>
          <w:lang w:val="el-GR" w:eastAsia="en-US"/>
        </w:rPr>
        <w:t xml:space="preserve">. Στόχος του είναι </w:t>
      </w:r>
      <w:r w:rsidR="003F63E3" w:rsidRPr="00CB38F0">
        <w:rPr>
          <w:rFonts w:ascii="Arial" w:eastAsia="Times New Roman" w:hAnsi="Arial" w:cs="Arial"/>
          <w:sz w:val="18"/>
          <w:szCs w:val="18"/>
          <w:lang w:val="el-GR" w:eastAsia="en-US"/>
        </w:rPr>
        <w:t xml:space="preserve">να δράσει ως ακόμη ένα εργαλείο για την αντιμετώπιση των ΜΕΔ στον τομέα λιανικής τραπεζικής. </w:t>
      </w:r>
    </w:p>
    <w:p w14:paraId="0BE67D2E" w14:textId="77777777" w:rsidR="008C7AAA" w:rsidRPr="006B5511" w:rsidRDefault="008C7AAA" w:rsidP="00DD0AC7">
      <w:pPr>
        <w:spacing w:after="0" w:line="240" w:lineRule="auto"/>
        <w:jc w:val="both"/>
        <w:rPr>
          <w:rFonts w:ascii="Arial" w:eastAsia="Times New Roman" w:hAnsi="Arial" w:cs="Arial"/>
          <w:sz w:val="18"/>
          <w:szCs w:val="18"/>
          <w:highlight w:val="yellow"/>
          <w:lang w:val="el-GR" w:eastAsia="en-US"/>
        </w:rPr>
      </w:pPr>
    </w:p>
    <w:p w14:paraId="1A03D501" w14:textId="4EA0DA95" w:rsidR="00DD0AC7" w:rsidRPr="000E5BC5" w:rsidRDefault="00F37FE7" w:rsidP="002354D5">
      <w:pPr>
        <w:spacing w:after="0" w:line="360" w:lineRule="auto"/>
        <w:rPr>
          <w:rFonts w:ascii="Arial" w:hAnsi="Arial" w:cs="Arial"/>
          <w:lang w:val="el-GR"/>
        </w:rPr>
      </w:pPr>
      <w:r w:rsidRPr="00CB38F0">
        <w:rPr>
          <w:rFonts w:ascii="Arial" w:hAnsi="Arial" w:cs="Arial"/>
          <w:b/>
          <w:bCs/>
          <w:color w:val="FF9900"/>
          <w:lang w:val="el-GR"/>
        </w:rPr>
        <w:t>Β</w:t>
      </w:r>
      <w:r w:rsidR="00DD0AC7" w:rsidRPr="00CB38F0">
        <w:rPr>
          <w:rFonts w:ascii="Arial" w:hAnsi="Arial" w:cs="Arial"/>
          <w:b/>
          <w:bCs/>
          <w:color w:val="FF9900"/>
          <w:lang w:val="el-GR"/>
        </w:rPr>
        <w:t>.</w:t>
      </w:r>
      <w:r w:rsidR="00A06D6F" w:rsidRPr="00CB38F0">
        <w:rPr>
          <w:rFonts w:ascii="Arial" w:hAnsi="Arial" w:cs="Arial"/>
          <w:b/>
          <w:bCs/>
          <w:color w:val="FF9900"/>
          <w:lang w:val="el-GR"/>
        </w:rPr>
        <w:t>2</w:t>
      </w:r>
      <w:r w:rsidR="00DD0AC7" w:rsidRPr="00CB38F0">
        <w:rPr>
          <w:rFonts w:ascii="Arial" w:hAnsi="Arial" w:cs="Arial"/>
          <w:b/>
          <w:bCs/>
          <w:color w:val="FF9900"/>
          <w:lang w:val="el-GR"/>
        </w:rPr>
        <w:t xml:space="preserve">.6 </w:t>
      </w:r>
      <w:r w:rsidR="00DD0AC7" w:rsidRPr="00CB38F0">
        <w:rPr>
          <w:rFonts w:ascii="Arial" w:eastAsia="Times New Roman" w:hAnsi="Arial" w:cs="Arial"/>
          <w:b/>
          <w:bCs/>
          <w:color w:val="FF9900"/>
          <w:lang w:val="el-GR" w:eastAsia="el-GR"/>
        </w:rPr>
        <w:t>Χαρτοφυλάκιο Ομολόγων</w:t>
      </w:r>
    </w:p>
    <w:p w14:paraId="200F3765" w14:textId="1171EF73" w:rsidR="00DD0AC7" w:rsidRPr="006B5511" w:rsidRDefault="00DD0AC7" w:rsidP="00DD0AC7">
      <w:pPr>
        <w:tabs>
          <w:tab w:val="left" w:pos="0"/>
          <w:tab w:val="left" w:pos="282"/>
          <w:tab w:val="left" w:pos="720"/>
        </w:tabs>
        <w:suppressAutoHyphens/>
        <w:spacing w:after="0" w:line="240" w:lineRule="auto"/>
        <w:jc w:val="both"/>
        <w:rPr>
          <w:rFonts w:ascii="Arial" w:hAnsi="Arial" w:cs="Arial"/>
          <w:sz w:val="18"/>
          <w:szCs w:val="18"/>
          <w:highlight w:val="yellow"/>
          <w:lang w:val="el-GR"/>
        </w:rPr>
      </w:pPr>
      <w:r w:rsidRPr="000E5BC5">
        <w:rPr>
          <w:rFonts w:ascii="Arial" w:hAnsi="Arial" w:cs="Arial"/>
          <w:sz w:val="18"/>
          <w:szCs w:val="18"/>
          <w:lang w:val="el-GR"/>
        </w:rPr>
        <w:t xml:space="preserve">Το χαρτοφυλάκιο ομολόγων ανέρχεται σε </w:t>
      </w:r>
      <w:r w:rsidR="00C60855" w:rsidRPr="006A1797">
        <w:rPr>
          <w:rFonts w:ascii="Arial" w:hAnsi="Arial" w:cs="Arial"/>
          <w:sz w:val="18"/>
          <w:szCs w:val="18"/>
          <w:lang w:val="el-GR"/>
        </w:rPr>
        <w:t>€</w:t>
      </w:r>
      <w:r w:rsidR="000E5BC5" w:rsidRPr="006A1797">
        <w:rPr>
          <w:rFonts w:ascii="Arial" w:hAnsi="Arial" w:cs="Arial"/>
          <w:sz w:val="18"/>
          <w:szCs w:val="18"/>
          <w:lang w:val="el-GR"/>
        </w:rPr>
        <w:t xml:space="preserve">3,828 </w:t>
      </w:r>
      <w:r w:rsidRPr="000E5BC5">
        <w:rPr>
          <w:rFonts w:ascii="Arial" w:hAnsi="Arial" w:cs="Arial"/>
          <w:sz w:val="18"/>
          <w:szCs w:val="18"/>
          <w:lang w:val="el-GR"/>
        </w:rPr>
        <w:t xml:space="preserve">εκατ. στις </w:t>
      </w:r>
      <w:r w:rsidR="00F37FE7" w:rsidRPr="000E5BC5">
        <w:rPr>
          <w:rFonts w:ascii="Arial" w:hAnsi="Arial" w:cs="Arial"/>
          <w:sz w:val="18"/>
          <w:szCs w:val="18"/>
          <w:lang w:val="el-GR"/>
        </w:rPr>
        <w:t xml:space="preserve">30 Ιουνίου </w:t>
      </w:r>
      <w:r w:rsidR="00C60855" w:rsidRPr="000E5BC5">
        <w:rPr>
          <w:rFonts w:ascii="Arial" w:hAnsi="Arial" w:cs="Arial"/>
          <w:sz w:val="18"/>
          <w:szCs w:val="18"/>
          <w:lang w:val="el-GR"/>
        </w:rPr>
        <w:t>2024</w:t>
      </w:r>
      <w:r w:rsidRPr="000E5BC5">
        <w:rPr>
          <w:rFonts w:ascii="Arial" w:hAnsi="Arial" w:cs="Arial"/>
          <w:sz w:val="18"/>
          <w:szCs w:val="18"/>
          <w:lang w:val="el-GR"/>
        </w:rPr>
        <w:t>, σε σύγκριση με</w:t>
      </w:r>
      <w:r w:rsidR="00F4072A" w:rsidRPr="000E5BC5">
        <w:rPr>
          <w:rFonts w:ascii="Arial" w:hAnsi="Arial" w:cs="Arial"/>
          <w:sz w:val="18"/>
          <w:szCs w:val="18"/>
          <w:lang w:val="el-GR"/>
        </w:rPr>
        <w:t xml:space="preserve"> </w:t>
      </w:r>
      <w:r w:rsidR="00F37FE7" w:rsidRPr="000E5BC5">
        <w:rPr>
          <w:rFonts w:ascii="Arial" w:eastAsia="Times New Roman" w:hAnsi="Arial" w:cs="Arial"/>
          <w:sz w:val="18"/>
          <w:szCs w:val="18"/>
          <w:lang w:val="el-GR" w:eastAsia="el-GR"/>
        </w:rPr>
        <w:t xml:space="preserve">3,743 </w:t>
      </w:r>
      <w:r w:rsidR="00F37FE7" w:rsidRPr="000E5BC5">
        <w:rPr>
          <w:rFonts w:ascii="Arial" w:hAnsi="Arial" w:cs="Arial"/>
          <w:sz w:val="18"/>
          <w:szCs w:val="18"/>
          <w:lang w:val="el-GR"/>
        </w:rPr>
        <w:t xml:space="preserve">εκατ. στις 31 Μαρτίου 2024 και με </w:t>
      </w:r>
      <w:r w:rsidR="00C60855" w:rsidRPr="000E5BC5">
        <w:rPr>
          <w:rFonts w:ascii="Arial" w:hAnsi="Arial" w:cs="Arial"/>
          <w:sz w:val="18"/>
          <w:szCs w:val="18"/>
          <w:lang w:val="el-GR"/>
        </w:rPr>
        <w:t>€</w:t>
      </w:r>
      <w:r w:rsidR="000E5BC5" w:rsidRPr="006A1797">
        <w:rPr>
          <w:rFonts w:ascii="Arial" w:eastAsia="Times New Roman" w:hAnsi="Arial" w:cs="Arial"/>
          <w:sz w:val="18"/>
          <w:szCs w:val="18"/>
          <w:lang w:val="el-GR" w:eastAsia="el-GR"/>
        </w:rPr>
        <w:t xml:space="preserve">3,178 </w:t>
      </w:r>
      <w:r w:rsidR="00031B72" w:rsidRPr="000E5BC5">
        <w:rPr>
          <w:rFonts w:ascii="Arial" w:hAnsi="Arial" w:cs="Arial"/>
          <w:sz w:val="18"/>
          <w:szCs w:val="18"/>
          <w:lang w:val="el-GR"/>
        </w:rPr>
        <w:t xml:space="preserve">εκατ. στις </w:t>
      </w:r>
      <w:r w:rsidR="000E5BC5" w:rsidRPr="006A1797">
        <w:rPr>
          <w:rFonts w:ascii="Arial" w:hAnsi="Arial" w:cs="Arial"/>
          <w:sz w:val="18"/>
          <w:szCs w:val="18"/>
          <w:lang w:val="el-GR"/>
        </w:rPr>
        <w:t>30</w:t>
      </w:r>
      <w:r w:rsidR="000E5BC5" w:rsidRPr="000E5BC5">
        <w:rPr>
          <w:rFonts w:ascii="Arial" w:hAnsi="Arial" w:cs="Arial"/>
          <w:sz w:val="18"/>
          <w:szCs w:val="18"/>
          <w:lang w:val="el-GR"/>
        </w:rPr>
        <w:t xml:space="preserve"> Ιουνίου </w:t>
      </w:r>
      <w:r w:rsidR="00031B72" w:rsidRPr="000E5BC5">
        <w:rPr>
          <w:rFonts w:ascii="Arial" w:hAnsi="Arial" w:cs="Arial"/>
          <w:sz w:val="18"/>
          <w:szCs w:val="18"/>
          <w:lang w:val="el-GR"/>
        </w:rPr>
        <w:t>2023</w:t>
      </w:r>
      <w:r w:rsidRPr="000E5BC5">
        <w:rPr>
          <w:rFonts w:ascii="Arial" w:hAnsi="Arial" w:cs="Arial"/>
          <w:sz w:val="18"/>
          <w:szCs w:val="18"/>
          <w:lang w:val="el-GR"/>
        </w:rPr>
        <w:t xml:space="preserve">, αυξημένο κατά </w:t>
      </w:r>
      <w:r w:rsidR="000E5BC5" w:rsidRPr="006A1797">
        <w:rPr>
          <w:rFonts w:ascii="Arial" w:eastAsia="Times New Roman" w:hAnsi="Arial" w:cs="Arial"/>
          <w:sz w:val="18"/>
          <w:szCs w:val="18"/>
          <w:lang w:val="el-GR" w:eastAsia="el-GR"/>
        </w:rPr>
        <w:t>2</w:t>
      </w:r>
      <w:r w:rsidRPr="000E5BC5">
        <w:rPr>
          <w:rFonts w:ascii="Arial" w:hAnsi="Arial" w:cs="Arial"/>
          <w:sz w:val="18"/>
          <w:szCs w:val="18"/>
          <w:lang w:val="el-GR"/>
        </w:rPr>
        <w:t>%</w:t>
      </w:r>
      <w:r w:rsidR="00F4072A" w:rsidRPr="000E5BC5">
        <w:rPr>
          <w:rFonts w:ascii="Arial" w:hAnsi="Arial" w:cs="Arial"/>
          <w:sz w:val="18"/>
          <w:szCs w:val="18"/>
          <w:lang w:val="el-GR"/>
        </w:rPr>
        <w:t xml:space="preserve"> </w:t>
      </w:r>
      <w:r w:rsidR="00F4072A" w:rsidRPr="000E5BC5">
        <w:rPr>
          <w:rFonts w:ascii="Arial" w:hAnsi="Arial" w:cs="Arial"/>
          <w:sz w:val="18"/>
          <w:szCs w:val="18"/>
          <w:lang w:val="el-GR" w:eastAsia="el-GR"/>
        </w:rPr>
        <w:t>από το προηγούμενο τρίμηνο</w:t>
      </w:r>
      <w:r w:rsidR="00031B72" w:rsidRPr="000E5BC5">
        <w:rPr>
          <w:rFonts w:ascii="Arial" w:hAnsi="Arial" w:cs="Arial"/>
          <w:sz w:val="18"/>
          <w:szCs w:val="18"/>
          <w:lang w:val="el-GR" w:eastAsia="el-GR"/>
        </w:rPr>
        <w:t xml:space="preserve"> και κατά </w:t>
      </w:r>
      <w:r w:rsidR="000E5BC5" w:rsidRPr="006A1797">
        <w:rPr>
          <w:rFonts w:ascii="Arial" w:eastAsia="Times New Roman" w:hAnsi="Arial" w:cs="Arial"/>
          <w:sz w:val="18"/>
          <w:szCs w:val="18"/>
          <w:lang w:val="el-GR" w:eastAsia="el-GR"/>
        </w:rPr>
        <w:t>20</w:t>
      </w:r>
      <w:r w:rsidR="00031B72" w:rsidRPr="000E5BC5">
        <w:rPr>
          <w:rFonts w:ascii="Arial" w:hAnsi="Arial" w:cs="Arial"/>
          <w:sz w:val="18"/>
          <w:szCs w:val="18"/>
          <w:lang w:val="el-GR" w:eastAsia="el-GR"/>
        </w:rPr>
        <w:t>% σε ετήσια βάση</w:t>
      </w:r>
      <w:r w:rsidR="00031B72" w:rsidRPr="00CB38F0">
        <w:rPr>
          <w:rFonts w:ascii="Arial" w:hAnsi="Arial" w:cs="Arial"/>
          <w:sz w:val="18"/>
          <w:szCs w:val="18"/>
          <w:lang w:val="el-GR"/>
        </w:rPr>
        <w:t>.</w:t>
      </w:r>
      <w:r w:rsidR="00C60855" w:rsidRPr="00CB38F0">
        <w:rPr>
          <w:rFonts w:ascii="Arial" w:hAnsi="Arial" w:cs="Arial"/>
          <w:sz w:val="18"/>
          <w:szCs w:val="18"/>
          <w:lang w:val="el-GR"/>
        </w:rPr>
        <w:t xml:space="preserve"> </w:t>
      </w:r>
      <w:r w:rsidR="003D7061" w:rsidRPr="00CB38F0">
        <w:rPr>
          <w:rFonts w:ascii="Arial" w:hAnsi="Arial" w:cs="Arial"/>
          <w:sz w:val="18"/>
          <w:szCs w:val="18"/>
          <w:lang w:val="el-GR"/>
        </w:rPr>
        <w:t xml:space="preserve">Στις </w:t>
      </w:r>
      <w:r w:rsidR="00F37FE7" w:rsidRPr="00CB38F0">
        <w:rPr>
          <w:rFonts w:ascii="Arial" w:hAnsi="Arial" w:cs="Arial"/>
          <w:sz w:val="18"/>
          <w:szCs w:val="18"/>
          <w:lang w:val="el-GR"/>
        </w:rPr>
        <w:t xml:space="preserve">30 Ιουνίου </w:t>
      </w:r>
      <w:r w:rsidR="006A0ADF" w:rsidRPr="00CB38F0">
        <w:rPr>
          <w:rFonts w:ascii="Arial" w:hAnsi="Arial" w:cs="Arial"/>
          <w:sz w:val="18"/>
          <w:szCs w:val="18"/>
          <w:lang w:val="el-GR"/>
        </w:rPr>
        <w:t>2024</w:t>
      </w:r>
      <w:r w:rsidR="003D7061" w:rsidRPr="00CB38F0">
        <w:rPr>
          <w:rFonts w:ascii="Arial" w:hAnsi="Arial" w:cs="Arial"/>
          <w:sz w:val="18"/>
          <w:szCs w:val="18"/>
          <w:lang w:val="el-GR"/>
        </w:rPr>
        <w:t>,</w:t>
      </w:r>
      <w:r w:rsidR="000E5BC5">
        <w:rPr>
          <w:rFonts w:ascii="Arial" w:hAnsi="Arial" w:cs="Arial"/>
          <w:sz w:val="18"/>
          <w:szCs w:val="18"/>
          <w:lang w:val="el-GR"/>
        </w:rPr>
        <w:t xml:space="preserve"> </w:t>
      </w:r>
      <w:r w:rsidR="003D7061" w:rsidRPr="00CB38F0">
        <w:rPr>
          <w:rFonts w:ascii="Arial" w:hAnsi="Arial" w:cs="Arial"/>
          <w:sz w:val="18"/>
          <w:szCs w:val="18"/>
          <w:lang w:val="el-GR"/>
        </w:rPr>
        <w:t>τ</w:t>
      </w:r>
      <w:r w:rsidRPr="00CB38F0">
        <w:rPr>
          <w:rFonts w:ascii="Arial" w:hAnsi="Arial" w:cs="Arial"/>
          <w:sz w:val="18"/>
          <w:szCs w:val="18"/>
          <w:lang w:val="el-GR"/>
        </w:rPr>
        <w:t xml:space="preserve">ο χαρτοφυλάκιο αντιπροσωπεύει το </w:t>
      </w:r>
      <w:r w:rsidR="000E5BC5" w:rsidRPr="006A1797">
        <w:rPr>
          <w:rFonts w:ascii="Arial" w:eastAsia="Times New Roman" w:hAnsi="Arial" w:cs="Arial"/>
          <w:sz w:val="18"/>
          <w:szCs w:val="18"/>
          <w:lang w:val="el-GR" w:eastAsia="el-GR"/>
        </w:rPr>
        <w:t>15</w:t>
      </w:r>
      <w:r w:rsidRPr="00CB38F0">
        <w:rPr>
          <w:rFonts w:ascii="Arial" w:hAnsi="Arial" w:cs="Arial"/>
          <w:sz w:val="18"/>
          <w:szCs w:val="18"/>
          <w:lang w:val="el-GR"/>
        </w:rPr>
        <w:t>% του συνόλου των περιουσιακών στοιχείων</w:t>
      </w:r>
      <w:r w:rsidR="000E5BC5">
        <w:rPr>
          <w:rFonts w:ascii="Arial" w:hAnsi="Arial" w:cs="Arial"/>
          <w:sz w:val="18"/>
          <w:szCs w:val="18"/>
          <w:lang w:val="el-GR"/>
        </w:rPr>
        <w:t xml:space="preserve"> </w:t>
      </w:r>
      <w:r w:rsidRPr="00CB38F0">
        <w:rPr>
          <w:rFonts w:ascii="Arial" w:hAnsi="Arial" w:cs="Arial"/>
          <w:sz w:val="18"/>
          <w:szCs w:val="18"/>
          <w:lang w:val="el-GR"/>
        </w:rPr>
        <w:t>και αποτελείται από επενδύσεις</w:t>
      </w:r>
      <w:r w:rsidR="00BF63CD" w:rsidRPr="00CB38F0">
        <w:rPr>
          <w:rFonts w:ascii="Arial" w:hAnsi="Arial" w:cs="Arial"/>
          <w:sz w:val="18"/>
          <w:szCs w:val="18"/>
          <w:lang w:val="el-GR"/>
        </w:rPr>
        <w:t xml:space="preserve"> </w:t>
      </w:r>
      <w:r w:rsidRPr="00CB38F0">
        <w:rPr>
          <w:rFonts w:ascii="Arial" w:hAnsi="Arial" w:cs="Arial"/>
          <w:sz w:val="18"/>
          <w:szCs w:val="18"/>
          <w:lang w:val="el-GR"/>
        </w:rPr>
        <w:t>ύψους €</w:t>
      </w:r>
      <w:r w:rsidR="000E5BC5" w:rsidRPr="006A1797">
        <w:rPr>
          <w:rFonts w:ascii="Arial" w:eastAsia="Times New Roman" w:hAnsi="Arial" w:cs="Arial"/>
          <w:sz w:val="18"/>
          <w:szCs w:val="18"/>
          <w:lang w:val="el-GR" w:eastAsia="el-GR"/>
        </w:rPr>
        <w:t>3,429</w:t>
      </w:r>
      <w:r w:rsidR="000E5BC5">
        <w:rPr>
          <w:rFonts w:ascii="Arial" w:eastAsia="Times New Roman" w:hAnsi="Arial" w:cs="Arial"/>
          <w:sz w:val="18"/>
          <w:szCs w:val="18"/>
          <w:lang w:val="el-GR" w:eastAsia="el-GR"/>
        </w:rPr>
        <w:t xml:space="preserve"> </w:t>
      </w:r>
      <w:r w:rsidRPr="00CB38F0">
        <w:rPr>
          <w:rFonts w:ascii="Arial" w:hAnsi="Arial" w:cs="Arial"/>
          <w:sz w:val="18"/>
          <w:szCs w:val="18"/>
          <w:lang w:val="el-GR"/>
        </w:rPr>
        <w:t>εκατ. (</w:t>
      </w:r>
      <w:r w:rsidR="000E5BC5" w:rsidRPr="006A1797">
        <w:rPr>
          <w:rFonts w:ascii="Arial" w:eastAsia="Times New Roman" w:hAnsi="Arial" w:cs="Arial"/>
          <w:sz w:val="18"/>
          <w:szCs w:val="18"/>
          <w:lang w:val="el-GR" w:eastAsia="el-GR"/>
        </w:rPr>
        <w:t>90</w:t>
      </w:r>
      <w:r w:rsidRPr="00CB38F0">
        <w:rPr>
          <w:rFonts w:ascii="Arial" w:hAnsi="Arial" w:cs="Arial"/>
          <w:sz w:val="18"/>
          <w:szCs w:val="18"/>
          <w:lang w:val="el-GR"/>
        </w:rPr>
        <w:t>%) που επιμετρούνται σε αποσβεσμένο κόστος και επενδύσεις</w:t>
      </w:r>
      <w:r w:rsidR="00BF63CD" w:rsidRPr="00CB38F0">
        <w:rPr>
          <w:rFonts w:ascii="Arial" w:hAnsi="Arial" w:cs="Arial"/>
          <w:sz w:val="18"/>
          <w:szCs w:val="18"/>
          <w:lang w:val="el-GR"/>
        </w:rPr>
        <w:t xml:space="preserve"> </w:t>
      </w:r>
      <w:r w:rsidRPr="00CB38F0">
        <w:rPr>
          <w:rFonts w:ascii="Arial" w:hAnsi="Arial" w:cs="Arial"/>
          <w:sz w:val="18"/>
          <w:szCs w:val="18"/>
          <w:lang w:val="el-GR"/>
        </w:rPr>
        <w:t>ύψους €</w:t>
      </w:r>
      <w:r w:rsidR="000E5BC5" w:rsidRPr="006A1797">
        <w:rPr>
          <w:rFonts w:ascii="Arial" w:eastAsia="Times New Roman" w:hAnsi="Arial" w:cs="Arial"/>
          <w:sz w:val="18"/>
          <w:szCs w:val="18"/>
          <w:lang w:val="el-GR" w:eastAsia="el-GR"/>
        </w:rPr>
        <w:t xml:space="preserve">399 </w:t>
      </w:r>
      <w:r w:rsidRPr="00CB38F0">
        <w:rPr>
          <w:rFonts w:ascii="Arial" w:hAnsi="Arial" w:cs="Arial"/>
          <w:sz w:val="18"/>
          <w:szCs w:val="18"/>
          <w:lang w:val="el-GR"/>
        </w:rPr>
        <w:t>εκατ. (</w:t>
      </w:r>
      <w:r w:rsidR="000E5BC5" w:rsidRPr="006A1797">
        <w:rPr>
          <w:rFonts w:ascii="Arial" w:eastAsia="Times New Roman" w:hAnsi="Arial" w:cs="Arial"/>
          <w:sz w:val="18"/>
          <w:szCs w:val="18"/>
          <w:lang w:val="el-GR" w:eastAsia="el-GR"/>
        </w:rPr>
        <w:t>10</w:t>
      </w:r>
      <w:r w:rsidRPr="00CB38F0">
        <w:rPr>
          <w:rFonts w:ascii="Arial" w:hAnsi="Arial" w:cs="Arial"/>
          <w:sz w:val="18"/>
          <w:szCs w:val="18"/>
          <w:lang w:val="el-GR"/>
        </w:rPr>
        <w:t>%) που επιμετρούνται στην εύλογη αξία μέσω των λοιπών συνολικών εισοδημάτων.</w:t>
      </w:r>
    </w:p>
    <w:p w14:paraId="49D92D57" w14:textId="77777777" w:rsidR="00343F85" w:rsidRPr="00CB38F0" w:rsidRDefault="00343F85" w:rsidP="00343F85">
      <w:pPr>
        <w:tabs>
          <w:tab w:val="left" w:pos="0"/>
          <w:tab w:val="left" w:pos="3251"/>
        </w:tabs>
        <w:suppressAutoHyphens/>
        <w:spacing w:after="0" w:line="240" w:lineRule="auto"/>
        <w:jc w:val="both"/>
        <w:rPr>
          <w:rFonts w:ascii="Arial" w:eastAsia="Batang" w:hAnsi="Arial" w:cs="Arial"/>
          <w:sz w:val="18"/>
          <w:szCs w:val="18"/>
          <w:lang w:val="el-GR" w:eastAsia="en-US"/>
        </w:rPr>
      </w:pPr>
    </w:p>
    <w:p w14:paraId="2A7D393A" w14:textId="618714C3" w:rsidR="001A4264" w:rsidRPr="00CB38F0" w:rsidRDefault="005E52E2" w:rsidP="005E52E2">
      <w:pPr>
        <w:tabs>
          <w:tab w:val="left" w:pos="0"/>
          <w:tab w:val="left" w:pos="3251"/>
        </w:tabs>
        <w:suppressAutoHyphens/>
        <w:spacing w:after="0" w:line="240" w:lineRule="auto"/>
        <w:jc w:val="both"/>
        <w:rPr>
          <w:rFonts w:ascii="Arial" w:hAnsi="Arial" w:cs="Arial"/>
          <w:sz w:val="18"/>
          <w:szCs w:val="18"/>
          <w:lang w:val="el-GR"/>
        </w:rPr>
      </w:pPr>
      <w:r w:rsidRPr="00CB38F0">
        <w:rPr>
          <w:rFonts w:ascii="Arial" w:hAnsi="Arial" w:cs="Arial"/>
          <w:sz w:val="18"/>
          <w:szCs w:val="18"/>
          <w:lang w:val="el-GR"/>
        </w:rPr>
        <w:t xml:space="preserve">Το χαρτοφυλάκιο ομολόγων που επιμετρείται σε αποσβεσμένο κόστος κρατείται μέχρι τη λήξη του και ως εκ τούτου τα κέρδη/ζημίες από μεταβολές στην εύλογη αξία δεν αναγνωρίζονται στην κατάσταση λογαριασμού αποτελεσμάτων ή στα κεφάλαια του Συγκροτήματος. Αυτό το χαρτοφυλάκιο ομολόγων έχει υψηλή μέση πιστοληπτική αξιολόγηση σε </w:t>
      </w:r>
      <w:r w:rsidR="00BD10F8" w:rsidRPr="006A1797">
        <w:rPr>
          <w:rFonts w:ascii="Arial" w:hAnsi="Arial" w:cs="Arial"/>
          <w:sz w:val="18"/>
          <w:szCs w:val="18"/>
          <w:lang w:val="el-GR"/>
        </w:rPr>
        <w:t>Aa3</w:t>
      </w:r>
      <w:r w:rsidR="00BC042D" w:rsidRPr="00CB38F0">
        <w:rPr>
          <w:rFonts w:ascii="Arial" w:hAnsi="Arial" w:cs="Arial"/>
          <w:sz w:val="18"/>
          <w:szCs w:val="18"/>
          <w:lang w:val="el-GR"/>
        </w:rPr>
        <w:t>.</w:t>
      </w:r>
      <w:r w:rsidR="00BD10F8" w:rsidRPr="00CB38F0">
        <w:rPr>
          <w:rFonts w:ascii="Arial" w:hAnsi="Arial" w:cs="Arial"/>
          <w:sz w:val="18"/>
          <w:szCs w:val="18"/>
          <w:lang w:val="el-GR"/>
        </w:rPr>
        <w:t xml:space="preserve"> Το χαρτοφυλάκιο ομολόγων που επιμετρείται σε αποσβεσμένο κόστος στις </w:t>
      </w:r>
      <w:r w:rsidR="00AD3389" w:rsidRPr="00CB38F0">
        <w:rPr>
          <w:rFonts w:ascii="Arial" w:hAnsi="Arial" w:cs="Arial"/>
          <w:sz w:val="18"/>
          <w:szCs w:val="18"/>
          <w:lang w:val="el-GR"/>
        </w:rPr>
        <w:t xml:space="preserve">30 Ιουνίου </w:t>
      </w:r>
      <w:r w:rsidR="000F29EB" w:rsidRPr="00CB38F0">
        <w:rPr>
          <w:rFonts w:ascii="Arial" w:hAnsi="Arial" w:cs="Arial"/>
          <w:sz w:val="18"/>
          <w:szCs w:val="18"/>
          <w:lang w:val="el-GR"/>
        </w:rPr>
        <w:t xml:space="preserve">2024 </w:t>
      </w:r>
      <w:r w:rsidR="00BD10F8" w:rsidRPr="00CB38F0">
        <w:rPr>
          <w:rFonts w:ascii="Arial" w:hAnsi="Arial" w:cs="Arial"/>
          <w:sz w:val="18"/>
          <w:szCs w:val="18"/>
          <w:lang w:val="el-GR"/>
        </w:rPr>
        <w:t>δημιουργεί μ</w:t>
      </w:r>
      <w:r w:rsidR="00BD10F8" w:rsidRPr="000E5BC5">
        <w:rPr>
          <w:rFonts w:ascii="Arial" w:hAnsi="Arial" w:cs="Arial"/>
          <w:sz w:val="18"/>
          <w:szCs w:val="18"/>
          <w:lang w:val="el-GR"/>
        </w:rPr>
        <w:t xml:space="preserve">η </w:t>
      </w:r>
      <w:r w:rsidR="000F29EB" w:rsidRPr="000E5BC5">
        <w:rPr>
          <w:rFonts w:ascii="Arial" w:hAnsi="Arial" w:cs="Arial"/>
          <w:sz w:val="18"/>
          <w:szCs w:val="18"/>
          <w:lang w:val="el-GR"/>
        </w:rPr>
        <w:t>πραγματοποιηθείσα ζημία</w:t>
      </w:r>
      <w:r w:rsidR="00912FCD" w:rsidRPr="000E5BC5">
        <w:rPr>
          <w:rFonts w:ascii="Arial" w:hAnsi="Arial" w:cs="Arial"/>
          <w:sz w:val="18"/>
          <w:szCs w:val="18"/>
          <w:lang w:val="el-GR"/>
        </w:rPr>
        <w:t xml:space="preserve"> εύλογης αξίας</w:t>
      </w:r>
      <w:r w:rsidR="000F29EB" w:rsidRPr="000E5BC5">
        <w:rPr>
          <w:rFonts w:ascii="Arial" w:hAnsi="Arial" w:cs="Arial"/>
          <w:sz w:val="18"/>
          <w:szCs w:val="18"/>
          <w:lang w:val="el-GR"/>
        </w:rPr>
        <w:t xml:space="preserve"> ύψους €</w:t>
      </w:r>
      <w:r w:rsidR="00A03C6C" w:rsidRPr="006A1797">
        <w:rPr>
          <w:rFonts w:ascii="Arial" w:hAnsi="Arial" w:cs="Arial"/>
          <w:sz w:val="18"/>
          <w:szCs w:val="18"/>
          <w:lang w:val="el-GR"/>
        </w:rPr>
        <w:t>29</w:t>
      </w:r>
      <w:r w:rsidR="000E5BC5" w:rsidRPr="006A1797">
        <w:rPr>
          <w:rFonts w:ascii="Arial" w:hAnsi="Arial" w:cs="Arial"/>
          <w:sz w:val="18"/>
          <w:szCs w:val="18"/>
          <w:lang w:val="el-GR"/>
        </w:rPr>
        <w:t xml:space="preserve"> </w:t>
      </w:r>
      <w:r w:rsidR="000F29EB" w:rsidRPr="000E5BC5">
        <w:rPr>
          <w:rFonts w:ascii="Arial" w:hAnsi="Arial" w:cs="Arial"/>
          <w:sz w:val="18"/>
          <w:szCs w:val="18"/>
          <w:lang w:val="el-GR"/>
        </w:rPr>
        <w:t xml:space="preserve">εκατ., που ισοδυναμεί με περίπου </w:t>
      </w:r>
      <w:r w:rsidR="000E5BC5" w:rsidRPr="006A1797">
        <w:rPr>
          <w:rFonts w:ascii="Arial" w:hAnsi="Arial" w:cs="Arial"/>
          <w:sz w:val="18"/>
          <w:szCs w:val="18"/>
          <w:lang w:val="el-GR"/>
        </w:rPr>
        <w:t xml:space="preserve">30 </w:t>
      </w:r>
      <w:r w:rsidR="000F29EB" w:rsidRPr="000E5BC5">
        <w:rPr>
          <w:rFonts w:ascii="Arial" w:hAnsi="Arial" w:cs="Arial"/>
          <w:sz w:val="18"/>
          <w:szCs w:val="18"/>
          <w:lang w:val="el-GR"/>
        </w:rPr>
        <w:t xml:space="preserve">μ.β. του δείκτη </w:t>
      </w:r>
      <w:r w:rsidR="000F29EB" w:rsidRPr="000E5BC5">
        <w:rPr>
          <w:rFonts w:ascii="Arial" w:hAnsi="Arial" w:cs="Arial"/>
          <w:sz w:val="18"/>
          <w:szCs w:val="18"/>
          <w:lang w:val="en-US"/>
        </w:rPr>
        <w:t>CET</w:t>
      </w:r>
      <w:r w:rsidR="000F29EB" w:rsidRPr="000E5BC5">
        <w:rPr>
          <w:rFonts w:ascii="Arial" w:hAnsi="Arial" w:cs="Arial"/>
          <w:sz w:val="18"/>
          <w:szCs w:val="18"/>
          <w:lang w:val="el-GR"/>
        </w:rPr>
        <w:t xml:space="preserve">1 </w:t>
      </w:r>
      <w:r w:rsidR="00912FCD" w:rsidRPr="000E5BC5">
        <w:rPr>
          <w:rFonts w:ascii="Arial" w:hAnsi="Arial" w:cs="Arial"/>
          <w:sz w:val="18"/>
          <w:szCs w:val="18"/>
          <w:lang w:val="el-GR"/>
        </w:rPr>
        <w:t xml:space="preserve"> (σε σύγκριση με</w:t>
      </w:r>
      <w:r w:rsidR="00AD3389" w:rsidRPr="000E5BC5">
        <w:rPr>
          <w:rFonts w:ascii="Arial" w:hAnsi="Arial" w:cs="Arial"/>
          <w:sz w:val="18"/>
          <w:szCs w:val="18"/>
          <w:lang w:val="el-GR"/>
        </w:rPr>
        <w:t xml:space="preserve"> μη πραγματοποιηθείσα ζημία εύλογης αξίας ύψους €14 εκατ. στις 31 Μαρτίου 2024</w:t>
      </w:r>
      <w:r w:rsidR="00912FCD" w:rsidRPr="000E5BC5">
        <w:rPr>
          <w:rFonts w:ascii="Arial" w:hAnsi="Arial" w:cs="Arial"/>
          <w:sz w:val="18"/>
          <w:szCs w:val="18"/>
          <w:lang w:val="el-GR"/>
        </w:rPr>
        <w:t>)</w:t>
      </w:r>
      <w:r w:rsidR="006C2333" w:rsidRPr="000E5BC5">
        <w:rPr>
          <w:rFonts w:ascii="Arial" w:hAnsi="Arial" w:cs="Arial"/>
          <w:sz w:val="18"/>
          <w:szCs w:val="18"/>
          <w:lang w:val="el-GR"/>
        </w:rPr>
        <w:t xml:space="preserve">, </w:t>
      </w:r>
      <w:r w:rsidR="006C2333" w:rsidRPr="006A1797">
        <w:rPr>
          <w:rFonts w:ascii="Arial" w:hAnsi="Arial" w:cs="Arial"/>
          <w:sz w:val="18"/>
          <w:szCs w:val="18"/>
          <w:lang w:val="el-GR"/>
        </w:rPr>
        <w:t xml:space="preserve">λόγω της </w:t>
      </w:r>
      <w:r w:rsidR="00912FCD" w:rsidRPr="006A1797">
        <w:rPr>
          <w:rFonts w:ascii="Arial" w:hAnsi="Arial" w:cs="Arial"/>
          <w:sz w:val="18"/>
          <w:szCs w:val="18"/>
          <w:lang w:val="el-GR"/>
        </w:rPr>
        <w:t xml:space="preserve">αύξησης </w:t>
      </w:r>
      <w:r w:rsidR="006C2333" w:rsidRPr="006A1797">
        <w:rPr>
          <w:rFonts w:ascii="Arial" w:hAnsi="Arial" w:cs="Arial"/>
          <w:sz w:val="18"/>
          <w:szCs w:val="18"/>
          <w:lang w:val="el-GR"/>
        </w:rPr>
        <w:t xml:space="preserve">των </w:t>
      </w:r>
      <w:r w:rsidR="003732AA" w:rsidRPr="006A1797">
        <w:rPr>
          <w:rFonts w:ascii="Arial" w:hAnsi="Arial" w:cs="Arial"/>
          <w:sz w:val="18"/>
          <w:szCs w:val="18"/>
          <w:lang w:val="el-GR"/>
        </w:rPr>
        <w:t xml:space="preserve">αποδόσεων </w:t>
      </w:r>
      <w:r w:rsidR="0074417B" w:rsidRPr="006A1797">
        <w:rPr>
          <w:rFonts w:ascii="Arial" w:hAnsi="Arial" w:cs="Arial"/>
          <w:sz w:val="18"/>
          <w:szCs w:val="18"/>
          <w:lang w:val="el-GR"/>
        </w:rPr>
        <w:t>στα ομόλογα.</w:t>
      </w:r>
    </w:p>
    <w:p w14:paraId="1DD2BEA9" w14:textId="77777777" w:rsidR="007E47A1" w:rsidRPr="00AB305A" w:rsidRDefault="007E47A1" w:rsidP="006A1797">
      <w:pPr>
        <w:tabs>
          <w:tab w:val="left" w:pos="0"/>
          <w:tab w:val="left" w:pos="3251"/>
        </w:tabs>
        <w:suppressAutoHyphens/>
        <w:spacing w:after="0" w:line="240" w:lineRule="auto"/>
        <w:jc w:val="both"/>
        <w:rPr>
          <w:rFonts w:ascii="Arial" w:eastAsia="Times New Roman" w:hAnsi="Arial" w:cs="Arial"/>
          <w:b/>
          <w:bCs/>
          <w:color w:val="FF9900"/>
          <w:highlight w:val="yellow"/>
          <w:lang w:val="el-GR" w:eastAsia="el-GR"/>
        </w:rPr>
      </w:pPr>
    </w:p>
    <w:p w14:paraId="4A973C53" w14:textId="77777777" w:rsidR="00D022B5" w:rsidRDefault="00D022B5" w:rsidP="00D37EB2">
      <w:pPr>
        <w:spacing w:after="0" w:line="360" w:lineRule="auto"/>
        <w:rPr>
          <w:rFonts w:ascii="Arial" w:hAnsi="Arial" w:cs="Arial"/>
          <w:b/>
          <w:bCs/>
          <w:color w:val="FF9900"/>
          <w:lang w:val="el-GR"/>
        </w:rPr>
      </w:pPr>
    </w:p>
    <w:p w14:paraId="0C2BE451" w14:textId="77777777" w:rsidR="00D022B5" w:rsidRPr="006A1797" w:rsidRDefault="00D022B5" w:rsidP="00D022B5">
      <w:pPr>
        <w:rPr>
          <w:rFonts w:ascii="Arial" w:hAnsi="Arial" w:cs="Arial"/>
          <w:b/>
          <w:bCs/>
          <w:color w:val="FF9900"/>
          <w:sz w:val="24"/>
          <w:lang w:val="el-GR"/>
        </w:rPr>
      </w:pPr>
      <w:r w:rsidRPr="00132262">
        <w:rPr>
          <w:rFonts w:ascii="Arial" w:hAnsi="Arial" w:cs="Arial"/>
          <w:b/>
          <w:bCs/>
          <w:color w:val="FF9900"/>
          <w:sz w:val="24"/>
          <w:lang w:val="el-GR"/>
        </w:rPr>
        <w:lastRenderedPageBreak/>
        <w:t xml:space="preserve">Β. Οικονομικά Αποτελέσματα Συγκροτήματος – Υποκείμενη Βάση </w:t>
      </w:r>
      <w:r w:rsidRPr="00132262">
        <w:rPr>
          <w:rFonts w:ascii="Arial" w:hAnsi="Arial" w:cs="Arial"/>
          <w:color w:val="FF9900"/>
          <w:sz w:val="24"/>
          <w:lang w:val="el-GR"/>
        </w:rPr>
        <w:t>(συνέχεια)</w:t>
      </w:r>
    </w:p>
    <w:p w14:paraId="0AA8E37D" w14:textId="349AF367" w:rsidR="00D022B5" w:rsidRPr="00D022B5" w:rsidRDefault="00D022B5" w:rsidP="00D022B5">
      <w:pPr>
        <w:rPr>
          <w:rFonts w:ascii="Arial" w:hAnsi="Arial" w:cs="Arial"/>
          <w:b/>
          <w:bCs/>
          <w:color w:val="FF9900"/>
          <w:sz w:val="24"/>
          <w:lang w:val="el-GR"/>
        </w:rPr>
      </w:pPr>
      <w:r w:rsidRPr="00132262">
        <w:rPr>
          <w:rFonts w:ascii="Arial" w:hAnsi="Arial" w:cs="Arial"/>
          <w:b/>
          <w:bCs/>
          <w:color w:val="FF9900"/>
          <w:sz w:val="23"/>
          <w:szCs w:val="23"/>
          <w:lang w:val="el-GR"/>
        </w:rPr>
        <w:t xml:space="preserve">Β.2 Ανάλυση Ισολογισμού </w:t>
      </w:r>
      <w:r w:rsidRPr="00132262">
        <w:rPr>
          <w:rFonts w:ascii="Arial" w:hAnsi="Arial" w:cs="Arial"/>
          <w:color w:val="FF9900"/>
          <w:sz w:val="23"/>
          <w:szCs w:val="23"/>
          <w:lang w:val="el-GR"/>
        </w:rPr>
        <w:t>(συνέχεια)</w:t>
      </w:r>
    </w:p>
    <w:p w14:paraId="0A81F442" w14:textId="14187E10" w:rsidR="00D37EB2" w:rsidRDefault="00D37EB2" w:rsidP="00D37EB2">
      <w:pPr>
        <w:spacing w:after="0" w:line="360" w:lineRule="auto"/>
        <w:rPr>
          <w:rFonts w:ascii="Arial" w:hAnsi="Arial" w:cs="Arial"/>
          <w:b/>
          <w:bCs/>
          <w:color w:val="FF9900"/>
          <w:lang w:val="el-GR"/>
        </w:rPr>
      </w:pPr>
      <w:r w:rsidRPr="005D5ED4">
        <w:rPr>
          <w:rFonts w:ascii="Arial" w:hAnsi="Arial" w:cs="Arial"/>
          <w:b/>
          <w:bCs/>
          <w:color w:val="FF9900"/>
          <w:lang w:val="el-GR"/>
        </w:rPr>
        <w:t>Β.2.</w:t>
      </w:r>
      <w:r>
        <w:rPr>
          <w:rFonts w:ascii="Arial" w:hAnsi="Arial" w:cs="Arial"/>
          <w:b/>
          <w:bCs/>
          <w:color w:val="FF9900"/>
          <w:lang w:val="el-GR"/>
        </w:rPr>
        <w:t>7</w:t>
      </w:r>
      <w:r w:rsidRPr="005D5ED4">
        <w:rPr>
          <w:rFonts w:ascii="Arial" w:hAnsi="Arial" w:cs="Arial"/>
          <w:b/>
          <w:bCs/>
          <w:color w:val="FF9900"/>
          <w:lang w:val="el-GR"/>
        </w:rPr>
        <w:t xml:space="preserve"> </w:t>
      </w:r>
      <w:r w:rsidRPr="00CB38F0">
        <w:rPr>
          <w:rFonts w:ascii="Arial" w:hAnsi="Arial" w:cs="Arial"/>
          <w:b/>
          <w:bCs/>
          <w:color w:val="FF9900"/>
          <w:lang w:val="el-GR"/>
        </w:rPr>
        <w:t xml:space="preserve">Συμφωνίες </w:t>
      </w:r>
      <w:r>
        <w:rPr>
          <w:rFonts w:ascii="Arial" w:hAnsi="Arial" w:cs="Arial"/>
          <w:b/>
          <w:bCs/>
          <w:color w:val="FF9900"/>
          <w:lang w:val="el-GR"/>
        </w:rPr>
        <w:t>Ε</w:t>
      </w:r>
      <w:r w:rsidRPr="00CB38F0">
        <w:rPr>
          <w:rFonts w:ascii="Arial" w:hAnsi="Arial" w:cs="Arial"/>
          <w:b/>
          <w:bCs/>
          <w:color w:val="FF9900"/>
          <w:lang w:val="el-GR"/>
        </w:rPr>
        <w:t>παναπώλησης</w:t>
      </w:r>
    </w:p>
    <w:p w14:paraId="74C8A2CA" w14:textId="30E469A1" w:rsidR="00D37EB2" w:rsidRDefault="00D37EB2" w:rsidP="003D7967">
      <w:pPr>
        <w:tabs>
          <w:tab w:val="left" w:pos="0"/>
          <w:tab w:val="left" w:pos="282"/>
          <w:tab w:val="left" w:pos="720"/>
        </w:tabs>
        <w:suppressAutoHyphens/>
        <w:spacing w:after="0" w:line="240" w:lineRule="auto"/>
        <w:jc w:val="both"/>
        <w:rPr>
          <w:rFonts w:ascii="Arial" w:hAnsi="Arial" w:cs="Arial"/>
          <w:sz w:val="18"/>
          <w:szCs w:val="18"/>
          <w:lang w:val="el-GR"/>
        </w:rPr>
      </w:pPr>
      <w:r>
        <w:rPr>
          <w:rFonts w:ascii="Arial" w:hAnsi="Arial" w:cs="Arial"/>
          <w:sz w:val="18"/>
          <w:szCs w:val="18"/>
          <w:lang w:val="el-GR"/>
        </w:rPr>
        <w:t xml:space="preserve">Οι συμφωνίες επαναπώλησης ανήλθαν </w:t>
      </w:r>
      <w:r w:rsidRPr="005D5ED4">
        <w:rPr>
          <w:rFonts w:ascii="Arial" w:hAnsi="Arial" w:cs="Arial"/>
          <w:sz w:val="18"/>
          <w:szCs w:val="18"/>
          <w:lang w:val="el-GR"/>
        </w:rPr>
        <w:t xml:space="preserve">σε </w:t>
      </w:r>
      <w:r w:rsidR="000E5BC5" w:rsidRPr="006A1797">
        <w:rPr>
          <w:rFonts w:ascii="Arial" w:eastAsia="Times New Roman" w:hAnsi="Arial" w:cs="Arial"/>
          <w:sz w:val="18"/>
          <w:szCs w:val="18"/>
          <w:lang w:val="el-GR" w:eastAsia="el-GR"/>
        </w:rPr>
        <w:t xml:space="preserve">€1,015 </w:t>
      </w:r>
      <w:r w:rsidRPr="005D5ED4">
        <w:rPr>
          <w:rFonts w:ascii="Arial" w:hAnsi="Arial" w:cs="Arial"/>
          <w:sz w:val="18"/>
          <w:szCs w:val="18"/>
          <w:lang w:val="el-GR"/>
        </w:rPr>
        <w:t xml:space="preserve">εκατ. στις 30 Ιουνίου 2024, σε σύγκριση με </w:t>
      </w:r>
      <w:r w:rsidR="007072E7" w:rsidRPr="006A1797">
        <w:rPr>
          <w:rFonts w:ascii="Arial" w:eastAsia="Times New Roman" w:hAnsi="Arial" w:cs="Arial"/>
          <w:sz w:val="18"/>
          <w:szCs w:val="18"/>
          <w:lang w:val="el-GR" w:eastAsia="el-GR"/>
        </w:rPr>
        <w:t>€</w:t>
      </w:r>
      <w:r>
        <w:rPr>
          <w:rFonts w:ascii="Arial" w:eastAsia="Times New Roman" w:hAnsi="Arial" w:cs="Arial"/>
          <w:sz w:val="18"/>
          <w:szCs w:val="18"/>
          <w:lang w:val="el-GR" w:eastAsia="el-GR"/>
        </w:rPr>
        <w:t>708</w:t>
      </w:r>
      <w:r w:rsidRPr="005D5ED4">
        <w:rPr>
          <w:rFonts w:ascii="Arial" w:eastAsia="Times New Roman" w:hAnsi="Arial" w:cs="Arial"/>
          <w:sz w:val="18"/>
          <w:szCs w:val="18"/>
          <w:lang w:val="el-GR" w:eastAsia="el-GR"/>
        </w:rPr>
        <w:t xml:space="preserve"> </w:t>
      </w:r>
      <w:r w:rsidRPr="005D5ED4">
        <w:rPr>
          <w:rFonts w:ascii="Arial" w:hAnsi="Arial" w:cs="Arial"/>
          <w:sz w:val="18"/>
          <w:szCs w:val="18"/>
          <w:lang w:val="el-GR"/>
        </w:rPr>
        <w:t>εκατ. στις 31 Μαρτίου 2024 και με €</w:t>
      </w:r>
      <w:r>
        <w:rPr>
          <w:rFonts w:ascii="Arial" w:eastAsia="Times New Roman" w:hAnsi="Arial" w:cs="Arial"/>
          <w:sz w:val="18"/>
          <w:szCs w:val="18"/>
          <w:lang w:val="el-GR" w:eastAsia="el-GR"/>
        </w:rPr>
        <w:t xml:space="preserve">403 </w:t>
      </w:r>
      <w:r w:rsidRPr="005D5ED4">
        <w:rPr>
          <w:rFonts w:ascii="Arial" w:hAnsi="Arial" w:cs="Arial"/>
          <w:sz w:val="18"/>
          <w:szCs w:val="18"/>
          <w:lang w:val="el-GR"/>
        </w:rPr>
        <w:t>εκατ. στις 31 Δεκεμβρίου 2023</w:t>
      </w:r>
      <w:r>
        <w:rPr>
          <w:rFonts w:ascii="Arial" w:hAnsi="Arial" w:cs="Arial"/>
          <w:sz w:val="18"/>
          <w:szCs w:val="18"/>
          <w:lang w:val="el-GR"/>
        </w:rPr>
        <w:t xml:space="preserve">. Η αύξηση από την αρχή του έτους αντικατοπτρίζει τις επιπρόσθετες ενέργειες αντιστάθμισης </w:t>
      </w:r>
      <w:r w:rsidR="008A1530">
        <w:rPr>
          <w:rFonts w:ascii="Arial" w:hAnsi="Arial" w:cs="Arial"/>
          <w:sz w:val="18"/>
          <w:szCs w:val="18"/>
          <w:lang w:val="el-GR"/>
        </w:rPr>
        <w:t>(‘</w:t>
      </w:r>
      <w:r w:rsidR="008A1530">
        <w:rPr>
          <w:rFonts w:ascii="Arial" w:hAnsi="Arial" w:cs="Arial"/>
          <w:sz w:val="18"/>
          <w:szCs w:val="18"/>
          <w:lang w:val="en-US"/>
        </w:rPr>
        <w:t>Hed</w:t>
      </w:r>
      <w:r w:rsidR="00FD00F2">
        <w:rPr>
          <w:rFonts w:ascii="Arial" w:hAnsi="Arial" w:cs="Arial"/>
          <w:sz w:val="18"/>
          <w:szCs w:val="18"/>
          <w:lang w:val="en-US"/>
        </w:rPr>
        <w:t>ging</w:t>
      </w:r>
      <w:r w:rsidR="008A1530" w:rsidRPr="00CB38F0">
        <w:rPr>
          <w:rFonts w:ascii="Arial" w:hAnsi="Arial" w:cs="Arial"/>
          <w:sz w:val="18"/>
          <w:szCs w:val="18"/>
          <w:lang w:val="el-GR"/>
        </w:rPr>
        <w:t>’)</w:t>
      </w:r>
      <w:r w:rsidR="00FD00F2">
        <w:rPr>
          <w:rFonts w:ascii="Arial" w:hAnsi="Arial" w:cs="Arial"/>
          <w:sz w:val="18"/>
          <w:szCs w:val="18"/>
          <w:lang w:val="el-GR"/>
        </w:rPr>
        <w:t xml:space="preserve"> που πραγματοποιεί το Συγκρότημα, με σκοπό τη μείωση </w:t>
      </w:r>
      <w:r w:rsidR="00FD00F2" w:rsidRPr="00FD00F2">
        <w:rPr>
          <w:rFonts w:ascii="Arial" w:hAnsi="Arial" w:cs="Arial"/>
          <w:sz w:val="18"/>
          <w:szCs w:val="18"/>
          <w:lang w:val="el-GR"/>
        </w:rPr>
        <w:t>της μεταβολής</w:t>
      </w:r>
      <w:r w:rsidR="00FD00F2">
        <w:rPr>
          <w:rFonts w:ascii="Arial" w:hAnsi="Arial" w:cs="Arial"/>
          <w:sz w:val="18"/>
          <w:szCs w:val="18"/>
          <w:lang w:val="el-GR"/>
        </w:rPr>
        <w:t xml:space="preserve"> </w:t>
      </w:r>
      <w:r w:rsidR="00FD00F2" w:rsidRPr="00FD00F2">
        <w:rPr>
          <w:rFonts w:ascii="Arial" w:hAnsi="Arial" w:cs="Arial"/>
          <w:sz w:val="18"/>
          <w:szCs w:val="18"/>
          <w:lang w:val="el-GR"/>
        </w:rPr>
        <w:t>των καθαρών εσόδων από τόκους λόγω της διακύμανσης των επιτοκίων (‘sensitivity’)</w:t>
      </w:r>
      <w:r w:rsidR="00FD00F2">
        <w:rPr>
          <w:rFonts w:ascii="Arial" w:hAnsi="Arial" w:cs="Arial"/>
          <w:sz w:val="18"/>
          <w:szCs w:val="18"/>
          <w:lang w:val="el-GR"/>
        </w:rPr>
        <w:t xml:space="preserve">. </w:t>
      </w:r>
      <w:r w:rsidR="003D7967">
        <w:rPr>
          <w:rFonts w:ascii="Arial" w:hAnsi="Arial" w:cs="Arial"/>
          <w:sz w:val="18"/>
          <w:szCs w:val="18"/>
          <w:lang w:val="el-GR"/>
        </w:rPr>
        <w:t xml:space="preserve">Οι συμφωνίες επαναπώλησης φέρουν </w:t>
      </w:r>
      <w:r w:rsidR="0059202E">
        <w:rPr>
          <w:rFonts w:ascii="Arial" w:hAnsi="Arial" w:cs="Arial"/>
          <w:sz w:val="18"/>
          <w:szCs w:val="18"/>
          <w:lang w:val="el-GR"/>
        </w:rPr>
        <w:t xml:space="preserve">μέσο </w:t>
      </w:r>
      <w:r w:rsidR="003D7967">
        <w:rPr>
          <w:rFonts w:ascii="Arial" w:hAnsi="Arial" w:cs="Arial"/>
          <w:sz w:val="18"/>
          <w:szCs w:val="18"/>
          <w:lang w:val="el-GR"/>
        </w:rPr>
        <w:t xml:space="preserve">ετήσιο επιτόκιο ύψους περίπου 3.0% και η μέση διάρκεια τους εκτιμάται σε περίπου 2.5 έτη. </w:t>
      </w:r>
    </w:p>
    <w:p w14:paraId="7A48277B" w14:textId="77777777" w:rsidR="003D7967" w:rsidRPr="00CB38F0" w:rsidRDefault="003D7967" w:rsidP="00CB38F0">
      <w:pPr>
        <w:tabs>
          <w:tab w:val="left" w:pos="0"/>
          <w:tab w:val="left" w:pos="282"/>
          <w:tab w:val="left" w:pos="720"/>
        </w:tabs>
        <w:suppressAutoHyphens/>
        <w:spacing w:after="0" w:line="240" w:lineRule="auto"/>
        <w:jc w:val="both"/>
        <w:rPr>
          <w:rFonts w:ascii="Arial" w:hAnsi="Arial" w:cs="Arial"/>
          <w:sz w:val="18"/>
          <w:szCs w:val="18"/>
          <w:lang w:val="el-GR"/>
        </w:rPr>
      </w:pPr>
    </w:p>
    <w:p w14:paraId="7A2272F9" w14:textId="01A2612C" w:rsidR="005B1FD5" w:rsidRPr="00CB38F0" w:rsidRDefault="0001370B" w:rsidP="005B1FD5">
      <w:pPr>
        <w:spacing w:after="0" w:line="360" w:lineRule="auto"/>
        <w:jc w:val="both"/>
        <w:rPr>
          <w:rFonts w:ascii="Arial" w:eastAsia="Times New Roman" w:hAnsi="Arial" w:cs="Arial"/>
          <w:b/>
          <w:bCs/>
          <w:color w:val="FF9900"/>
          <w:lang w:eastAsia="el-GR"/>
        </w:rPr>
      </w:pPr>
      <w:r w:rsidRPr="00CB38F0">
        <w:rPr>
          <w:rFonts w:ascii="Arial" w:eastAsia="Times New Roman" w:hAnsi="Arial" w:cs="Arial"/>
          <w:b/>
          <w:bCs/>
          <w:color w:val="FF9900"/>
          <w:lang w:eastAsia="el-GR"/>
        </w:rPr>
        <w:t>Β</w:t>
      </w:r>
      <w:r w:rsidR="005B1FD5" w:rsidRPr="00CB38F0">
        <w:rPr>
          <w:rFonts w:ascii="Arial" w:eastAsia="Times New Roman" w:hAnsi="Arial" w:cs="Arial"/>
          <w:b/>
          <w:bCs/>
          <w:color w:val="FF9900"/>
          <w:lang w:eastAsia="el-GR"/>
        </w:rPr>
        <w:t>.2.</w:t>
      </w:r>
      <w:r w:rsidR="00D37EB2" w:rsidRPr="00CB38F0">
        <w:rPr>
          <w:rFonts w:ascii="Arial" w:eastAsia="Times New Roman" w:hAnsi="Arial" w:cs="Arial"/>
          <w:b/>
          <w:bCs/>
          <w:color w:val="FF9900"/>
          <w:lang w:eastAsia="el-GR"/>
        </w:rPr>
        <w:t xml:space="preserve">8 </w:t>
      </w:r>
      <w:r w:rsidR="005B1FD5" w:rsidRPr="00CB38F0">
        <w:rPr>
          <w:rFonts w:ascii="Arial" w:eastAsia="Times New Roman" w:hAnsi="Arial" w:cs="Arial"/>
          <w:b/>
          <w:bCs/>
          <w:color w:val="FF9900"/>
          <w:lang w:eastAsia="el-GR"/>
        </w:rPr>
        <w:t xml:space="preserve">Διεύθυνση </w:t>
      </w:r>
      <w:r w:rsidR="005B1FD5" w:rsidRPr="00CB38F0">
        <w:rPr>
          <w:rFonts w:ascii="Arial" w:eastAsia="Times New Roman" w:hAnsi="Arial" w:cs="Arial"/>
          <w:b/>
          <w:bCs/>
          <w:color w:val="FF9900"/>
          <w:lang w:val="el-GR" w:eastAsia="el-GR"/>
        </w:rPr>
        <w:t>Διαχείρισης</w:t>
      </w:r>
      <w:r w:rsidR="005B1FD5" w:rsidRPr="00CB38F0">
        <w:rPr>
          <w:rFonts w:ascii="Arial" w:eastAsia="Times New Roman" w:hAnsi="Arial" w:cs="Arial"/>
          <w:b/>
          <w:bCs/>
          <w:color w:val="FF9900"/>
          <w:lang w:eastAsia="el-GR"/>
        </w:rPr>
        <w:t xml:space="preserve"> </w:t>
      </w:r>
      <w:r w:rsidR="005B1FD5" w:rsidRPr="00CB38F0">
        <w:rPr>
          <w:rFonts w:ascii="Arial" w:eastAsia="Times New Roman" w:hAnsi="Arial" w:cs="Arial"/>
          <w:b/>
          <w:bCs/>
          <w:color w:val="FF9900"/>
          <w:lang w:val="el-GR" w:eastAsia="el-GR"/>
        </w:rPr>
        <w:t>Ακινήτων</w:t>
      </w:r>
      <w:r w:rsidR="005B1FD5" w:rsidRPr="00CB38F0">
        <w:rPr>
          <w:rFonts w:ascii="Arial" w:eastAsia="Times New Roman" w:hAnsi="Arial" w:cs="Arial"/>
          <w:b/>
          <w:bCs/>
          <w:color w:val="FF9900"/>
          <w:lang w:eastAsia="el-GR"/>
        </w:rPr>
        <w:t xml:space="preserve"> (Real Estate Management Unit, REMU) </w:t>
      </w:r>
    </w:p>
    <w:p w14:paraId="628A9200" w14:textId="4D7681CA" w:rsidR="009E01FF" w:rsidRPr="00CB38F0" w:rsidRDefault="009E01FF" w:rsidP="009E01FF">
      <w:pPr>
        <w:spacing w:after="0" w:line="240" w:lineRule="auto"/>
        <w:jc w:val="both"/>
        <w:rPr>
          <w:rFonts w:ascii="Arial" w:hAnsi="Arial" w:cs="Arial"/>
          <w:sz w:val="18"/>
          <w:szCs w:val="18"/>
          <w:lang w:val="el-GR"/>
        </w:rPr>
      </w:pPr>
      <w:r w:rsidRPr="00CB38F0">
        <w:rPr>
          <w:rFonts w:ascii="Arial" w:hAnsi="Arial" w:cs="Arial"/>
          <w:sz w:val="18"/>
          <w:szCs w:val="18"/>
          <w:lang w:val="el-GR"/>
        </w:rPr>
        <w:t xml:space="preserve">Η </w:t>
      </w:r>
      <w:r w:rsidRPr="00CB38F0">
        <w:rPr>
          <w:rFonts w:ascii="Arial" w:hAnsi="Arial" w:cs="Arial"/>
          <w:b/>
          <w:bCs/>
          <w:sz w:val="18"/>
          <w:szCs w:val="18"/>
          <w:lang w:val="el-GR"/>
        </w:rPr>
        <w:t>Διεύθυνση Διαχείρισης Ακινήτων (ΔΔΑ)</w:t>
      </w:r>
      <w:r w:rsidRPr="00CB38F0">
        <w:rPr>
          <w:rFonts w:ascii="Arial" w:hAnsi="Arial" w:cs="Arial"/>
          <w:sz w:val="18"/>
          <w:szCs w:val="18"/>
          <w:lang w:val="el-GR"/>
        </w:rPr>
        <w:t xml:space="preserve"> επικεντρώνει την προσοχή της στην πώληση των ακινήτων που προκύπτουν από τις συμφωνίες ανταλλαγής χρέους με ακίνητα. Συνολικά, οι πωλήσεις</w:t>
      </w:r>
      <w:r w:rsidR="009A3909" w:rsidRPr="00CB38F0">
        <w:rPr>
          <w:rFonts w:ascii="Arial" w:hAnsi="Arial" w:cs="Arial"/>
          <w:sz w:val="18"/>
          <w:szCs w:val="18"/>
          <w:lang w:val="el-GR"/>
        </w:rPr>
        <w:t xml:space="preserve"> των ανακτηθέντων ακινήτων</w:t>
      </w:r>
      <w:r w:rsidRPr="00CB38F0">
        <w:rPr>
          <w:rFonts w:ascii="Arial" w:hAnsi="Arial" w:cs="Arial"/>
          <w:sz w:val="18"/>
          <w:szCs w:val="18"/>
          <w:lang w:val="el-GR"/>
        </w:rPr>
        <w:t xml:space="preserve"> από την αρχή του </w:t>
      </w:r>
      <w:r w:rsidR="001F22D1" w:rsidRPr="00CB38F0">
        <w:rPr>
          <w:rFonts w:ascii="Arial" w:hAnsi="Arial" w:cs="Arial"/>
          <w:sz w:val="18"/>
          <w:szCs w:val="18"/>
          <w:lang w:val="el-GR"/>
        </w:rPr>
        <w:t>2019</w:t>
      </w:r>
      <w:r w:rsidRPr="00CB38F0">
        <w:rPr>
          <w:rFonts w:ascii="Arial" w:hAnsi="Arial" w:cs="Arial"/>
          <w:sz w:val="18"/>
          <w:szCs w:val="18"/>
          <w:lang w:val="el-GR"/>
        </w:rPr>
        <w:t xml:space="preserve"> ανέρχονται σε </w:t>
      </w:r>
      <w:r w:rsidR="00B81624">
        <w:rPr>
          <w:rFonts w:ascii="Arial" w:hAnsi="Arial" w:cs="Arial"/>
          <w:sz w:val="18"/>
          <w:szCs w:val="18"/>
          <w:lang w:val="el-GR"/>
        </w:rPr>
        <w:t xml:space="preserve">περίπου </w:t>
      </w:r>
      <w:r w:rsidR="00516A65" w:rsidRPr="00CB38F0">
        <w:rPr>
          <w:rFonts w:ascii="Arial" w:hAnsi="Arial" w:cs="Arial"/>
          <w:sz w:val="18"/>
          <w:szCs w:val="18"/>
          <w:lang w:val="el-GR"/>
        </w:rPr>
        <w:t>€</w:t>
      </w:r>
      <w:r w:rsidR="00B81624">
        <w:rPr>
          <w:rFonts w:ascii="Arial" w:hAnsi="Arial" w:cs="Arial"/>
          <w:sz w:val="18"/>
          <w:szCs w:val="18"/>
          <w:lang w:val="el-GR"/>
        </w:rPr>
        <w:t>1.0</w:t>
      </w:r>
      <w:r w:rsidR="00516A65" w:rsidRPr="00CB38F0">
        <w:rPr>
          <w:rFonts w:ascii="Arial" w:hAnsi="Arial" w:cs="Arial"/>
          <w:sz w:val="18"/>
          <w:szCs w:val="18"/>
          <w:lang w:val="el-GR"/>
        </w:rPr>
        <w:t xml:space="preserve"> </w:t>
      </w:r>
      <w:r w:rsidRPr="00CB38F0">
        <w:rPr>
          <w:rFonts w:ascii="Arial" w:hAnsi="Arial" w:cs="Arial"/>
          <w:sz w:val="18"/>
          <w:szCs w:val="18"/>
          <w:lang w:val="el-GR"/>
        </w:rPr>
        <w:t>δις και υπερβαίνουν τα ακίνητα που ανέλαβε κατά την ίδια περίοδο ύψους €</w:t>
      </w:r>
      <w:r w:rsidR="001F22D1" w:rsidRPr="00CB38F0">
        <w:rPr>
          <w:rFonts w:ascii="Arial" w:hAnsi="Arial" w:cs="Arial"/>
          <w:sz w:val="18"/>
          <w:szCs w:val="18"/>
          <w:lang w:val="el-GR"/>
        </w:rPr>
        <w:t>0.5</w:t>
      </w:r>
      <w:r w:rsidRPr="00CB38F0">
        <w:rPr>
          <w:rFonts w:ascii="Arial" w:hAnsi="Arial" w:cs="Arial"/>
          <w:sz w:val="18"/>
          <w:szCs w:val="18"/>
          <w:lang w:val="el-GR"/>
        </w:rPr>
        <w:t xml:space="preserve"> δις.</w:t>
      </w:r>
    </w:p>
    <w:p w14:paraId="790FEC01" w14:textId="77777777" w:rsidR="009E01FF" w:rsidRPr="00CB38F0" w:rsidRDefault="009E01FF" w:rsidP="009E01FF">
      <w:pPr>
        <w:spacing w:after="0" w:line="240" w:lineRule="auto"/>
        <w:jc w:val="both"/>
        <w:rPr>
          <w:rFonts w:ascii="Arial" w:hAnsi="Arial" w:cs="Arial"/>
          <w:sz w:val="18"/>
          <w:szCs w:val="18"/>
          <w:lang w:val="el-GR"/>
        </w:rPr>
      </w:pPr>
    </w:p>
    <w:p w14:paraId="72DDD2AE" w14:textId="0258A1C0" w:rsidR="009E01FF" w:rsidRPr="00CB38F0" w:rsidRDefault="009E01FF" w:rsidP="0001370B">
      <w:pPr>
        <w:spacing w:after="0" w:line="240" w:lineRule="auto"/>
        <w:jc w:val="both"/>
        <w:rPr>
          <w:rFonts w:ascii="Arial" w:hAnsi="Arial" w:cs="Arial"/>
          <w:sz w:val="18"/>
          <w:szCs w:val="18"/>
          <w:lang w:val="el-GR"/>
        </w:rPr>
      </w:pPr>
      <w:r w:rsidRPr="00CB38F0">
        <w:rPr>
          <w:rFonts w:ascii="Arial" w:hAnsi="Arial" w:cs="Arial"/>
          <w:sz w:val="18"/>
          <w:szCs w:val="18"/>
          <w:lang w:val="el-GR"/>
        </w:rPr>
        <w:t>Κατά το</w:t>
      </w:r>
      <w:r w:rsidR="00BD7885" w:rsidRPr="00CB38F0">
        <w:rPr>
          <w:rFonts w:ascii="Arial" w:hAnsi="Arial" w:cs="Arial"/>
          <w:sz w:val="18"/>
          <w:szCs w:val="18"/>
          <w:lang w:val="el-GR"/>
        </w:rPr>
        <w:t xml:space="preserve"> α’ </w:t>
      </w:r>
      <w:r w:rsidR="0001370B" w:rsidRPr="00CB38F0">
        <w:rPr>
          <w:rFonts w:ascii="Arial" w:hAnsi="Arial" w:cs="Arial"/>
          <w:sz w:val="18"/>
          <w:szCs w:val="18"/>
          <w:lang w:val="el-GR"/>
        </w:rPr>
        <w:t xml:space="preserve">εξάμηνο </w:t>
      </w:r>
      <w:r w:rsidR="00BD7885" w:rsidRPr="00CB38F0">
        <w:rPr>
          <w:rFonts w:ascii="Arial" w:hAnsi="Arial" w:cs="Arial"/>
          <w:sz w:val="18"/>
          <w:szCs w:val="18"/>
          <w:lang w:val="el-GR"/>
        </w:rPr>
        <w:t>2024</w:t>
      </w:r>
      <w:r w:rsidRPr="00CB38F0">
        <w:rPr>
          <w:rFonts w:ascii="Arial" w:hAnsi="Arial" w:cs="Arial"/>
          <w:sz w:val="18"/>
          <w:szCs w:val="18"/>
          <w:lang w:val="el-GR"/>
        </w:rPr>
        <w:t xml:space="preserve">, </w:t>
      </w:r>
      <w:r w:rsidR="00680989" w:rsidRPr="00CB38F0">
        <w:rPr>
          <w:rFonts w:ascii="Arial" w:hAnsi="Arial" w:cs="Arial"/>
          <w:sz w:val="18"/>
          <w:szCs w:val="18"/>
          <w:lang w:val="el-GR"/>
        </w:rPr>
        <w:t xml:space="preserve">η ΔΔΑ </w:t>
      </w:r>
      <w:r w:rsidRPr="00CB38F0">
        <w:rPr>
          <w:rFonts w:ascii="Arial" w:hAnsi="Arial" w:cs="Arial"/>
          <w:sz w:val="18"/>
          <w:szCs w:val="18"/>
          <w:lang w:val="el-GR"/>
        </w:rPr>
        <w:t>ολοκλήρωσε πωλήσεις</w:t>
      </w:r>
      <w:r w:rsidR="00D97ADF">
        <w:rPr>
          <w:rFonts w:ascii="Arial" w:hAnsi="Arial" w:cs="Arial"/>
          <w:sz w:val="18"/>
          <w:szCs w:val="18"/>
          <w:lang w:val="el-GR"/>
        </w:rPr>
        <w:t xml:space="preserve"> (και μεταφορές)</w:t>
      </w:r>
      <w:r w:rsidRPr="00CB38F0">
        <w:rPr>
          <w:rFonts w:ascii="Arial" w:hAnsi="Arial" w:cs="Arial"/>
          <w:sz w:val="18"/>
          <w:szCs w:val="18"/>
          <w:lang w:val="el-GR"/>
        </w:rPr>
        <w:t xml:space="preserve"> ακινήτων ύψους €</w:t>
      </w:r>
      <w:r w:rsidR="00B81624" w:rsidRPr="00CB38F0">
        <w:rPr>
          <w:rFonts w:ascii="Arial" w:hAnsi="Arial" w:cs="Arial"/>
          <w:sz w:val="18"/>
          <w:szCs w:val="18"/>
          <w:lang w:val="el-GR"/>
        </w:rPr>
        <w:t>57</w:t>
      </w:r>
      <w:r w:rsidR="0001370B" w:rsidRPr="00CB38F0">
        <w:rPr>
          <w:rFonts w:ascii="Arial" w:hAnsi="Arial" w:cs="Arial"/>
          <w:sz w:val="18"/>
          <w:szCs w:val="18"/>
          <w:lang w:val="el-GR"/>
        </w:rPr>
        <w:t xml:space="preserve"> </w:t>
      </w:r>
      <w:r w:rsidRPr="00CB38F0">
        <w:rPr>
          <w:rFonts w:ascii="Arial" w:hAnsi="Arial" w:cs="Arial"/>
          <w:sz w:val="18"/>
          <w:szCs w:val="18"/>
          <w:lang w:val="el-GR"/>
        </w:rPr>
        <w:t>εκατ. (σε σύγκριση με €</w:t>
      </w:r>
      <w:r w:rsidR="0001370B" w:rsidRPr="00CB38F0">
        <w:rPr>
          <w:rFonts w:ascii="Arial" w:hAnsi="Arial" w:cs="Arial"/>
          <w:sz w:val="18"/>
          <w:szCs w:val="18"/>
          <w:lang w:val="el-GR"/>
        </w:rPr>
        <w:t xml:space="preserve">68 </w:t>
      </w:r>
      <w:r w:rsidRPr="00CB38F0">
        <w:rPr>
          <w:rFonts w:ascii="Arial" w:hAnsi="Arial" w:cs="Arial"/>
          <w:sz w:val="18"/>
          <w:szCs w:val="18"/>
          <w:lang w:val="el-GR"/>
        </w:rPr>
        <w:t xml:space="preserve">εκατ. κατά </w:t>
      </w:r>
      <w:r w:rsidR="00BD7885" w:rsidRPr="00CB38F0">
        <w:rPr>
          <w:rFonts w:ascii="Arial" w:hAnsi="Arial" w:cs="Arial"/>
          <w:sz w:val="18"/>
          <w:szCs w:val="18"/>
          <w:lang w:val="el-GR"/>
        </w:rPr>
        <w:t xml:space="preserve">το </w:t>
      </w:r>
      <w:r w:rsidR="0001370B" w:rsidRPr="00CB38F0">
        <w:rPr>
          <w:rFonts w:ascii="Arial" w:hAnsi="Arial" w:cs="Arial"/>
          <w:sz w:val="18"/>
          <w:szCs w:val="18"/>
          <w:lang w:val="el-GR"/>
        </w:rPr>
        <w:t xml:space="preserve">α’ εξάμηνο </w:t>
      </w:r>
      <w:r w:rsidR="00BD7885" w:rsidRPr="00CB38F0">
        <w:rPr>
          <w:rFonts w:ascii="Arial" w:hAnsi="Arial" w:cs="Arial"/>
          <w:sz w:val="18"/>
          <w:szCs w:val="18"/>
          <w:lang w:val="el-GR"/>
        </w:rPr>
        <w:t>2023</w:t>
      </w:r>
      <w:r w:rsidRPr="00CB38F0">
        <w:rPr>
          <w:rFonts w:ascii="Arial" w:hAnsi="Arial" w:cs="Arial"/>
          <w:sz w:val="18"/>
          <w:szCs w:val="18"/>
          <w:lang w:val="el-GR"/>
        </w:rPr>
        <w:t>), με κέρδη από πωλήσεις ακινήτων ύψους</w:t>
      </w:r>
      <w:r w:rsidR="002B266E" w:rsidRPr="00CB38F0">
        <w:rPr>
          <w:rFonts w:ascii="Arial" w:hAnsi="Arial" w:cs="Arial"/>
          <w:sz w:val="18"/>
          <w:szCs w:val="18"/>
          <w:lang w:val="el-GR"/>
        </w:rPr>
        <w:t xml:space="preserve"> περίπου</w:t>
      </w:r>
      <w:r w:rsidRPr="00CB38F0">
        <w:rPr>
          <w:rFonts w:ascii="Arial" w:hAnsi="Arial" w:cs="Arial"/>
          <w:sz w:val="18"/>
          <w:szCs w:val="18"/>
          <w:lang w:val="el-GR"/>
        </w:rPr>
        <w:t xml:space="preserve"> €</w:t>
      </w:r>
      <w:r w:rsidR="00AB1F61" w:rsidRPr="006A1797">
        <w:rPr>
          <w:rFonts w:ascii="Arial" w:hAnsi="Arial" w:cs="Arial"/>
          <w:sz w:val="18"/>
          <w:szCs w:val="18"/>
          <w:lang w:val="el-GR"/>
        </w:rPr>
        <w:t>3</w:t>
      </w:r>
      <w:r w:rsidR="0001370B" w:rsidRPr="006A1797">
        <w:rPr>
          <w:rFonts w:ascii="Arial" w:hAnsi="Arial" w:cs="Arial"/>
          <w:sz w:val="18"/>
          <w:szCs w:val="18"/>
          <w:lang w:val="el-GR"/>
        </w:rPr>
        <w:t xml:space="preserve"> </w:t>
      </w:r>
      <w:r w:rsidRPr="00AB1F61">
        <w:rPr>
          <w:rFonts w:ascii="Arial" w:hAnsi="Arial" w:cs="Arial"/>
          <w:sz w:val="18"/>
          <w:szCs w:val="18"/>
          <w:lang w:val="el-GR"/>
        </w:rPr>
        <w:t>εκατ</w:t>
      </w:r>
      <w:r w:rsidRPr="00CB38F0">
        <w:rPr>
          <w:rFonts w:ascii="Arial" w:hAnsi="Arial" w:cs="Arial"/>
          <w:sz w:val="18"/>
          <w:szCs w:val="18"/>
          <w:lang w:val="el-GR"/>
        </w:rPr>
        <w:t xml:space="preserve">. </w:t>
      </w:r>
      <w:r w:rsidR="00BD7885" w:rsidRPr="00CB38F0">
        <w:rPr>
          <w:rFonts w:ascii="Arial" w:hAnsi="Arial" w:cs="Arial"/>
          <w:sz w:val="18"/>
          <w:szCs w:val="18"/>
          <w:lang w:val="el-GR"/>
        </w:rPr>
        <w:t>κατά το</w:t>
      </w:r>
      <w:r w:rsidRPr="00CB38F0">
        <w:rPr>
          <w:rFonts w:ascii="Arial" w:hAnsi="Arial" w:cs="Arial"/>
          <w:sz w:val="18"/>
          <w:szCs w:val="18"/>
          <w:lang w:val="el-GR"/>
        </w:rPr>
        <w:t xml:space="preserve"> </w:t>
      </w:r>
      <w:r w:rsidR="00BD7885" w:rsidRPr="00CB38F0">
        <w:rPr>
          <w:rFonts w:ascii="Arial" w:hAnsi="Arial" w:cs="Arial"/>
          <w:sz w:val="18"/>
          <w:szCs w:val="18"/>
          <w:lang w:val="el-GR"/>
        </w:rPr>
        <w:t xml:space="preserve">α΄ </w:t>
      </w:r>
      <w:r w:rsidR="0001370B" w:rsidRPr="00CB38F0">
        <w:rPr>
          <w:rFonts w:ascii="Arial" w:hAnsi="Arial" w:cs="Arial"/>
          <w:sz w:val="18"/>
          <w:szCs w:val="18"/>
          <w:lang w:val="el-GR"/>
        </w:rPr>
        <w:t xml:space="preserve">εξάμηνο </w:t>
      </w:r>
      <w:r w:rsidR="00BD7885" w:rsidRPr="00CB38F0">
        <w:rPr>
          <w:rFonts w:ascii="Arial" w:hAnsi="Arial" w:cs="Arial"/>
          <w:sz w:val="18"/>
          <w:szCs w:val="18"/>
          <w:lang w:val="el-GR"/>
        </w:rPr>
        <w:t>2024</w:t>
      </w:r>
      <w:r w:rsidR="00CD6CB4" w:rsidRPr="00CB38F0">
        <w:rPr>
          <w:rFonts w:ascii="Arial" w:hAnsi="Arial" w:cs="Arial"/>
          <w:sz w:val="18"/>
          <w:szCs w:val="18"/>
          <w:lang w:val="el-GR"/>
        </w:rPr>
        <w:t xml:space="preserve"> </w:t>
      </w:r>
      <w:r w:rsidRPr="00CB38F0">
        <w:rPr>
          <w:rFonts w:ascii="Arial" w:hAnsi="Arial" w:cs="Arial"/>
          <w:sz w:val="18"/>
          <w:szCs w:val="18"/>
          <w:lang w:val="el-GR"/>
        </w:rPr>
        <w:t>(σε σύγκριση με κέρδη ύψους περίπου €</w:t>
      </w:r>
      <w:r w:rsidR="0001370B" w:rsidRPr="00CB38F0">
        <w:rPr>
          <w:rFonts w:ascii="Arial" w:hAnsi="Arial" w:cs="Arial"/>
          <w:sz w:val="18"/>
          <w:szCs w:val="18"/>
          <w:lang w:val="el-GR"/>
        </w:rPr>
        <w:t>4</w:t>
      </w:r>
      <w:r w:rsidR="00BD7885" w:rsidRPr="00CB38F0">
        <w:rPr>
          <w:rFonts w:ascii="Arial" w:hAnsi="Arial" w:cs="Arial"/>
          <w:sz w:val="18"/>
          <w:szCs w:val="18"/>
          <w:lang w:val="el-GR"/>
        </w:rPr>
        <w:t xml:space="preserve"> </w:t>
      </w:r>
      <w:r w:rsidRPr="00CB38F0">
        <w:rPr>
          <w:rFonts w:ascii="Arial" w:hAnsi="Arial" w:cs="Arial"/>
          <w:sz w:val="18"/>
          <w:szCs w:val="18"/>
          <w:lang w:val="el-GR"/>
        </w:rPr>
        <w:t xml:space="preserve">εκατ. </w:t>
      </w:r>
      <w:r w:rsidR="00BD7885" w:rsidRPr="00CB38F0">
        <w:rPr>
          <w:rFonts w:ascii="Arial" w:hAnsi="Arial" w:cs="Arial"/>
          <w:sz w:val="18"/>
          <w:szCs w:val="18"/>
          <w:lang w:val="el-GR"/>
        </w:rPr>
        <w:t xml:space="preserve">κατά το </w:t>
      </w:r>
      <w:r w:rsidR="0001370B" w:rsidRPr="00CB38F0">
        <w:rPr>
          <w:rFonts w:ascii="Arial" w:hAnsi="Arial" w:cs="Arial"/>
          <w:sz w:val="18"/>
          <w:szCs w:val="18"/>
          <w:lang w:val="el-GR"/>
        </w:rPr>
        <w:t xml:space="preserve">α’ εξάμηνο </w:t>
      </w:r>
      <w:r w:rsidR="00BD7885" w:rsidRPr="00CB38F0">
        <w:rPr>
          <w:rFonts w:ascii="Arial" w:hAnsi="Arial" w:cs="Arial"/>
          <w:sz w:val="18"/>
          <w:szCs w:val="18"/>
          <w:lang w:val="el-GR"/>
        </w:rPr>
        <w:t>2023).</w:t>
      </w:r>
      <w:r w:rsidRPr="00CB38F0">
        <w:rPr>
          <w:rFonts w:ascii="Arial" w:hAnsi="Arial" w:cs="Arial"/>
          <w:sz w:val="18"/>
          <w:szCs w:val="18"/>
          <w:lang w:val="el-GR"/>
        </w:rPr>
        <w:t xml:space="preserve"> Οι πωλήσεις περιουσιακών στοιχείων αφορούν όλες τις κατηγορίες ακινήτων, με</w:t>
      </w:r>
      <w:r w:rsidR="00BD7885" w:rsidRPr="00CB38F0">
        <w:rPr>
          <w:rFonts w:ascii="Arial" w:hAnsi="Arial" w:cs="Arial"/>
          <w:sz w:val="18"/>
          <w:szCs w:val="18"/>
          <w:lang w:val="el-GR"/>
        </w:rPr>
        <w:t xml:space="preserve"> </w:t>
      </w:r>
      <w:r w:rsidR="00B81624">
        <w:rPr>
          <w:rFonts w:ascii="Arial" w:hAnsi="Arial" w:cs="Arial"/>
          <w:sz w:val="18"/>
          <w:szCs w:val="18"/>
          <w:lang w:val="el-GR"/>
        </w:rPr>
        <w:t>περίπου τα δύ</w:t>
      </w:r>
      <w:r w:rsidR="005C0640">
        <w:rPr>
          <w:rFonts w:ascii="Arial" w:hAnsi="Arial" w:cs="Arial"/>
          <w:sz w:val="18"/>
          <w:szCs w:val="18"/>
          <w:lang w:val="el-GR"/>
        </w:rPr>
        <w:t>ο</w:t>
      </w:r>
      <w:r w:rsidR="00B81624">
        <w:rPr>
          <w:rFonts w:ascii="Arial" w:hAnsi="Arial" w:cs="Arial"/>
          <w:sz w:val="18"/>
          <w:szCs w:val="18"/>
          <w:lang w:val="el-GR"/>
        </w:rPr>
        <w:t xml:space="preserve"> </w:t>
      </w:r>
      <w:r w:rsidR="005C0640">
        <w:rPr>
          <w:rFonts w:ascii="Arial" w:hAnsi="Arial" w:cs="Arial"/>
          <w:sz w:val="18"/>
          <w:szCs w:val="18"/>
          <w:lang w:val="el-GR"/>
        </w:rPr>
        <w:t xml:space="preserve">τρίτα </w:t>
      </w:r>
      <w:r w:rsidRPr="00CB38F0">
        <w:rPr>
          <w:rFonts w:ascii="Arial" w:hAnsi="Arial" w:cs="Arial"/>
          <w:sz w:val="18"/>
          <w:szCs w:val="18"/>
          <w:lang w:val="el-GR"/>
        </w:rPr>
        <w:t xml:space="preserve">των πωλήσεων σε </w:t>
      </w:r>
      <w:r w:rsidR="00926E34" w:rsidRPr="00CB38F0">
        <w:rPr>
          <w:rFonts w:ascii="Arial" w:hAnsi="Arial" w:cs="Arial"/>
          <w:sz w:val="18"/>
          <w:szCs w:val="18"/>
          <w:lang w:val="el-GR"/>
        </w:rPr>
        <w:t xml:space="preserve">μεικτή </w:t>
      </w:r>
      <w:r w:rsidRPr="00CB38F0">
        <w:rPr>
          <w:rFonts w:ascii="Arial" w:hAnsi="Arial" w:cs="Arial"/>
          <w:sz w:val="18"/>
          <w:szCs w:val="18"/>
          <w:lang w:val="el-GR"/>
        </w:rPr>
        <w:t xml:space="preserve">αξία κατά </w:t>
      </w:r>
      <w:r w:rsidR="00BD7885" w:rsidRPr="00CB38F0">
        <w:rPr>
          <w:rFonts w:ascii="Arial" w:hAnsi="Arial" w:cs="Arial"/>
          <w:sz w:val="18"/>
          <w:szCs w:val="18"/>
          <w:lang w:val="el-GR"/>
        </w:rPr>
        <w:t xml:space="preserve">το α’ </w:t>
      </w:r>
      <w:r w:rsidR="0001370B" w:rsidRPr="00CB38F0">
        <w:rPr>
          <w:rFonts w:ascii="Arial" w:hAnsi="Arial" w:cs="Arial"/>
          <w:sz w:val="18"/>
          <w:szCs w:val="18"/>
          <w:lang w:val="el-GR"/>
        </w:rPr>
        <w:t xml:space="preserve">εξάμηνο </w:t>
      </w:r>
      <w:r w:rsidR="00BD7885" w:rsidRPr="00CB38F0">
        <w:rPr>
          <w:rFonts w:ascii="Arial" w:hAnsi="Arial" w:cs="Arial"/>
          <w:sz w:val="18"/>
          <w:szCs w:val="18"/>
          <w:lang w:val="el-GR"/>
        </w:rPr>
        <w:t>2024</w:t>
      </w:r>
      <w:r w:rsidR="00031B72" w:rsidRPr="00CB38F0">
        <w:rPr>
          <w:rFonts w:ascii="Arial" w:hAnsi="Arial" w:cs="Arial"/>
          <w:sz w:val="18"/>
          <w:szCs w:val="18"/>
          <w:lang w:val="el-GR"/>
        </w:rPr>
        <w:t xml:space="preserve"> </w:t>
      </w:r>
      <w:r w:rsidRPr="00CB38F0">
        <w:rPr>
          <w:rFonts w:ascii="Arial" w:hAnsi="Arial" w:cs="Arial"/>
          <w:sz w:val="18"/>
          <w:szCs w:val="18"/>
          <w:lang w:val="el-GR"/>
        </w:rPr>
        <w:t xml:space="preserve">να αφορούν γη. </w:t>
      </w:r>
    </w:p>
    <w:p w14:paraId="42E841D7" w14:textId="77777777" w:rsidR="009E01FF" w:rsidRPr="00CB38F0" w:rsidRDefault="009E01FF" w:rsidP="009E01FF">
      <w:pPr>
        <w:spacing w:after="0" w:line="240" w:lineRule="auto"/>
        <w:jc w:val="both"/>
        <w:rPr>
          <w:rFonts w:ascii="Arial" w:hAnsi="Arial" w:cs="Arial"/>
          <w:sz w:val="18"/>
          <w:szCs w:val="18"/>
          <w:lang w:val="el-GR"/>
        </w:rPr>
      </w:pPr>
    </w:p>
    <w:p w14:paraId="6332ACD8" w14:textId="1B881F84" w:rsidR="009E01FF" w:rsidRPr="00CB38F0" w:rsidRDefault="00A936ED" w:rsidP="009E01FF">
      <w:pPr>
        <w:spacing w:after="0" w:line="240" w:lineRule="auto"/>
        <w:jc w:val="both"/>
        <w:rPr>
          <w:rFonts w:ascii="Arial" w:hAnsi="Arial" w:cs="Arial"/>
          <w:sz w:val="18"/>
          <w:szCs w:val="18"/>
          <w:lang w:val="el-GR"/>
        </w:rPr>
      </w:pPr>
      <w:r w:rsidRPr="00CB38F0">
        <w:rPr>
          <w:rFonts w:ascii="Arial" w:hAnsi="Arial" w:cs="Arial"/>
          <w:sz w:val="18"/>
          <w:szCs w:val="18"/>
          <w:lang w:val="el-GR"/>
        </w:rPr>
        <w:t xml:space="preserve">Κατά </w:t>
      </w:r>
      <w:r w:rsidR="005C0640" w:rsidRPr="00353665">
        <w:rPr>
          <w:rFonts w:ascii="Arial" w:hAnsi="Arial" w:cs="Arial"/>
          <w:sz w:val="18"/>
          <w:szCs w:val="18"/>
          <w:lang w:val="el-GR"/>
        </w:rPr>
        <w:t xml:space="preserve">το </w:t>
      </w:r>
      <w:r w:rsidR="005C0640" w:rsidRPr="005C0640">
        <w:rPr>
          <w:rFonts w:ascii="Arial" w:hAnsi="Arial" w:cs="Arial"/>
          <w:sz w:val="18"/>
          <w:szCs w:val="18"/>
          <w:lang w:val="el-GR"/>
        </w:rPr>
        <w:t>α’ εξάμηνο 2024</w:t>
      </w:r>
      <w:r w:rsidR="009E01FF" w:rsidRPr="00CB38F0">
        <w:rPr>
          <w:rFonts w:ascii="Arial" w:hAnsi="Arial" w:cs="Arial"/>
          <w:sz w:val="18"/>
          <w:szCs w:val="18"/>
          <w:lang w:val="el-GR"/>
        </w:rPr>
        <w:t xml:space="preserve">, </w:t>
      </w:r>
      <w:r w:rsidR="00680989" w:rsidRPr="00CB38F0">
        <w:rPr>
          <w:rFonts w:ascii="Arial" w:hAnsi="Arial" w:cs="Arial"/>
          <w:sz w:val="18"/>
          <w:szCs w:val="18"/>
          <w:lang w:val="el-GR"/>
        </w:rPr>
        <w:t xml:space="preserve">η ΔΔΑ </w:t>
      </w:r>
      <w:r w:rsidR="009E01FF" w:rsidRPr="00CB38F0">
        <w:rPr>
          <w:rFonts w:ascii="Arial" w:hAnsi="Arial" w:cs="Arial"/>
          <w:sz w:val="18"/>
          <w:szCs w:val="18"/>
          <w:lang w:val="el-GR"/>
        </w:rPr>
        <w:t xml:space="preserve">προχώρησε σε εκτέλεση αγοραπωλητήριων συμφωνιών για </w:t>
      </w:r>
      <w:r w:rsidR="005C0640" w:rsidRPr="00CB38F0">
        <w:rPr>
          <w:rFonts w:ascii="Arial" w:hAnsi="Arial" w:cs="Arial"/>
          <w:sz w:val="18"/>
          <w:szCs w:val="18"/>
          <w:lang w:val="el-GR"/>
        </w:rPr>
        <w:t>258</w:t>
      </w:r>
      <w:r w:rsidR="0001370B" w:rsidRPr="00CB38F0">
        <w:rPr>
          <w:rFonts w:ascii="Arial" w:hAnsi="Arial" w:cs="Arial"/>
          <w:sz w:val="18"/>
          <w:szCs w:val="18"/>
          <w:lang w:val="el-GR"/>
        </w:rPr>
        <w:t xml:space="preserve"> </w:t>
      </w:r>
      <w:r w:rsidR="009E01FF" w:rsidRPr="00CB38F0">
        <w:rPr>
          <w:rFonts w:ascii="Arial" w:hAnsi="Arial" w:cs="Arial"/>
          <w:sz w:val="18"/>
          <w:szCs w:val="18"/>
          <w:lang w:val="el-GR"/>
        </w:rPr>
        <w:t>ακίνητα με τιμή συμβολαίου ύψους €</w:t>
      </w:r>
      <w:r w:rsidR="005C0640" w:rsidRPr="00CB38F0">
        <w:rPr>
          <w:rFonts w:ascii="Arial" w:hAnsi="Arial" w:cs="Arial"/>
          <w:sz w:val="18"/>
          <w:szCs w:val="18"/>
          <w:lang w:val="el-GR"/>
        </w:rPr>
        <w:t>65</w:t>
      </w:r>
      <w:r w:rsidR="0001370B" w:rsidRPr="00CB38F0">
        <w:rPr>
          <w:rFonts w:ascii="Arial" w:hAnsi="Arial" w:cs="Arial"/>
          <w:sz w:val="18"/>
          <w:szCs w:val="18"/>
          <w:lang w:val="el-GR"/>
        </w:rPr>
        <w:t xml:space="preserve"> </w:t>
      </w:r>
      <w:r w:rsidR="009E01FF" w:rsidRPr="00CB38F0">
        <w:rPr>
          <w:rFonts w:ascii="Arial" w:hAnsi="Arial" w:cs="Arial"/>
          <w:sz w:val="18"/>
          <w:szCs w:val="18"/>
          <w:lang w:val="el-GR"/>
        </w:rPr>
        <w:t>εκατ.</w:t>
      </w:r>
      <w:r w:rsidR="00BD7885" w:rsidRPr="00CB38F0">
        <w:rPr>
          <w:rFonts w:ascii="Arial" w:hAnsi="Arial" w:cs="Arial"/>
          <w:sz w:val="18"/>
          <w:szCs w:val="18"/>
          <w:lang w:val="el-GR"/>
        </w:rPr>
        <w:t xml:space="preserve"> (περιλαμβάνοντας </w:t>
      </w:r>
      <w:r w:rsidR="0059202E">
        <w:rPr>
          <w:rFonts w:ascii="Arial" w:hAnsi="Arial" w:cs="Arial"/>
          <w:sz w:val="18"/>
          <w:szCs w:val="18"/>
          <w:lang w:val="el-GR"/>
        </w:rPr>
        <w:t>μεταφορές</w:t>
      </w:r>
      <w:r w:rsidR="0059202E" w:rsidRPr="00CB38F0">
        <w:rPr>
          <w:rFonts w:ascii="Arial" w:hAnsi="Arial" w:cs="Arial"/>
          <w:sz w:val="18"/>
          <w:szCs w:val="18"/>
          <w:lang w:val="el-GR"/>
        </w:rPr>
        <w:t xml:space="preserve"> </w:t>
      </w:r>
      <w:r w:rsidR="00680989" w:rsidRPr="00CB38F0">
        <w:rPr>
          <w:rFonts w:ascii="Arial" w:hAnsi="Arial" w:cs="Arial"/>
          <w:sz w:val="18"/>
          <w:szCs w:val="18"/>
          <w:lang w:val="el-GR"/>
        </w:rPr>
        <w:t>ύψους €</w:t>
      </w:r>
      <w:r w:rsidR="00AB1F61" w:rsidRPr="006A1797">
        <w:rPr>
          <w:rFonts w:ascii="Arial" w:hAnsi="Arial" w:cs="Arial"/>
          <w:sz w:val="18"/>
          <w:szCs w:val="18"/>
          <w:lang w:val="el-GR"/>
        </w:rPr>
        <w:t>3</w:t>
      </w:r>
      <w:r w:rsidR="0001370B" w:rsidRPr="00CB38F0">
        <w:rPr>
          <w:rFonts w:ascii="Arial" w:hAnsi="Arial" w:cs="Arial"/>
          <w:sz w:val="18"/>
          <w:szCs w:val="18"/>
          <w:lang w:val="el-GR"/>
        </w:rPr>
        <w:t xml:space="preserve"> </w:t>
      </w:r>
      <w:r w:rsidR="00680989" w:rsidRPr="00CB38F0">
        <w:rPr>
          <w:rFonts w:ascii="Arial" w:hAnsi="Arial" w:cs="Arial"/>
          <w:sz w:val="18"/>
          <w:szCs w:val="18"/>
          <w:lang w:val="el-GR"/>
        </w:rPr>
        <w:t>εκατ.</w:t>
      </w:r>
      <w:r w:rsidR="00BD7885" w:rsidRPr="00CB38F0">
        <w:rPr>
          <w:rFonts w:ascii="Arial" w:hAnsi="Arial" w:cs="Arial"/>
          <w:sz w:val="18"/>
          <w:szCs w:val="18"/>
          <w:lang w:val="el-GR"/>
        </w:rPr>
        <w:t>)</w:t>
      </w:r>
      <w:r w:rsidR="009E01FF" w:rsidRPr="00CB38F0">
        <w:rPr>
          <w:rFonts w:ascii="Arial" w:hAnsi="Arial" w:cs="Arial"/>
          <w:sz w:val="18"/>
          <w:szCs w:val="18"/>
          <w:lang w:val="el-GR"/>
        </w:rPr>
        <w:t xml:space="preserve">, σε σύγκριση με αγοραπωλητήριες συμφωνίες για </w:t>
      </w:r>
      <w:r w:rsidR="0001370B" w:rsidRPr="00CB38F0">
        <w:rPr>
          <w:rFonts w:ascii="Arial" w:hAnsi="Arial" w:cs="Arial"/>
          <w:sz w:val="18"/>
          <w:szCs w:val="18"/>
          <w:lang w:val="el-GR"/>
        </w:rPr>
        <w:t xml:space="preserve">273 </w:t>
      </w:r>
      <w:r w:rsidR="009E01FF" w:rsidRPr="00CB38F0">
        <w:rPr>
          <w:rFonts w:ascii="Arial" w:hAnsi="Arial" w:cs="Arial"/>
          <w:sz w:val="18"/>
          <w:szCs w:val="18"/>
          <w:lang w:val="el-GR"/>
        </w:rPr>
        <w:t>ακίνητα,</w:t>
      </w:r>
      <w:r w:rsidR="009E01FF" w:rsidRPr="00CB38F0" w:rsidDel="00270DAE">
        <w:rPr>
          <w:rFonts w:ascii="Arial" w:hAnsi="Arial" w:cs="Arial"/>
          <w:sz w:val="18"/>
          <w:szCs w:val="18"/>
          <w:lang w:val="el-GR"/>
        </w:rPr>
        <w:t xml:space="preserve"> </w:t>
      </w:r>
      <w:r w:rsidR="009E01FF" w:rsidRPr="00CB38F0">
        <w:rPr>
          <w:rFonts w:ascii="Arial" w:hAnsi="Arial" w:cs="Arial"/>
          <w:sz w:val="18"/>
          <w:szCs w:val="18"/>
          <w:lang w:val="el-GR"/>
        </w:rPr>
        <w:t>με τιμή συμβολαίου ύψους €</w:t>
      </w:r>
      <w:r w:rsidR="004D08B1" w:rsidRPr="00CB38F0">
        <w:rPr>
          <w:rFonts w:ascii="Arial" w:hAnsi="Arial" w:cs="Arial"/>
          <w:sz w:val="18"/>
          <w:szCs w:val="18"/>
          <w:lang w:val="el-GR"/>
        </w:rPr>
        <w:t>78</w:t>
      </w:r>
      <w:r w:rsidR="004D08B1" w:rsidRPr="004D08B1">
        <w:rPr>
          <w:rFonts w:ascii="Arial" w:hAnsi="Arial" w:cs="Arial"/>
          <w:sz w:val="18"/>
          <w:szCs w:val="18"/>
          <w:lang w:val="el-GR"/>
        </w:rPr>
        <w:t xml:space="preserve"> </w:t>
      </w:r>
      <w:r w:rsidR="009E01FF" w:rsidRPr="00CB38F0">
        <w:rPr>
          <w:rFonts w:ascii="Arial" w:hAnsi="Arial" w:cs="Arial"/>
          <w:sz w:val="18"/>
          <w:szCs w:val="18"/>
          <w:lang w:val="el-GR"/>
        </w:rPr>
        <w:t xml:space="preserve">εκατ. κατά </w:t>
      </w:r>
      <w:r w:rsidR="00986C54" w:rsidRPr="00CB38F0">
        <w:rPr>
          <w:rFonts w:ascii="Arial" w:hAnsi="Arial" w:cs="Arial"/>
          <w:sz w:val="18"/>
          <w:szCs w:val="18"/>
          <w:lang w:val="el-GR"/>
        </w:rPr>
        <w:t xml:space="preserve">το </w:t>
      </w:r>
      <w:r w:rsidR="0001370B" w:rsidRPr="00CB38F0">
        <w:rPr>
          <w:rFonts w:ascii="Arial" w:hAnsi="Arial" w:cs="Arial"/>
          <w:sz w:val="18"/>
          <w:szCs w:val="18"/>
          <w:lang w:val="el-GR"/>
        </w:rPr>
        <w:t xml:space="preserve">α’ εξάμηνο </w:t>
      </w:r>
      <w:r w:rsidR="00986C54" w:rsidRPr="00CB38F0">
        <w:rPr>
          <w:rFonts w:ascii="Arial" w:hAnsi="Arial" w:cs="Arial"/>
          <w:sz w:val="18"/>
          <w:szCs w:val="18"/>
          <w:lang w:val="el-GR"/>
        </w:rPr>
        <w:t xml:space="preserve">που έληξε στις </w:t>
      </w:r>
      <w:r w:rsidR="0001370B" w:rsidRPr="00CB38F0">
        <w:rPr>
          <w:rFonts w:ascii="Arial" w:hAnsi="Arial" w:cs="Arial"/>
          <w:sz w:val="18"/>
          <w:szCs w:val="18"/>
          <w:lang w:val="el-GR"/>
        </w:rPr>
        <w:t xml:space="preserve">30 </w:t>
      </w:r>
      <w:r w:rsidR="0001370B" w:rsidRPr="004D08B1">
        <w:rPr>
          <w:rFonts w:ascii="Arial" w:hAnsi="Arial" w:cs="Arial"/>
          <w:sz w:val="18"/>
          <w:szCs w:val="18"/>
          <w:lang w:val="el-GR"/>
        </w:rPr>
        <w:t xml:space="preserve">Ιουνίου </w:t>
      </w:r>
      <w:r w:rsidR="00BD7885" w:rsidRPr="00CB38F0">
        <w:rPr>
          <w:rFonts w:ascii="Arial" w:hAnsi="Arial" w:cs="Arial"/>
          <w:sz w:val="18"/>
          <w:szCs w:val="18"/>
          <w:lang w:val="el-GR"/>
        </w:rPr>
        <w:t>2023</w:t>
      </w:r>
      <w:r w:rsidR="009E01FF" w:rsidRPr="00CB38F0">
        <w:rPr>
          <w:rFonts w:ascii="Arial" w:hAnsi="Arial" w:cs="Arial"/>
          <w:sz w:val="18"/>
          <w:szCs w:val="18"/>
          <w:lang w:val="el-GR"/>
        </w:rPr>
        <w:t>.</w:t>
      </w:r>
    </w:p>
    <w:p w14:paraId="2A1DCF35" w14:textId="77777777" w:rsidR="009E01FF" w:rsidRPr="00CB38F0" w:rsidRDefault="009E01FF" w:rsidP="009E01FF">
      <w:pPr>
        <w:spacing w:after="0" w:line="240" w:lineRule="auto"/>
        <w:jc w:val="both"/>
        <w:rPr>
          <w:rFonts w:ascii="Arial" w:hAnsi="Arial" w:cs="Arial"/>
          <w:sz w:val="18"/>
          <w:szCs w:val="18"/>
          <w:lang w:val="el-GR"/>
        </w:rPr>
      </w:pPr>
    </w:p>
    <w:p w14:paraId="51C9CCDA" w14:textId="33C1CBE6" w:rsidR="005B1FD5" w:rsidRPr="00CB38F0" w:rsidRDefault="009E01FF" w:rsidP="009F52BE">
      <w:pPr>
        <w:spacing w:after="0" w:line="240" w:lineRule="auto"/>
        <w:jc w:val="both"/>
        <w:rPr>
          <w:rFonts w:ascii="Arial" w:hAnsi="Arial" w:cs="Arial"/>
          <w:sz w:val="18"/>
          <w:szCs w:val="18"/>
          <w:lang w:val="el-GR"/>
        </w:rPr>
      </w:pPr>
      <w:r w:rsidRPr="00CB38F0">
        <w:rPr>
          <w:rFonts w:ascii="Arial" w:hAnsi="Arial" w:cs="Arial"/>
          <w:sz w:val="18"/>
          <w:szCs w:val="18"/>
          <w:lang w:val="el-GR"/>
        </w:rPr>
        <w:t xml:space="preserve">Επιπρόσθετα, </w:t>
      </w:r>
      <w:r w:rsidR="00887CD4" w:rsidRPr="00CB38F0">
        <w:rPr>
          <w:rFonts w:ascii="Arial" w:hAnsi="Arial" w:cs="Arial"/>
          <w:sz w:val="18"/>
          <w:szCs w:val="18"/>
          <w:lang w:val="el-GR"/>
        </w:rPr>
        <w:t xml:space="preserve">η ΔΔΑ </w:t>
      </w:r>
      <w:r w:rsidRPr="00CB38F0">
        <w:rPr>
          <w:rFonts w:ascii="Arial" w:hAnsi="Arial" w:cs="Arial"/>
          <w:sz w:val="18"/>
          <w:szCs w:val="18"/>
          <w:lang w:val="el-GR"/>
        </w:rPr>
        <w:t>βρισκόταν σε διαδικασίες για πωλήσεις ακινήτων ύψους €</w:t>
      </w:r>
      <w:r w:rsidR="00AB1F61" w:rsidRPr="006A1797">
        <w:rPr>
          <w:rFonts w:ascii="Arial" w:hAnsi="Arial" w:cs="Arial"/>
          <w:sz w:val="18"/>
          <w:szCs w:val="18"/>
          <w:lang w:val="el-GR"/>
        </w:rPr>
        <w:t xml:space="preserve">49 </w:t>
      </w:r>
      <w:r w:rsidRPr="00CB38F0">
        <w:rPr>
          <w:rFonts w:ascii="Arial" w:hAnsi="Arial" w:cs="Arial"/>
          <w:sz w:val="18"/>
          <w:szCs w:val="18"/>
          <w:lang w:val="el-GR"/>
        </w:rPr>
        <w:t xml:space="preserve">εκατ. (τιμή συμβολαίου) στις </w:t>
      </w:r>
      <w:r w:rsidR="004D08B1" w:rsidRPr="00CB38F0">
        <w:rPr>
          <w:rFonts w:ascii="Arial" w:hAnsi="Arial" w:cs="Arial"/>
          <w:sz w:val="18"/>
          <w:szCs w:val="18"/>
          <w:lang w:val="el-GR"/>
        </w:rPr>
        <w:t xml:space="preserve">30 Ιουνίου </w:t>
      </w:r>
      <w:r w:rsidR="00D05C81" w:rsidRPr="00CB38F0">
        <w:rPr>
          <w:rFonts w:ascii="Arial" w:hAnsi="Arial" w:cs="Arial"/>
          <w:sz w:val="18"/>
          <w:szCs w:val="18"/>
          <w:lang w:val="el-GR"/>
        </w:rPr>
        <w:t>2024</w:t>
      </w:r>
      <w:r w:rsidRPr="00CB38F0">
        <w:rPr>
          <w:rFonts w:ascii="Arial" w:hAnsi="Arial" w:cs="Arial"/>
          <w:sz w:val="18"/>
          <w:szCs w:val="18"/>
          <w:lang w:val="el-GR"/>
        </w:rPr>
        <w:t>, εκ των οποίων τα €</w:t>
      </w:r>
      <w:r w:rsidR="00AB1F61" w:rsidRPr="006A1797">
        <w:rPr>
          <w:rFonts w:ascii="Arial" w:hAnsi="Arial" w:cs="Arial"/>
          <w:sz w:val="18"/>
          <w:szCs w:val="18"/>
          <w:lang w:val="el-GR"/>
        </w:rPr>
        <w:t xml:space="preserve">18 </w:t>
      </w:r>
      <w:r w:rsidRPr="00CB38F0">
        <w:rPr>
          <w:rFonts w:ascii="Arial" w:hAnsi="Arial" w:cs="Arial"/>
          <w:sz w:val="18"/>
          <w:szCs w:val="18"/>
          <w:lang w:val="el-GR"/>
        </w:rPr>
        <w:t>εκατ. αφορούσαν υπογεγραμμένες αγοραπωλητήριες συμφωνίες</w:t>
      </w:r>
      <w:r w:rsidR="003451B9" w:rsidRPr="00CB38F0">
        <w:rPr>
          <w:rFonts w:ascii="Arial" w:hAnsi="Arial" w:cs="Arial"/>
          <w:sz w:val="18"/>
          <w:szCs w:val="18"/>
          <w:lang w:val="el-GR"/>
        </w:rPr>
        <w:t xml:space="preserve"> </w:t>
      </w:r>
      <w:r w:rsidR="002043BC" w:rsidRPr="00CB38F0">
        <w:rPr>
          <w:rFonts w:ascii="Arial" w:hAnsi="Arial" w:cs="Arial"/>
          <w:sz w:val="18"/>
          <w:szCs w:val="18"/>
          <w:lang w:val="el-GR"/>
        </w:rPr>
        <w:t>(σε σύγκριση με €</w:t>
      </w:r>
      <w:r w:rsidR="004D08B1" w:rsidRPr="00CB38F0">
        <w:rPr>
          <w:rFonts w:ascii="Arial" w:hAnsi="Arial" w:cs="Arial"/>
          <w:sz w:val="18"/>
          <w:szCs w:val="18"/>
          <w:lang w:val="el-GR"/>
        </w:rPr>
        <w:t xml:space="preserve">66 </w:t>
      </w:r>
      <w:r w:rsidR="002043BC" w:rsidRPr="00CB38F0">
        <w:rPr>
          <w:rFonts w:ascii="Arial" w:hAnsi="Arial" w:cs="Arial"/>
          <w:sz w:val="18"/>
          <w:szCs w:val="18"/>
          <w:lang w:val="el-GR"/>
        </w:rPr>
        <w:t xml:space="preserve">εκατ. στις </w:t>
      </w:r>
      <w:r w:rsidR="004D08B1" w:rsidRPr="00CB38F0">
        <w:rPr>
          <w:rFonts w:ascii="Arial" w:hAnsi="Arial" w:cs="Arial"/>
          <w:sz w:val="18"/>
          <w:szCs w:val="18"/>
          <w:lang w:val="el-GR"/>
        </w:rPr>
        <w:t>30 Ιουνίου 2023</w:t>
      </w:r>
      <w:r w:rsidR="002043BC" w:rsidRPr="00CB38F0">
        <w:rPr>
          <w:rFonts w:ascii="Arial" w:hAnsi="Arial" w:cs="Arial"/>
          <w:sz w:val="18"/>
          <w:szCs w:val="18"/>
          <w:lang w:val="el-GR"/>
        </w:rPr>
        <w:t>, εκ των οποίων τα €</w:t>
      </w:r>
      <w:r w:rsidR="004D08B1" w:rsidRPr="00CB38F0">
        <w:rPr>
          <w:rFonts w:ascii="Arial" w:hAnsi="Arial" w:cs="Arial"/>
          <w:sz w:val="18"/>
          <w:szCs w:val="18"/>
          <w:lang w:val="el-GR"/>
        </w:rPr>
        <w:t xml:space="preserve">38 </w:t>
      </w:r>
      <w:r w:rsidR="002043BC" w:rsidRPr="00CB38F0">
        <w:rPr>
          <w:rFonts w:ascii="Arial" w:hAnsi="Arial" w:cs="Arial"/>
          <w:sz w:val="18"/>
          <w:szCs w:val="18"/>
          <w:lang w:val="el-GR"/>
        </w:rPr>
        <w:t>εκατ. αφορούσαν υπογεγραμμένες αγοραπωλητήριες συμφωνίες).</w:t>
      </w:r>
      <w:r w:rsidR="002043BC" w:rsidRPr="00CB38F0">
        <w:rPr>
          <w:rFonts w:ascii="Arial" w:hAnsi="Arial" w:cs="Arial"/>
          <w:sz w:val="18"/>
          <w:szCs w:val="18"/>
          <w:lang w:val="el-GR"/>
        </w:rPr>
        <w:tab/>
      </w:r>
    </w:p>
    <w:p w14:paraId="22511E1E" w14:textId="77777777" w:rsidR="009F52BE" w:rsidRPr="00CB38F0" w:rsidRDefault="009F52BE" w:rsidP="009F52BE">
      <w:pPr>
        <w:spacing w:after="0" w:line="240" w:lineRule="auto"/>
        <w:jc w:val="both"/>
        <w:rPr>
          <w:rFonts w:ascii="Arial" w:hAnsi="Arial" w:cs="Arial"/>
          <w:sz w:val="18"/>
          <w:szCs w:val="18"/>
          <w:lang w:val="el-GR"/>
        </w:rPr>
      </w:pPr>
    </w:p>
    <w:p w14:paraId="54A2FDF1" w14:textId="2CB80289" w:rsidR="009E01FF" w:rsidRPr="00CB38F0" w:rsidRDefault="002043BC" w:rsidP="009E01FF">
      <w:pPr>
        <w:spacing w:after="0" w:line="240" w:lineRule="auto"/>
        <w:jc w:val="both"/>
        <w:rPr>
          <w:rFonts w:ascii="Arial" w:hAnsi="Arial" w:cs="Arial"/>
          <w:sz w:val="18"/>
          <w:szCs w:val="18"/>
          <w:lang w:val="el-GR"/>
        </w:rPr>
      </w:pPr>
      <w:r w:rsidRPr="00CB38F0">
        <w:rPr>
          <w:rFonts w:ascii="Arial" w:hAnsi="Arial" w:cs="Arial"/>
          <w:sz w:val="18"/>
          <w:szCs w:val="18"/>
          <w:lang w:val="el-GR"/>
        </w:rPr>
        <w:t>Η ΔΔΑ ανέλαβε ακίνητα ύψους €</w:t>
      </w:r>
      <w:r w:rsidR="005C0640">
        <w:rPr>
          <w:rFonts w:ascii="Arial" w:hAnsi="Arial" w:cs="Arial"/>
          <w:sz w:val="18"/>
          <w:szCs w:val="18"/>
          <w:lang w:val="el-GR"/>
        </w:rPr>
        <w:t>14</w:t>
      </w:r>
      <w:r w:rsidR="004D08B1" w:rsidRPr="00CB38F0">
        <w:rPr>
          <w:rFonts w:ascii="Arial" w:hAnsi="Arial" w:cs="Arial"/>
          <w:sz w:val="18"/>
          <w:szCs w:val="18"/>
          <w:lang w:val="el-GR"/>
        </w:rPr>
        <w:t xml:space="preserve"> </w:t>
      </w:r>
      <w:r w:rsidRPr="00CB38F0">
        <w:rPr>
          <w:rFonts w:ascii="Arial" w:hAnsi="Arial" w:cs="Arial"/>
          <w:sz w:val="18"/>
          <w:szCs w:val="18"/>
          <w:lang w:val="el-GR"/>
        </w:rPr>
        <w:t xml:space="preserve">εκατ. κατά </w:t>
      </w:r>
      <w:r w:rsidR="00986C54" w:rsidRPr="00CB38F0">
        <w:rPr>
          <w:rFonts w:ascii="Arial" w:hAnsi="Arial" w:cs="Arial"/>
          <w:sz w:val="18"/>
          <w:szCs w:val="18"/>
          <w:lang w:val="el-GR"/>
        </w:rPr>
        <w:t xml:space="preserve">το </w:t>
      </w:r>
      <w:r w:rsidR="00D05C81" w:rsidRPr="00CB38F0">
        <w:rPr>
          <w:rFonts w:ascii="Arial" w:hAnsi="Arial" w:cs="Arial"/>
          <w:sz w:val="18"/>
          <w:szCs w:val="18"/>
          <w:lang w:val="el-GR"/>
        </w:rPr>
        <w:t xml:space="preserve">α΄ </w:t>
      </w:r>
      <w:r w:rsidR="004D08B1" w:rsidRPr="005C0640">
        <w:rPr>
          <w:rFonts w:ascii="Arial" w:hAnsi="Arial" w:cs="Arial"/>
          <w:sz w:val="18"/>
          <w:szCs w:val="18"/>
          <w:lang w:val="el-GR"/>
        </w:rPr>
        <w:t xml:space="preserve">εξάμηνο </w:t>
      </w:r>
      <w:r w:rsidR="00D05C81" w:rsidRPr="00CB38F0">
        <w:rPr>
          <w:rFonts w:ascii="Arial" w:hAnsi="Arial" w:cs="Arial"/>
          <w:sz w:val="18"/>
          <w:szCs w:val="18"/>
          <w:lang w:val="el-GR"/>
        </w:rPr>
        <w:t>2024</w:t>
      </w:r>
      <w:r w:rsidR="00986C54" w:rsidRPr="00CB38F0">
        <w:rPr>
          <w:rFonts w:ascii="Arial" w:hAnsi="Arial" w:cs="Arial"/>
          <w:sz w:val="18"/>
          <w:szCs w:val="18"/>
          <w:lang w:val="el-GR"/>
        </w:rPr>
        <w:t xml:space="preserve"> </w:t>
      </w:r>
      <w:r w:rsidRPr="00CB38F0">
        <w:rPr>
          <w:rFonts w:ascii="Arial" w:hAnsi="Arial" w:cs="Arial"/>
          <w:sz w:val="18"/>
          <w:szCs w:val="18"/>
          <w:lang w:val="el-GR"/>
        </w:rPr>
        <w:t>(σε σύγκριση με προσθήκες ύψους €</w:t>
      </w:r>
      <w:r w:rsidR="00C11977">
        <w:rPr>
          <w:rFonts w:ascii="Arial" w:hAnsi="Arial" w:cs="Arial"/>
          <w:sz w:val="18"/>
          <w:szCs w:val="18"/>
          <w:lang w:val="el-GR"/>
        </w:rPr>
        <w:t>6</w:t>
      </w:r>
      <w:r w:rsidR="00C11977" w:rsidRPr="00CB38F0">
        <w:rPr>
          <w:rFonts w:ascii="Arial" w:hAnsi="Arial" w:cs="Arial"/>
          <w:sz w:val="18"/>
          <w:szCs w:val="18"/>
          <w:lang w:val="el-GR"/>
        </w:rPr>
        <w:t xml:space="preserve"> </w:t>
      </w:r>
      <w:r w:rsidRPr="00CB38F0">
        <w:rPr>
          <w:rFonts w:ascii="Arial" w:hAnsi="Arial" w:cs="Arial"/>
          <w:sz w:val="18"/>
          <w:szCs w:val="18"/>
          <w:lang w:val="el-GR"/>
        </w:rPr>
        <w:t xml:space="preserve">εκατ. </w:t>
      </w:r>
      <w:r w:rsidR="00986C54" w:rsidRPr="00CB38F0">
        <w:rPr>
          <w:rFonts w:ascii="Arial" w:hAnsi="Arial" w:cs="Arial"/>
          <w:sz w:val="18"/>
          <w:szCs w:val="18"/>
          <w:lang w:val="el-GR"/>
        </w:rPr>
        <w:t>κατά το</w:t>
      </w:r>
      <w:r w:rsidR="00D05C81" w:rsidRPr="00CB38F0">
        <w:rPr>
          <w:rFonts w:ascii="Arial" w:hAnsi="Arial" w:cs="Arial"/>
          <w:sz w:val="18"/>
          <w:szCs w:val="18"/>
          <w:lang w:val="el-GR"/>
        </w:rPr>
        <w:t xml:space="preserve"> </w:t>
      </w:r>
      <w:r w:rsidR="004D08B1" w:rsidRPr="00CB38F0">
        <w:rPr>
          <w:rFonts w:ascii="Arial" w:hAnsi="Arial" w:cs="Arial"/>
          <w:sz w:val="18"/>
          <w:szCs w:val="18"/>
          <w:lang w:val="el-GR"/>
        </w:rPr>
        <w:t>α’</w:t>
      </w:r>
      <w:r w:rsidR="004D08B1" w:rsidRPr="005C0640">
        <w:rPr>
          <w:rFonts w:ascii="Arial" w:hAnsi="Arial" w:cs="Arial"/>
          <w:sz w:val="18"/>
          <w:szCs w:val="18"/>
          <w:lang w:val="el-GR"/>
        </w:rPr>
        <w:t xml:space="preserve"> εξάμηνο </w:t>
      </w:r>
      <w:r w:rsidR="00D05C81" w:rsidRPr="00CB38F0">
        <w:rPr>
          <w:rFonts w:ascii="Arial" w:hAnsi="Arial" w:cs="Arial"/>
          <w:sz w:val="18"/>
          <w:szCs w:val="18"/>
          <w:lang w:val="el-GR"/>
        </w:rPr>
        <w:t>2023)</w:t>
      </w:r>
      <w:r w:rsidRPr="00CB38F0">
        <w:rPr>
          <w:rFonts w:ascii="Arial" w:hAnsi="Arial" w:cs="Arial"/>
          <w:sz w:val="18"/>
          <w:szCs w:val="18"/>
          <w:lang w:val="el-GR"/>
        </w:rPr>
        <w:t>, μέσω συμφωνιών ανταλλαγής χρέους με ακίνητα και ανακτηθέντων ακινήτων.</w:t>
      </w:r>
      <w:r w:rsidR="009E01FF" w:rsidRPr="00CB38F0">
        <w:rPr>
          <w:rFonts w:ascii="Arial" w:hAnsi="Arial" w:cs="Arial"/>
          <w:sz w:val="18"/>
          <w:szCs w:val="18"/>
          <w:lang w:val="el-GR"/>
        </w:rPr>
        <w:t xml:space="preserve">  </w:t>
      </w:r>
    </w:p>
    <w:p w14:paraId="167F575B" w14:textId="77777777" w:rsidR="00264AF7" w:rsidRPr="00CB38F0" w:rsidRDefault="00264AF7" w:rsidP="00CB38F0">
      <w:pPr>
        <w:spacing w:after="0" w:line="240" w:lineRule="auto"/>
        <w:jc w:val="both"/>
        <w:rPr>
          <w:rFonts w:ascii="Arial" w:hAnsi="Arial" w:cs="Arial"/>
          <w:sz w:val="18"/>
          <w:szCs w:val="18"/>
          <w:lang w:val="el-GR"/>
        </w:rPr>
      </w:pPr>
    </w:p>
    <w:p w14:paraId="1DEB008A" w14:textId="14EB812E" w:rsidR="007E47A1" w:rsidRPr="006B5511" w:rsidRDefault="00516A65" w:rsidP="006A1797">
      <w:pPr>
        <w:pStyle w:val="Footer"/>
        <w:rPr>
          <w:rFonts w:ascii="Arial" w:hAnsi="Arial" w:cs="Arial"/>
          <w:sz w:val="18"/>
          <w:szCs w:val="18"/>
          <w:highlight w:val="yellow"/>
          <w:lang w:val="el-GR"/>
        </w:rPr>
      </w:pPr>
      <w:r w:rsidRPr="00CB38F0">
        <w:rPr>
          <w:rFonts w:ascii="Arial" w:hAnsi="Arial" w:cs="Arial"/>
          <w:sz w:val="18"/>
          <w:szCs w:val="18"/>
          <w:lang w:val="el-GR"/>
        </w:rPr>
        <w:t xml:space="preserve">Στις </w:t>
      </w:r>
      <w:r w:rsidR="007A58A3" w:rsidRPr="00CB38F0">
        <w:rPr>
          <w:rFonts w:ascii="Arial" w:hAnsi="Arial" w:cs="Arial"/>
          <w:sz w:val="18"/>
          <w:szCs w:val="18"/>
          <w:lang w:val="el-GR"/>
        </w:rPr>
        <w:t xml:space="preserve">30 </w:t>
      </w:r>
      <w:r w:rsidR="007A58A3" w:rsidRPr="00A30D62">
        <w:rPr>
          <w:rFonts w:ascii="Arial" w:hAnsi="Arial" w:cs="Arial"/>
          <w:sz w:val="18"/>
          <w:szCs w:val="18"/>
          <w:lang w:val="el-GR"/>
        </w:rPr>
        <w:t xml:space="preserve">Ιουνίου </w:t>
      </w:r>
      <w:r w:rsidR="003C2240" w:rsidRPr="00CB38F0">
        <w:rPr>
          <w:rFonts w:ascii="Arial" w:hAnsi="Arial" w:cs="Arial"/>
          <w:sz w:val="18"/>
          <w:szCs w:val="18"/>
          <w:lang w:val="el-GR"/>
        </w:rPr>
        <w:t>2024</w:t>
      </w:r>
      <w:r w:rsidRPr="00CB38F0">
        <w:rPr>
          <w:rFonts w:ascii="Arial" w:hAnsi="Arial" w:cs="Arial"/>
          <w:sz w:val="18"/>
          <w:szCs w:val="18"/>
          <w:lang w:val="el-GR"/>
        </w:rPr>
        <w:t xml:space="preserve">, η ΔΔΑ διαχειριζόταν </w:t>
      </w:r>
      <w:r w:rsidR="00887CD4" w:rsidRPr="00CB38F0">
        <w:rPr>
          <w:rFonts w:ascii="Arial" w:hAnsi="Arial" w:cs="Arial"/>
          <w:sz w:val="18"/>
          <w:szCs w:val="18"/>
          <w:lang w:val="el-GR"/>
        </w:rPr>
        <w:t xml:space="preserve">ανακτηθέντα </w:t>
      </w:r>
      <w:r w:rsidRPr="00CB38F0">
        <w:rPr>
          <w:rFonts w:ascii="Arial" w:hAnsi="Arial" w:cs="Arial"/>
          <w:sz w:val="18"/>
          <w:szCs w:val="18"/>
          <w:lang w:val="el-GR"/>
        </w:rPr>
        <w:t>ακίνητα λογιστικής αξίας ύψους €</w:t>
      </w:r>
      <w:r w:rsidR="00C11977">
        <w:rPr>
          <w:rFonts w:ascii="Arial" w:hAnsi="Arial" w:cs="Arial"/>
          <w:sz w:val="18"/>
          <w:szCs w:val="18"/>
          <w:lang w:val="el-GR"/>
        </w:rPr>
        <w:t>790</w:t>
      </w:r>
      <w:r w:rsidR="00AB1F61" w:rsidRPr="006A1797">
        <w:rPr>
          <w:rFonts w:ascii="Arial" w:hAnsi="Arial" w:cs="Arial"/>
          <w:sz w:val="18"/>
          <w:szCs w:val="18"/>
          <w:lang w:val="el-GR"/>
        </w:rPr>
        <w:t xml:space="preserve"> </w:t>
      </w:r>
      <w:r w:rsidRPr="00CB38F0">
        <w:rPr>
          <w:rFonts w:ascii="Arial" w:hAnsi="Arial" w:cs="Arial"/>
          <w:sz w:val="18"/>
          <w:szCs w:val="18"/>
          <w:lang w:val="el-GR"/>
        </w:rPr>
        <w:t>εκατ</w:t>
      </w:r>
      <w:r w:rsidR="009F52BE" w:rsidRPr="00CB38F0">
        <w:rPr>
          <w:rFonts w:ascii="Arial" w:hAnsi="Arial" w:cs="Arial"/>
          <w:sz w:val="18"/>
          <w:szCs w:val="18"/>
          <w:lang w:val="el-GR"/>
        </w:rPr>
        <w:t>.</w:t>
      </w:r>
      <w:r w:rsidR="00887CD4" w:rsidRPr="00CB38F0">
        <w:rPr>
          <w:rFonts w:ascii="Arial" w:hAnsi="Arial" w:cs="Arial"/>
          <w:sz w:val="18"/>
          <w:szCs w:val="18"/>
          <w:lang w:val="el-GR"/>
        </w:rPr>
        <w:t xml:space="preserve">, </w:t>
      </w:r>
      <w:r w:rsidRPr="00CB38F0">
        <w:rPr>
          <w:rFonts w:ascii="Arial" w:hAnsi="Arial" w:cs="Arial"/>
          <w:sz w:val="18"/>
          <w:szCs w:val="18"/>
          <w:lang w:val="el-GR"/>
        </w:rPr>
        <w:t>σε σύγκριση με</w:t>
      </w:r>
      <w:r w:rsidR="007A58A3" w:rsidRPr="00CB38F0">
        <w:rPr>
          <w:rFonts w:ascii="Arial" w:hAnsi="Arial" w:cs="Arial"/>
          <w:sz w:val="18"/>
          <w:szCs w:val="18"/>
          <w:lang w:val="el-GR"/>
        </w:rPr>
        <w:t xml:space="preserve"> €836 εκατ. στις 31 Μαρτίου 2024 και με</w:t>
      </w:r>
      <w:r w:rsidRPr="00CB38F0">
        <w:rPr>
          <w:rFonts w:ascii="Arial" w:hAnsi="Arial" w:cs="Arial"/>
          <w:sz w:val="18"/>
          <w:szCs w:val="18"/>
          <w:lang w:val="el-GR"/>
        </w:rPr>
        <w:t xml:space="preserve"> €</w:t>
      </w:r>
      <w:r w:rsidR="007A58A3" w:rsidRPr="00CB38F0">
        <w:rPr>
          <w:rFonts w:ascii="Arial" w:hAnsi="Arial" w:cs="Arial"/>
          <w:sz w:val="18"/>
          <w:szCs w:val="18"/>
          <w:lang w:val="el-GR"/>
        </w:rPr>
        <w:t>97</w:t>
      </w:r>
      <w:r w:rsidR="00AB1F61" w:rsidRPr="006A1797">
        <w:rPr>
          <w:rFonts w:ascii="Arial" w:hAnsi="Arial" w:cs="Arial"/>
          <w:sz w:val="18"/>
          <w:szCs w:val="18"/>
          <w:lang w:val="el-GR"/>
        </w:rPr>
        <w:t>3</w:t>
      </w:r>
      <w:r w:rsidR="007A58A3" w:rsidRPr="00CB38F0">
        <w:rPr>
          <w:rFonts w:ascii="Arial" w:hAnsi="Arial" w:cs="Arial"/>
          <w:sz w:val="18"/>
          <w:szCs w:val="18"/>
          <w:lang w:val="el-GR"/>
        </w:rPr>
        <w:t xml:space="preserve"> </w:t>
      </w:r>
      <w:r w:rsidRPr="00CB38F0">
        <w:rPr>
          <w:rFonts w:ascii="Arial" w:hAnsi="Arial" w:cs="Arial"/>
          <w:sz w:val="18"/>
          <w:szCs w:val="18"/>
          <w:lang w:val="el-GR"/>
        </w:rPr>
        <w:t>εκατ.</w:t>
      </w:r>
      <w:r w:rsidR="007A58A3">
        <w:rPr>
          <w:rFonts w:ascii="Arial" w:hAnsi="Arial" w:cs="Arial"/>
          <w:sz w:val="18"/>
          <w:szCs w:val="18"/>
          <w:lang w:val="el-GR"/>
        </w:rPr>
        <w:t xml:space="preserve"> </w:t>
      </w:r>
      <w:r w:rsidRPr="00CB38F0">
        <w:rPr>
          <w:rFonts w:ascii="Arial" w:hAnsi="Arial" w:cs="Arial"/>
          <w:sz w:val="18"/>
          <w:szCs w:val="18"/>
          <w:lang w:val="el-GR"/>
        </w:rPr>
        <w:t xml:space="preserve">στις </w:t>
      </w:r>
      <w:r w:rsidR="007A58A3" w:rsidRPr="00CB38F0">
        <w:rPr>
          <w:rFonts w:ascii="Arial" w:hAnsi="Arial" w:cs="Arial"/>
          <w:sz w:val="18"/>
          <w:szCs w:val="18"/>
          <w:lang w:val="el-GR"/>
        </w:rPr>
        <w:t xml:space="preserve">30 </w:t>
      </w:r>
      <w:r w:rsidR="007A58A3" w:rsidRPr="00A30D62">
        <w:rPr>
          <w:rFonts w:ascii="Arial" w:hAnsi="Arial" w:cs="Arial"/>
          <w:sz w:val="18"/>
          <w:szCs w:val="18"/>
          <w:lang w:val="el-GR"/>
        </w:rPr>
        <w:t>Ιουνίου</w:t>
      </w:r>
      <w:r w:rsidR="007A58A3">
        <w:rPr>
          <w:rFonts w:ascii="Arial" w:hAnsi="Arial" w:cs="Arial"/>
          <w:sz w:val="18"/>
          <w:szCs w:val="18"/>
          <w:lang w:val="el-GR"/>
        </w:rPr>
        <w:t xml:space="preserve"> </w:t>
      </w:r>
      <w:r w:rsidR="003C2240" w:rsidRPr="00CB38F0">
        <w:rPr>
          <w:rFonts w:ascii="Arial" w:hAnsi="Arial" w:cs="Arial"/>
          <w:sz w:val="18"/>
          <w:szCs w:val="18"/>
          <w:lang w:val="el-GR"/>
        </w:rPr>
        <w:t>2023</w:t>
      </w:r>
      <w:r w:rsidR="000F7370">
        <w:rPr>
          <w:rFonts w:ascii="Arial" w:hAnsi="Arial" w:cs="Arial"/>
          <w:sz w:val="18"/>
          <w:szCs w:val="18"/>
          <w:lang w:val="el-GR"/>
        </w:rPr>
        <w:t xml:space="preserve"> και</w:t>
      </w:r>
      <w:r w:rsidR="002873C3">
        <w:rPr>
          <w:rFonts w:ascii="Arial" w:hAnsi="Arial" w:cs="Arial"/>
          <w:sz w:val="18"/>
          <w:szCs w:val="18"/>
          <w:lang w:val="el-GR"/>
        </w:rPr>
        <w:t xml:space="preserve"> </w:t>
      </w:r>
      <w:r w:rsidR="002873C3">
        <w:rPr>
          <w:rFonts w:ascii="Arial" w:hAnsi="Arial" w:cs="Arial"/>
          <w:sz w:val="18"/>
          <w:szCs w:val="16"/>
          <w:lang w:val="el-GR"/>
        </w:rPr>
        <w:t>παραμένει</w:t>
      </w:r>
      <w:r w:rsidR="002873C3" w:rsidRPr="007C2558">
        <w:rPr>
          <w:rFonts w:ascii="Arial" w:hAnsi="Arial" w:cs="Arial"/>
          <w:sz w:val="18"/>
          <w:szCs w:val="16"/>
          <w:lang w:val="el-GR"/>
        </w:rPr>
        <w:t xml:space="preserve"> σε καλή πορεία</w:t>
      </w:r>
      <w:r w:rsidR="002873C3">
        <w:rPr>
          <w:rFonts w:ascii="Arial" w:hAnsi="Arial" w:cs="Arial"/>
          <w:sz w:val="18"/>
          <w:szCs w:val="16"/>
          <w:lang w:val="el-GR"/>
        </w:rPr>
        <w:t xml:space="preserve"> ως προς την επίτευξη του στόχου που έθεσε για μείωση </w:t>
      </w:r>
      <w:r w:rsidR="002873C3">
        <w:rPr>
          <w:rFonts w:ascii="Arial" w:hAnsi="Arial" w:cs="Arial"/>
          <w:sz w:val="18"/>
          <w:szCs w:val="18"/>
          <w:lang w:val="el-GR" w:eastAsia="el-GR"/>
        </w:rPr>
        <w:t xml:space="preserve">αυτού του χαρτοφυλακίου </w:t>
      </w:r>
      <w:r w:rsidR="002873C3" w:rsidRPr="00132262">
        <w:rPr>
          <w:rFonts w:ascii="Arial" w:eastAsiaTheme="minorEastAsia" w:hAnsi="Arial" w:cs="Arial"/>
          <w:sz w:val="18"/>
          <w:szCs w:val="18"/>
          <w:lang w:val="el-GR" w:eastAsia="el-GR"/>
        </w:rPr>
        <w:t>σε περίπου €0.5 δις μέχρι τις 31</w:t>
      </w:r>
      <w:r w:rsidR="002873C3">
        <w:rPr>
          <w:rFonts w:ascii="Arial" w:eastAsiaTheme="minorEastAsia" w:hAnsi="Arial" w:cs="Arial"/>
          <w:sz w:val="18"/>
          <w:szCs w:val="18"/>
          <w:lang w:val="el-GR" w:eastAsia="el-GR"/>
        </w:rPr>
        <w:t xml:space="preserve"> </w:t>
      </w:r>
      <w:r w:rsidR="002873C3" w:rsidRPr="00132262">
        <w:rPr>
          <w:rFonts w:ascii="Arial" w:eastAsiaTheme="minorEastAsia" w:hAnsi="Arial" w:cs="Arial"/>
          <w:sz w:val="18"/>
          <w:szCs w:val="18"/>
          <w:lang w:val="el-GR" w:eastAsia="el-GR"/>
        </w:rPr>
        <w:t>Δεκεμβρίου 2025.</w:t>
      </w:r>
    </w:p>
    <w:p w14:paraId="2457A746" w14:textId="77777777" w:rsidR="00D022B5" w:rsidRDefault="00D022B5" w:rsidP="00482903">
      <w:pPr>
        <w:rPr>
          <w:rFonts w:ascii="Arial" w:hAnsi="Arial" w:cs="Arial"/>
          <w:b/>
          <w:bCs/>
          <w:color w:val="FF9900"/>
          <w:sz w:val="23"/>
          <w:szCs w:val="23"/>
          <w:lang w:val="el-GR"/>
        </w:rPr>
      </w:pPr>
    </w:p>
    <w:p w14:paraId="4120282C" w14:textId="77777777" w:rsidR="00D022B5" w:rsidRDefault="00D022B5" w:rsidP="00482903">
      <w:pPr>
        <w:rPr>
          <w:rFonts w:ascii="Arial" w:hAnsi="Arial" w:cs="Arial"/>
          <w:b/>
          <w:bCs/>
          <w:color w:val="FF9900"/>
          <w:sz w:val="23"/>
          <w:szCs w:val="23"/>
          <w:lang w:val="el-GR"/>
        </w:rPr>
      </w:pPr>
    </w:p>
    <w:p w14:paraId="08EA066F" w14:textId="77777777" w:rsidR="00D022B5" w:rsidRDefault="00D022B5" w:rsidP="00482903">
      <w:pPr>
        <w:rPr>
          <w:rFonts w:ascii="Arial" w:hAnsi="Arial" w:cs="Arial"/>
          <w:b/>
          <w:bCs/>
          <w:color w:val="FF9900"/>
          <w:sz w:val="23"/>
          <w:szCs w:val="23"/>
          <w:lang w:val="el-GR"/>
        </w:rPr>
      </w:pPr>
    </w:p>
    <w:p w14:paraId="126CC0D1" w14:textId="77777777" w:rsidR="00D022B5" w:rsidRDefault="00D022B5" w:rsidP="00482903">
      <w:pPr>
        <w:rPr>
          <w:rFonts w:ascii="Arial" w:hAnsi="Arial" w:cs="Arial"/>
          <w:b/>
          <w:bCs/>
          <w:color w:val="FF9900"/>
          <w:sz w:val="23"/>
          <w:szCs w:val="23"/>
          <w:lang w:val="el-GR"/>
        </w:rPr>
      </w:pPr>
    </w:p>
    <w:p w14:paraId="04BE494D" w14:textId="77777777" w:rsidR="00D022B5" w:rsidRDefault="00D022B5" w:rsidP="00482903">
      <w:pPr>
        <w:rPr>
          <w:rFonts w:ascii="Arial" w:hAnsi="Arial" w:cs="Arial"/>
          <w:b/>
          <w:bCs/>
          <w:color w:val="FF9900"/>
          <w:sz w:val="23"/>
          <w:szCs w:val="23"/>
          <w:lang w:val="el-GR"/>
        </w:rPr>
      </w:pPr>
    </w:p>
    <w:p w14:paraId="367A9C24" w14:textId="77777777" w:rsidR="00D022B5" w:rsidRDefault="00D022B5" w:rsidP="00482903">
      <w:pPr>
        <w:rPr>
          <w:rFonts w:ascii="Arial" w:hAnsi="Arial" w:cs="Arial"/>
          <w:b/>
          <w:bCs/>
          <w:color w:val="FF9900"/>
          <w:sz w:val="23"/>
          <w:szCs w:val="23"/>
          <w:lang w:val="el-GR"/>
        </w:rPr>
      </w:pPr>
    </w:p>
    <w:p w14:paraId="5677BF67" w14:textId="77777777" w:rsidR="00D022B5" w:rsidRDefault="00D022B5" w:rsidP="00482903">
      <w:pPr>
        <w:rPr>
          <w:rFonts w:ascii="Arial" w:hAnsi="Arial" w:cs="Arial"/>
          <w:b/>
          <w:bCs/>
          <w:color w:val="FF9900"/>
          <w:sz w:val="23"/>
          <w:szCs w:val="23"/>
          <w:lang w:val="el-GR"/>
        </w:rPr>
      </w:pPr>
    </w:p>
    <w:p w14:paraId="76129C70" w14:textId="77777777" w:rsidR="00D022B5" w:rsidRDefault="00D022B5" w:rsidP="00482903">
      <w:pPr>
        <w:rPr>
          <w:rFonts w:ascii="Arial" w:hAnsi="Arial" w:cs="Arial"/>
          <w:b/>
          <w:bCs/>
          <w:color w:val="FF9900"/>
          <w:sz w:val="23"/>
          <w:szCs w:val="23"/>
          <w:lang w:val="el-GR"/>
        </w:rPr>
      </w:pPr>
    </w:p>
    <w:p w14:paraId="32DB8A38" w14:textId="77777777" w:rsidR="00D022B5" w:rsidRDefault="00D022B5" w:rsidP="00482903">
      <w:pPr>
        <w:rPr>
          <w:rFonts w:ascii="Arial" w:hAnsi="Arial" w:cs="Arial"/>
          <w:b/>
          <w:bCs/>
          <w:color w:val="FF9900"/>
          <w:sz w:val="23"/>
          <w:szCs w:val="23"/>
          <w:lang w:val="el-GR"/>
        </w:rPr>
      </w:pPr>
    </w:p>
    <w:p w14:paraId="10DF2CA8" w14:textId="77777777" w:rsidR="00D022B5" w:rsidRDefault="00D022B5" w:rsidP="00482903">
      <w:pPr>
        <w:rPr>
          <w:rFonts w:ascii="Arial" w:hAnsi="Arial" w:cs="Arial"/>
          <w:b/>
          <w:bCs/>
          <w:color w:val="FF9900"/>
          <w:sz w:val="23"/>
          <w:szCs w:val="23"/>
          <w:lang w:val="el-GR"/>
        </w:rPr>
      </w:pPr>
    </w:p>
    <w:p w14:paraId="6F004B93" w14:textId="77777777" w:rsidR="00D022B5" w:rsidRDefault="00D022B5" w:rsidP="00482903">
      <w:pPr>
        <w:rPr>
          <w:rFonts w:ascii="Arial" w:hAnsi="Arial" w:cs="Arial"/>
          <w:b/>
          <w:bCs/>
          <w:color w:val="FF9900"/>
          <w:sz w:val="23"/>
          <w:szCs w:val="23"/>
          <w:lang w:val="el-GR"/>
        </w:rPr>
      </w:pPr>
    </w:p>
    <w:p w14:paraId="7D115F05" w14:textId="77777777" w:rsidR="00D022B5" w:rsidRDefault="00D022B5" w:rsidP="00482903">
      <w:pPr>
        <w:rPr>
          <w:rFonts w:ascii="Arial" w:hAnsi="Arial" w:cs="Arial"/>
          <w:b/>
          <w:bCs/>
          <w:color w:val="FF9900"/>
          <w:sz w:val="23"/>
          <w:szCs w:val="23"/>
          <w:lang w:val="el-GR"/>
        </w:rPr>
      </w:pPr>
    </w:p>
    <w:p w14:paraId="774214BD" w14:textId="77777777" w:rsidR="00E06043" w:rsidRDefault="00E06043" w:rsidP="00482903">
      <w:pPr>
        <w:rPr>
          <w:rFonts w:ascii="Arial" w:hAnsi="Arial" w:cs="Arial"/>
          <w:b/>
          <w:bCs/>
          <w:color w:val="FF9900"/>
          <w:sz w:val="23"/>
          <w:szCs w:val="23"/>
          <w:lang w:val="el-GR"/>
        </w:rPr>
      </w:pPr>
    </w:p>
    <w:p w14:paraId="1D10702A" w14:textId="1E7749EA" w:rsidR="00482903" w:rsidRPr="005D5ED4" w:rsidRDefault="00482903" w:rsidP="00482903">
      <w:pPr>
        <w:rPr>
          <w:rFonts w:ascii="Arial" w:hAnsi="Arial" w:cs="Arial"/>
          <w:b/>
          <w:bCs/>
          <w:color w:val="FF9900"/>
          <w:sz w:val="24"/>
          <w:lang w:val="el-GR"/>
        </w:rPr>
      </w:pPr>
      <w:r w:rsidRPr="00CB238D">
        <w:rPr>
          <w:rFonts w:ascii="Arial" w:hAnsi="Arial" w:cs="Arial"/>
          <w:b/>
          <w:bCs/>
          <w:color w:val="FF9900"/>
          <w:sz w:val="23"/>
          <w:szCs w:val="23"/>
          <w:lang w:val="el-GR"/>
        </w:rPr>
        <w:lastRenderedPageBreak/>
        <w:t>Β</w:t>
      </w:r>
      <w:r w:rsidRPr="005D5ED4">
        <w:rPr>
          <w:rFonts w:ascii="Arial" w:hAnsi="Arial" w:cs="Arial"/>
          <w:b/>
          <w:bCs/>
          <w:color w:val="FF9900"/>
          <w:sz w:val="24"/>
          <w:lang w:val="el-GR"/>
        </w:rPr>
        <w:t xml:space="preserve">. Οικονομικά Αποτελέσματα Συγκροτήματος – Υποκείμενη Βάση </w:t>
      </w:r>
      <w:r w:rsidRPr="005D5ED4">
        <w:rPr>
          <w:rFonts w:ascii="Arial" w:hAnsi="Arial" w:cs="Arial"/>
          <w:color w:val="FF9900"/>
          <w:sz w:val="24"/>
          <w:lang w:val="el-GR"/>
        </w:rPr>
        <w:t>(συνέχεια)</w:t>
      </w:r>
    </w:p>
    <w:p w14:paraId="1AABC810" w14:textId="77777777" w:rsidR="00482903" w:rsidRPr="005D5ED4" w:rsidRDefault="00482903" w:rsidP="00482903">
      <w:pPr>
        <w:rPr>
          <w:rFonts w:ascii="Arial" w:hAnsi="Arial" w:cs="Arial"/>
          <w:color w:val="FF9900"/>
          <w:sz w:val="23"/>
          <w:szCs w:val="23"/>
          <w:lang w:val="el-GR"/>
        </w:rPr>
      </w:pPr>
      <w:r w:rsidRPr="005D5ED4">
        <w:rPr>
          <w:rFonts w:ascii="Arial" w:hAnsi="Arial" w:cs="Arial"/>
          <w:b/>
          <w:bCs/>
          <w:color w:val="FF9900"/>
          <w:sz w:val="23"/>
          <w:szCs w:val="23"/>
          <w:lang w:val="el-GR"/>
        </w:rPr>
        <w:t xml:space="preserve">Β.2 Ανάλυση Ισολογισμού </w:t>
      </w:r>
      <w:r w:rsidRPr="005D5ED4">
        <w:rPr>
          <w:rFonts w:ascii="Arial" w:hAnsi="Arial" w:cs="Arial"/>
          <w:color w:val="FF9900"/>
          <w:sz w:val="23"/>
          <w:szCs w:val="23"/>
          <w:lang w:val="el-GR"/>
        </w:rPr>
        <w:t>(συνέχεια)</w:t>
      </w:r>
    </w:p>
    <w:p w14:paraId="4B26C842" w14:textId="77777777" w:rsidR="00482903" w:rsidRPr="005D5ED4" w:rsidRDefault="00482903" w:rsidP="00482903">
      <w:pPr>
        <w:spacing w:after="0" w:line="360" w:lineRule="auto"/>
        <w:jc w:val="both"/>
        <w:rPr>
          <w:rFonts w:ascii="Arial" w:hAnsi="Arial" w:cs="Arial"/>
          <w:color w:val="FF9900"/>
          <w:sz w:val="23"/>
          <w:szCs w:val="23"/>
          <w:lang w:val="el-GR"/>
        </w:rPr>
      </w:pPr>
      <w:r w:rsidRPr="005D5ED4">
        <w:rPr>
          <w:rFonts w:ascii="Arial" w:hAnsi="Arial" w:cs="Arial"/>
          <w:b/>
          <w:bCs/>
          <w:color w:val="FF9900"/>
          <w:sz w:val="23"/>
          <w:szCs w:val="23"/>
          <w:lang w:val="el-GR"/>
        </w:rPr>
        <w:t>Β</w:t>
      </w:r>
      <w:r w:rsidRPr="005D5ED4">
        <w:rPr>
          <w:rFonts w:ascii="Arial" w:eastAsia="Times New Roman" w:hAnsi="Arial" w:cs="Arial"/>
          <w:b/>
          <w:bCs/>
          <w:color w:val="FF9900"/>
          <w:lang w:val="el-GR" w:eastAsia="el-GR"/>
        </w:rPr>
        <w:t>.2.</w:t>
      </w:r>
      <w:r>
        <w:rPr>
          <w:rFonts w:ascii="Arial" w:eastAsia="Times New Roman" w:hAnsi="Arial" w:cs="Arial"/>
          <w:b/>
          <w:bCs/>
          <w:color w:val="FF9900"/>
          <w:lang w:val="el-GR" w:eastAsia="el-GR"/>
        </w:rPr>
        <w:t>8</w:t>
      </w:r>
      <w:r w:rsidRPr="005D5ED4">
        <w:rPr>
          <w:rFonts w:ascii="Arial" w:eastAsia="Times New Roman" w:hAnsi="Arial" w:cs="Arial"/>
          <w:b/>
          <w:bCs/>
          <w:color w:val="FF9900"/>
          <w:lang w:val="el-GR" w:eastAsia="el-GR"/>
        </w:rPr>
        <w:t xml:space="preserve"> Διεύθυνση Διαχείρισης Ακινήτων (</w:t>
      </w:r>
      <w:r w:rsidRPr="005D5ED4">
        <w:rPr>
          <w:rFonts w:ascii="Arial" w:eastAsia="Times New Roman" w:hAnsi="Arial" w:cs="Arial"/>
          <w:b/>
          <w:bCs/>
          <w:color w:val="FF9900"/>
          <w:lang w:eastAsia="el-GR"/>
        </w:rPr>
        <w:t>Real</w:t>
      </w:r>
      <w:r w:rsidRPr="005D5ED4">
        <w:rPr>
          <w:rFonts w:ascii="Arial" w:eastAsia="Times New Roman" w:hAnsi="Arial" w:cs="Arial"/>
          <w:b/>
          <w:bCs/>
          <w:color w:val="FF9900"/>
          <w:lang w:val="el-GR" w:eastAsia="el-GR"/>
        </w:rPr>
        <w:t xml:space="preserve"> </w:t>
      </w:r>
      <w:r w:rsidRPr="005D5ED4">
        <w:rPr>
          <w:rFonts w:ascii="Arial" w:eastAsia="Times New Roman" w:hAnsi="Arial" w:cs="Arial"/>
          <w:b/>
          <w:bCs/>
          <w:color w:val="FF9900"/>
          <w:lang w:eastAsia="el-GR"/>
        </w:rPr>
        <w:t>Estate</w:t>
      </w:r>
      <w:r w:rsidRPr="005D5ED4">
        <w:rPr>
          <w:rFonts w:ascii="Arial" w:eastAsia="Times New Roman" w:hAnsi="Arial" w:cs="Arial"/>
          <w:b/>
          <w:bCs/>
          <w:color w:val="FF9900"/>
          <w:lang w:val="el-GR" w:eastAsia="el-GR"/>
        </w:rPr>
        <w:t xml:space="preserve"> </w:t>
      </w:r>
      <w:r w:rsidRPr="005D5ED4">
        <w:rPr>
          <w:rFonts w:ascii="Arial" w:eastAsia="Times New Roman" w:hAnsi="Arial" w:cs="Arial"/>
          <w:b/>
          <w:bCs/>
          <w:color w:val="FF9900"/>
          <w:lang w:eastAsia="el-GR"/>
        </w:rPr>
        <w:t>Management</w:t>
      </w:r>
      <w:r w:rsidRPr="005D5ED4">
        <w:rPr>
          <w:rFonts w:ascii="Arial" w:eastAsia="Times New Roman" w:hAnsi="Arial" w:cs="Arial"/>
          <w:b/>
          <w:bCs/>
          <w:color w:val="FF9900"/>
          <w:lang w:val="el-GR" w:eastAsia="el-GR"/>
        </w:rPr>
        <w:t xml:space="preserve"> </w:t>
      </w:r>
      <w:r w:rsidRPr="005D5ED4">
        <w:rPr>
          <w:rFonts w:ascii="Arial" w:eastAsia="Times New Roman" w:hAnsi="Arial" w:cs="Arial"/>
          <w:b/>
          <w:bCs/>
          <w:color w:val="FF9900"/>
          <w:lang w:eastAsia="el-GR"/>
        </w:rPr>
        <w:t>Unit</w:t>
      </w:r>
      <w:r w:rsidRPr="005D5ED4">
        <w:rPr>
          <w:rFonts w:ascii="Arial" w:eastAsia="Times New Roman" w:hAnsi="Arial" w:cs="Arial"/>
          <w:b/>
          <w:bCs/>
          <w:color w:val="FF9900"/>
          <w:lang w:val="el-GR" w:eastAsia="el-GR"/>
        </w:rPr>
        <w:t xml:space="preserve">, </w:t>
      </w:r>
      <w:r w:rsidRPr="005D5ED4">
        <w:rPr>
          <w:rFonts w:ascii="Arial" w:eastAsia="Times New Roman" w:hAnsi="Arial" w:cs="Arial"/>
          <w:b/>
          <w:bCs/>
          <w:color w:val="FF9900"/>
          <w:lang w:eastAsia="el-GR"/>
        </w:rPr>
        <w:t>REMU</w:t>
      </w:r>
      <w:r w:rsidRPr="005D5ED4">
        <w:rPr>
          <w:rFonts w:ascii="Arial" w:eastAsia="Times New Roman" w:hAnsi="Arial" w:cs="Arial"/>
          <w:b/>
          <w:bCs/>
          <w:color w:val="FF9900"/>
          <w:lang w:val="el-GR" w:eastAsia="el-GR"/>
        </w:rPr>
        <w:t xml:space="preserve">) </w:t>
      </w:r>
      <w:r w:rsidRPr="005D5ED4">
        <w:rPr>
          <w:rFonts w:ascii="Arial" w:hAnsi="Arial" w:cs="Arial"/>
          <w:color w:val="FF9900"/>
          <w:sz w:val="23"/>
          <w:szCs w:val="23"/>
          <w:lang w:val="el-GR"/>
        </w:rPr>
        <w:t>(συνέχεια)</w:t>
      </w:r>
    </w:p>
    <w:p w14:paraId="29DD5987" w14:textId="2BC069CF" w:rsidR="00482903" w:rsidRPr="005D5ED4" w:rsidRDefault="00482903" w:rsidP="00482903">
      <w:pPr>
        <w:tabs>
          <w:tab w:val="left" w:pos="426"/>
          <w:tab w:val="center" w:pos="4847"/>
        </w:tabs>
        <w:spacing w:after="0" w:line="240" w:lineRule="auto"/>
        <w:rPr>
          <w:rFonts w:ascii="Arial" w:hAnsi="Arial" w:cs="Arial"/>
          <w:color w:val="FF9900"/>
          <w:sz w:val="20"/>
          <w:szCs w:val="20"/>
          <w:lang w:val="el-GR"/>
        </w:rPr>
      </w:pPr>
      <w:r w:rsidRPr="005D5ED4">
        <w:rPr>
          <w:rFonts w:ascii="Arial" w:hAnsi="Arial" w:cs="Arial"/>
          <w:b/>
          <w:bCs/>
          <w:color w:val="FF9900"/>
          <w:sz w:val="20"/>
          <w:szCs w:val="20"/>
          <w:lang w:val="el-GR"/>
        </w:rPr>
        <w:t xml:space="preserve">Ακίνητα που διαχειρίζεται η ΔΔΑ </w:t>
      </w:r>
    </w:p>
    <w:p w14:paraId="6242AAAC" w14:textId="77777777" w:rsidR="007E47A1" w:rsidRPr="006B5511" w:rsidRDefault="007E47A1" w:rsidP="007E47A1">
      <w:pPr>
        <w:tabs>
          <w:tab w:val="left" w:pos="426"/>
          <w:tab w:val="center" w:pos="4847"/>
        </w:tabs>
        <w:spacing w:after="0" w:line="240" w:lineRule="auto"/>
        <w:rPr>
          <w:rFonts w:ascii="Arial" w:hAnsi="Arial" w:cs="Arial"/>
          <w:color w:val="FF9900"/>
          <w:sz w:val="20"/>
          <w:szCs w:val="20"/>
          <w:highlight w:val="yellow"/>
          <w:lang w:val="el-GR"/>
        </w:rPr>
      </w:pPr>
    </w:p>
    <w:tbl>
      <w:tblPr>
        <w:tblW w:w="10599" w:type="dxa"/>
        <w:jc w:val="center"/>
        <w:tblLayout w:type="fixed"/>
        <w:tblCellMar>
          <w:left w:w="40" w:type="dxa"/>
          <w:right w:w="40" w:type="dxa"/>
        </w:tblCellMar>
        <w:tblLook w:val="0000" w:firstRow="0" w:lastRow="0" w:firstColumn="0" w:lastColumn="0" w:noHBand="0" w:noVBand="0"/>
      </w:tblPr>
      <w:tblGrid>
        <w:gridCol w:w="3744"/>
        <w:gridCol w:w="103"/>
        <w:gridCol w:w="964"/>
        <w:gridCol w:w="965"/>
        <w:gridCol w:w="965"/>
        <w:gridCol w:w="964"/>
        <w:gridCol w:w="964"/>
        <w:gridCol w:w="965"/>
        <w:gridCol w:w="965"/>
      </w:tblGrid>
      <w:tr w:rsidR="00CB238D" w:rsidRPr="006B5511" w14:paraId="1A0C73CE" w14:textId="77777777" w:rsidTr="00CB38F0">
        <w:trPr>
          <w:trHeight w:val="423"/>
          <w:jc w:val="center"/>
        </w:trPr>
        <w:tc>
          <w:tcPr>
            <w:tcW w:w="3744"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548CC8A6" w14:textId="2E462B1C" w:rsidR="00CB238D" w:rsidRPr="00CB38F0" w:rsidRDefault="00CB238D" w:rsidP="00CB238D">
            <w:pPr>
              <w:spacing w:before="40" w:after="40" w:line="240" w:lineRule="auto"/>
              <w:rPr>
                <w:rFonts w:ascii="Arial" w:hAnsi="Arial" w:cs="Arial"/>
                <w:b/>
                <w:sz w:val="16"/>
                <w:szCs w:val="16"/>
                <w:lang w:val="el-GR"/>
              </w:rPr>
            </w:pPr>
            <w:r w:rsidRPr="00CB38F0">
              <w:rPr>
                <w:rFonts w:ascii="Arial" w:hAnsi="Arial" w:cs="Arial"/>
                <w:b/>
                <w:sz w:val="16"/>
                <w:szCs w:val="16"/>
                <w:lang w:val="el-GR"/>
              </w:rPr>
              <w:t xml:space="preserve">Ανακτηθέντα ακίνητα που διαχειρίζεται η ΔΔΑ (Συγκρότημα) </w:t>
            </w:r>
          </w:p>
          <w:p w14:paraId="37FA6E0F" w14:textId="77777777" w:rsidR="00CB238D" w:rsidRPr="006B5511" w:rsidRDefault="00CB238D" w:rsidP="00CB238D">
            <w:pPr>
              <w:tabs>
                <w:tab w:val="left" w:pos="974"/>
                <w:tab w:val="left" w:pos="1416"/>
                <w:tab w:val="decimal" w:pos="4962"/>
                <w:tab w:val="decimal" w:pos="6521"/>
                <w:tab w:val="right" w:pos="7560"/>
                <w:tab w:val="decimal" w:pos="8220"/>
                <w:tab w:val="left" w:pos="8640"/>
                <w:tab w:val="right" w:pos="9000"/>
              </w:tabs>
              <w:suppressAutoHyphens/>
              <w:spacing w:after="0" w:line="240" w:lineRule="auto"/>
              <w:ind w:left="10"/>
              <w:rPr>
                <w:rFonts w:ascii="Arial" w:eastAsia="Times New Roman" w:hAnsi="Arial" w:cs="Arial"/>
                <w:b/>
                <w:sz w:val="16"/>
                <w:szCs w:val="16"/>
                <w:highlight w:val="yellow"/>
                <w:lang w:eastAsia="el-GR"/>
              </w:rPr>
            </w:pPr>
            <w:r w:rsidRPr="00CB38F0">
              <w:rPr>
                <w:rFonts w:ascii="Arial" w:eastAsia="Times New Roman" w:hAnsi="Arial" w:cs="Arial"/>
                <w:b/>
                <w:sz w:val="16"/>
                <w:szCs w:val="16"/>
                <w:lang w:eastAsia="el-GR"/>
              </w:rPr>
              <w:t xml:space="preserve">€ </w:t>
            </w:r>
            <w:r w:rsidRPr="00CB38F0">
              <w:rPr>
                <w:rFonts w:ascii="Arial" w:eastAsia="Times New Roman" w:hAnsi="Arial" w:cs="Arial"/>
                <w:b/>
                <w:sz w:val="16"/>
                <w:szCs w:val="16"/>
                <w:lang w:val="el-GR" w:eastAsia="el-GR"/>
              </w:rPr>
              <w:t>εκατ.</w:t>
            </w:r>
          </w:p>
        </w:tc>
        <w:tc>
          <w:tcPr>
            <w:tcW w:w="103" w:type="dxa"/>
            <w:tcBorders>
              <w:top w:val="single" w:sz="4" w:space="0" w:color="808080" w:themeColor="background1" w:themeShade="80"/>
              <w:bottom w:val="single" w:sz="4" w:space="0" w:color="808080" w:themeColor="background1" w:themeShade="80"/>
            </w:tcBorders>
            <w:vAlign w:val="center"/>
          </w:tcPr>
          <w:p w14:paraId="1D5D028E" w14:textId="77777777" w:rsidR="00CB238D" w:rsidRPr="006B5511" w:rsidRDefault="00CB238D" w:rsidP="00CB238D">
            <w:pPr>
              <w:pStyle w:val="BodyText3"/>
              <w:spacing w:line="276" w:lineRule="auto"/>
              <w:ind w:right="23"/>
              <w:rPr>
                <w:rFonts w:ascii="Arial" w:hAnsi="Arial" w:cs="Arial"/>
                <w:b/>
                <w:bCs/>
                <w:sz w:val="16"/>
                <w:szCs w:val="16"/>
                <w:highlight w:val="yellow"/>
              </w:rPr>
            </w:pPr>
          </w:p>
        </w:tc>
        <w:tc>
          <w:tcPr>
            <w:tcW w:w="964" w:type="dxa"/>
            <w:tcBorders>
              <w:top w:val="single" w:sz="4" w:space="0" w:color="808080" w:themeColor="background1" w:themeShade="80"/>
              <w:bottom w:val="single" w:sz="4" w:space="0" w:color="808080" w:themeColor="background1" w:themeShade="80"/>
            </w:tcBorders>
            <w:vAlign w:val="center"/>
          </w:tcPr>
          <w:p w14:paraId="1437B18B" w14:textId="77777777" w:rsidR="00CB238D" w:rsidRPr="006B5511" w:rsidRDefault="00CB238D" w:rsidP="00CB238D">
            <w:pPr>
              <w:pStyle w:val="BodyText3"/>
              <w:spacing w:line="276" w:lineRule="auto"/>
              <w:ind w:right="23"/>
              <w:rPr>
                <w:rFonts w:ascii="Arial" w:hAnsi="Arial" w:cs="Arial"/>
                <w:b/>
                <w:bCs/>
                <w:sz w:val="16"/>
                <w:szCs w:val="16"/>
                <w:highlight w:val="yellow"/>
              </w:rPr>
            </w:pPr>
          </w:p>
        </w:tc>
        <w:tc>
          <w:tcPr>
            <w:tcW w:w="965"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73D94F6C" w14:textId="77777777" w:rsidR="00CB238D" w:rsidRPr="00CB38F0" w:rsidRDefault="00CB238D" w:rsidP="00CB238D">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6"/>
                <w:szCs w:val="16"/>
                <w:lang w:val="el-GR" w:eastAsia="el-GR"/>
              </w:rPr>
            </w:pPr>
            <w:r w:rsidRPr="00CB38F0">
              <w:rPr>
                <w:rFonts w:ascii="Arial" w:eastAsia="Times New Roman" w:hAnsi="Arial" w:cs="Arial"/>
                <w:b/>
                <w:bCs/>
                <w:sz w:val="16"/>
                <w:szCs w:val="16"/>
                <w:lang w:val="el-GR" w:eastAsia="el-GR"/>
              </w:rPr>
              <w:t>Α’</w:t>
            </w:r>
          </w:p>
          <w:p w14:paraId="35C31F32" w14:textId="65130E0E" w:rsidR="00CB238D" w:rsidRPr="00CB38F0" w:rsidRDefault="00CB238D" w:rsidP="00CB238D">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6"/>
                <w:szCs w:val="16"/>
                <w:lang w:val="el-GR" w:eastAsia="el-GR"/>
              </w:rPr>
            </w:pPr>
            <w:r w:rsidRPr="00CB38F0">
              <w:rPr>
                <w:rFonts w:ascii="Arial" w:eastAsia="Times New Roman" w:hAnsi="Arial" w:cs="Arial"/>
                <w:b/>
                <w:bCs/>
                <w:sz w:val="16"/>
                <w:szCs w:val="16"/>
                <w:lang w:val="el-GR" w:eastAsia="el-GR"/>
              </w:rPr>
              <w:t>εξάμηνο 2024</w:t>
            </w:r>
          </w:p>
        </w:tc>
        <w:tc>
          <w:tcPr>
            <w:tcW w:w="965"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2F6E740F" w14:textId="77777777" w:rsidR="00CB238D" w:rsidRPr="00CB38F0" w:rsidRDefault="00CB238D" w:rsidP="00CB238D">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6"/>
                <w:szCs w:val="16"/>
                <w:lang w:val="el-GR" w:eastAsia="el-GR"/>
              </w:rPr>
            </w:pPr>
            <w:r w:rsidRPr="00CB38F0">
              <w:rPr>
                <w:rFonts w:ascii="Arial" w:eastAsia="Times New Roman" w:hAnsi="Arial" w:cs="Arial"/>
                <w:b/>
                <w:bCs/>
                <w:sz w:val="16"/>
                <w:szCs w:val="16"/>
                <w:lang w:val="el-GR" w:eastAsia="el-GR"/>
              </w:rPr>
              <w:t>Α’</w:t>
            </w:r>
          </w:p>
          <w:p w14:paraId="7E411592" w14:textId="5368D5AC" w:rsidR="00CB238D" w:rsidRPr="00CB38F0" w:rsidRDefault="00CB238D" w:rsidP="00CB238D">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hAnsi="Arial" w:cs="Arial"/>
                <w:lang w:val="el-GR"/>
              </w:rPr>
            </w:pPr>
            <w:r w:rsidRPr="00CB38F0">
              <w:rPr>
                <w:rFonts w:ascii="Arial" w:eastAsia="Times New Roman" w:hAnsi="Arial" w:cs="Arial"/>
                <w:b/>
                <w:bCs/>
                <w:sz w:val="16"/>
                <w:szCs w:val="16"/>
                <w:lang w:val="el-GR" w:eastAsia="el-GR"/>
              </w:rPr>
              <w:t>εξάμηνο 2023</w:t>
            </w:r>
          </w:p>
        </w:tc>
        <w:tc>
          <w:tcPr>
            <w:tcW w:w="964"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5402EC16" w14:textId="77DA0B10" w:rsidR="00CB238D" w:rsidRPr="00CB38F0" w:rsidRDefault="00CB238D" w:rsidP="00CB238D">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6"/>
                <w:szCs w:val="16"/>
                <w:lang w:val="el-GR" w:eastAsia="el-GR"/>
              </w:rPr>
            </w:pPr>
            <w:r w:rsidRPr="00CB38F0">
              <w:rPr>
                <w:rFonts w:ascii="Arial" w:eastAsia="Times New Roman" w:hAnsi="Arial" w:cs="Arial"/>
                <w:b/>
                <w:bCs/>
                <w:sz w:val="16"/>
                <w:szCs w:val="16"/>
                <w:lang w:val="el-GR" w:eastAsia="el-GR"/>
              </w:rPr>
              <w:t>Β’</w:t>
            </w:r>
          </w:p>
          <w:p w14:paraId="06CD888A" w14:textId="7EA8A3D3" w:rsidR="00CB238D" w:rsidRPr="00CB38F0" w:rsidRDefault="00CB238D" w:rsidP="00CB238D">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6"/>
                <w:szCs w:val="16"/>
                <w:lang w:val="el-GR" w:eastAsia="el-GR"/>
              </w:rPr>
            </w:pPr>
            <w:r w:rsidRPr="00CB38F0">
              <w:rPr>
                <w:rFonts w:ascii="Arial" w:eastAsia="Times New Roman" w:hAnsi="Arial" w:cs="Arial"/>
                <w:b/>
                <w:bCs/>
                <w:sz w:val="16"/>
                <w:szCs w:val="16"/>
                <w:lang w:val="el-GR" w:eastAsia="el-GR"/>
              </w:rPr>
              <w:t>τρίμηνο 2024</w:t>
            </w:r>
          </w:p>
        </w:tc>
        <w:tc>
          <w:tcPr>
            <w:tcW w:w="964"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15FBCA5C" w14:textId="786F5009" w:rsidR="00CB238D" w:rsidRPr="00CB38F0" w:rsidRDefault="00CB238D" w:rsidP="00CB238D">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6"/>
                <w:szCs w:val="16"/>
                <w:lang w:val="el-GR" w:eastAsia="el-GR"/>
              </w:rPr>
            </w:pPr>
            <w:r w:rsidRPr="00CB38F0">
              <w:rPr>
                <w:rFonts w:ascii="Arial" w:eastAsia="Times New Roman" w:hAnsi="Arial" w:cs="Arial"/>
                <w:b/>
                <w:bCs/>
                <w:sz w:val="16"/>
                <w:szCs w:val="16"/>
                <w:lang w:val="el-GR" w:eastAsia="el-GR"/>
              </w:rPr>
              <w:t>Α’</w:t>
            </w:r>
          </w:p>
          <w:p w14:paraId="42822744" w14:textId="29653D82" w:rsidR="00CB238D" w:rsidRPr="00CB38F0" w:rsidRDefault="00CB238D" w:rsidP="00CB238D">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hAnsi="Arial" w:cs="Arial"/>
                <w:lang w:val="en-US"/>
              </w:rPr>
            </w:pPr>
            <w:r w:rsidRPr="00CB38F0">
              <w:rPr>
                <w:rFonts w:ascii="Arial" w:eastAsia="Times New Roman" w:hAnsi="Arial" w:cs="Arial"/>
                <w:b/>
                <w:bCs/>
                <w:sz w:val="16"/>
                <w:szCs w:val="16"/>
                <w:lang w:val="el-GR" w:eastAsia="el-GR"/>
              </w:rPr>
              <w:t>τρίμηνο 2024</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16292DC1" w14:textId="77777777" w:rsidR="00CB238D" w:rsidRPr="00CB38F0" w:rsidRDefault="00CB238D" w:rsidP="00CB238D">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6"/>
                <w:szCs w:val="16"/>
                <w:lang w:val="el-GR" w:eastAsia="el-GR"/>
              </w:rPr>
            </w:pPr>
            <w:r w:rsidRPr="00CB38F0">
              <w:rPr>
                <w:rFonts w:ascii="Arial" w:eastAsia="Times New Roman" w:hAnsi="Arial" w:cs="Arial"/>
                <w:bCs/>
                <w:sz w:val="16"/>
                <w:szCs w:val="16"/>
                <w:lang w:val="el-GR" w:eastAsia="el-GR"/>
              </w:rPr>
              <w:t>Τριμηνιαία μεταβολή</w:t>
            </w:r>
          </w:p>
          <w:p w14:paraId="44CCF49E" w14:textId="77777777" w:rsidR="00CB238D" w:rsidRPr="00CB38F0" w:rsidRDefault="00CB238D" w:rsidP="00CB238D">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6"/>
                <w:szCs w:val="16"/>
                <w:lang w:val="el-GR" w:eastAsia="el-GR"/>
              </w:rPr>
            </w:pPr>
            <w:r w:rsidRPr="00CB38F0">
              <w:rPr>
                <w:rFonts w:ascii="Arial" w:eastAsia="Times New Roman" w:hAnsi="Arial" w:cs="Arial"/>
                <w:bCs/>
                <w:sz w:val="16"/>
                <w:szCs w:val="16"/>
                <w:u w:val="single"/>
                <w:lang w:val="el-GR" w:eastAsia="el-GR"/>
              </w:rPr>
              <w:t>+</w:t>
            </w:r>
            <w:r w:rsidRPr="00CB38F0">
              <w:rPr>
                <w:rFonts w:ascii="Arial" w:eastAsia="Times New Roman" w:hAnsi="Arial" w:cs="Arial"/>
                <w:bCs/>
                <w:sz w:val="16"/>
                <w:szCs w:val="16"/>
                <w:lang w:val="el-GR" w:eastAsia="el-GR"/>
              </w:rPr>
              <w:t>%</w:t>
            </w:r>
          </w:p>
        </w:tc>
        <w:tc>
          <w:tcPr>
            <w:tcW w:w="96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5D13163" w14:textId="77777777" w:rsidR="00CB238D" w:rsidRPr="00CB38F0" w:rsidRDefault="00CB238D" w:rsidP="00CB238D">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6"/>
                <w:szCs w:val="16"/>
                <w:lang w:val="el-GR" w:eastAsia="el-GR"/>
              </w:rPr>
            </w:pPr>
            <w:r w:rsidRPr="00CB38F0">
              <w:rPr>
                <w:rFonts w:ascii="Arial" w:eastAsia="Times New Roman" w:hAnsi="Arial" w:cs="Arial"/>
                <w:bCs/>
                <w:sz w:val="16"/>
                <w:szCs w:val="16"/>
                <w:lang w:val="el-GR" w:eastAsia="el-GR"/>
              </w:rPr>
              <w:t>Ετήσια μεταβολή</w:t>
            </w:r>
          </w:p>
          <w:p w14:paraId="45604A3A" w14:textId="77777777" w:rsidR="00CB238D" w:rsidRPr="00CB38F0" w:rsidRDefault="00CB238D" w:rsidP="00CB238D">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6"/>
                <w:szCs w:val="16"/>
                <w:lang w:eastAsia="el-GR"/>
              </w:rPr>
            </w:pPr>
            <w:r w:rsidRPr="00CB38F0">
              <w:rPr>
                <w:rFonts w:ascii="Arial" w:eastAsia="Times New Roman" w:hAnsi="Arial" w:cs="Arial"/>
                <w:bCs/>
                <w:sz w:val="16"/>
                <w:szCs w:val="16"/>
                <w:u w:val="single"/>
                <w:lang w:eastAsia="el-GR"/>
              </w:rPr>
              <w:t>+</w:t>
            </w:r>
            <w:r w:rsidRPr="00CB38F0">
              <w:rPr>
                <w:rFonts w:ascii="Arial" w:eastAsia="Times New Roman" w:hAnsi="Arial" w:cs="Arial"/>
                <w:bCs/>
                <w:sz w:val="16"/>
                <w:szCs w:val="16"/>
                <w:lang w:eastAsia="el-GR"/>
              </w:rPr>
              <w:t>%</w:t>
            </w:r>
          </w:p>
        </w:tc>
      </w:tr>
      <w:tr w:rsidR="00C11977" w:rsidRPr="006B5511" w14:paraId="6F4F60DF" w14:textId="77777777" w:rsidTr="00CB38F0">
        <w:trPr>
          <w:trHeight w:val="389"/>
          <w:jc w:val="center"/>
        </w:trPr>
        <w:tc>
          <w:tcPr>
            <w:tcW w:w="3744" w:type="dxa"/>
            <w:tcBorders>
              <w:top w:val="single" w:sz="4" w:space="0" w:color="808080" w:themeColor="background1" w:themeShade="80"/>
              <w:bottom w:val="single" w:sz="4" w:space="0" w:color="808080" w:themeColor="background1" w:themeShade="80"/>
            </w:tcBorders>
            <w:vAlign w:val="center"/>
          </w:tcPr>
          <w:p w14:paraId="6AC36C6B" w14:textId="77777777" w:rsidR="00C11977" w:rsidRPr="00CB38F0" w:rsidRDefault="00C11977" w:rsidP="00C11977">
            <w:pPr>
              <w:tabs>
                <w:tab w:val="left" w:pos="974"/>
                <w:tab w:val="left" w:pos="1416"/>
                <w:tab w:val="decimal" w:pos="4962"/>
                <w:tab w:val="decimal" w:pos="6521"/>
                <w:tab w:val="right" w:pos="7560"/>
                <w:tab w:val="decimal" w:pos="8220"/>
                <w:tab w:val="left" w:pos="8640"/>
                <w:tab w:val="right" w:pos="9000"/>
              </w:tabs>
              <w:suppressAutoHyphens/>
              <w:spacing w:after="0" w:line="240" w:lineRule="auto"/>
              <w:ind w:left="10"/>
              <w:rPr>
                <w:rFonts w:ascii="Arial" w:eastAsia="Times New Roman" w:hAnsi="Arial" w:cs="Arial"/>
                <w:sz w:val="16"/>
                <w:szCs w:val="16"/>
                <w:lang w:eastAsia="el-GR"/>
              </w:rPr>
            </w:pPr>
            <w:r w:rsidRPr="00CB38F0">
              <w:rPr>
                <w:rFonts w:ascii="Arial" w:hAnsi="Arial" w:cs="Arial"/>
                <w:sz w:val="16"/>
                <w:szCs w:val="16"/>
              </w:rPr>
              <w:t>Αρχικό Υπόλοιπο</w:t>
            </w:r>
          </w:p>
        </w:tc>
        <w:tc>
          <w:tcPr>
            <w:tcW w:w="103" w:type="dxa"/>
            <w:tcBorders>
              <w:top w:val="single" w:sz="4" w:space="0" w:color="808080" w:themeColor="background1" w:themeShade="80"/>
              <w:bottom w:val="single" w:sz="4" w:space="0" w:color="808080" w:themeColor="background1" w:themeShade="80"/>
            </w:tcBorders>
            <w:vAlign w:val="center"/>
          </w:tcPr>
          <w:p w14:paraId="662322C1" w14:textId="77777777"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eastAsia="el-GR"/>
              </w:rPr>
            </w:pPr>
          </w:p>
        </w:tc>
        <w:tc>
          <w:tcPr>
            <w:tcW w:w="964" w:type="dxa"/>
            <w:tcBorders>
              <w:top w:val="single" w:sz="4" w:space="0" w:color="808080" w:themeColor="background1" w:themeShade="80"/>
              <w:bottom w:val="single" w:sz="4" w:space="0" w:color="808080" w:themeColor="background1" w:themeShade="80"/>
            </w:tcBorders>
            <w:vAlign w:val="center"/>
          </w:tcPr>
          <w:p w14:paraId="6CF936CE" w14:textId="77777777"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sz w:val="16"/>
                <w:szCs w:val="16"/>
                <w:highlight w:val="yellow"/>
                <w:vertAlign w:val="superscript"/>
                <w:lang w:val="el-GR" w:eastAsia="el-GR"/>
              </w:rPr>
            </w:pPr>
          </w:p>
        </w:tc>
        <w:tc>
          <w:tcPr>
            <w:tcW w:w="965" w:type="dxa"/>
            <w:tcBorders>
              <w:top w:val="single" w:sz="4" w:space="0" w:color="808080" w:themeColor="background1" w:themeShade="80"/>
              <w:bottom w:val="single" w:sz="4" w:space="0" w:color="808080" w:themeColor="background1" w:themeShade="80"/>
            </w:tcBorders>
            <w:vAlign w:val="center"/>
          </w:tcPr>
          <w:p w14:paraId="5C15C158" w14:textId="2598D589"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eastAsia="el-GR"/>
              </w:rPr>
            </w:pPr>
            <w:r w:rsidRPr="00DF2121">
              <w:rPr>
                <w:rFonts w:ascii="Arial" w:eastAsia="Times New Roman" w:hAnsi="Arial" w:cs="Arial"/>
                <w:b/>
                <w:sz w:val="16"/>
                <w:szCs w:val="16"/>
                <w:lang w:eastAsia="el-GR"/>
              </w:rPr>
              <w:t>862</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2FB85DDF" w14:textId="7344B9EA"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eastAsia="el-GR"/>
              </w:rPr>
            </w:pPr>
            <w:r w:rsidRPr="00DF2121">
              <w:rPr>
                <w:rFonts w:ascii="Arial" w:eastAsia="Times New Roman" w:hAnsi="Arial" w:cs="Arial"/>
                <w:b/>
                <w:bCs/>
                <w:sz w:val="16"/>
                <w:szCs w:val="16"/>
                <w:lang w:eastAsia="el-GR"/>
              </w:rPr>
              <w:t>1,079</w:t>
            </w:r>
          </w:p>
        </w:tc>
        <w:tc>
          <w:tcPr>
            <w:tcW w:w="964"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4C0BE914" w14:textId="2E9D3B59"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sz w:val="16"/>
                <w:szCs w:val="16"/>
                <w:highlight w:val="yellow"/>
                <w:lang w:eastAsia="el-GR"/>
              </w:rPr>
            </w:pPr>
            <w:r w:rsidRPr="002A5A3D">
              <w:rPr>
                <w:rFonts w:ascii="Arial" w:eastAsia="Times New Roman" w:hAnsi="Arial" w:cs="Arial"/>
                <w:bCs/>
                <w:sz w:val="16"/>
                <w:szCs w:val="16"/>
                <w:lang w:eastAsia="el-GR"/>
              </w:rPr>
              <w:t>836</w:t>
            </w:r>
          </w:p>
        </w:tc>
        <w:tc>
          <w:tcPr>
            <w:tcW w:w="964" w:type="dxa"/>
            <w:tcBorders>
              <w:top w:val="single" w:sz="4" w:space="0" w:color="808080" w:themeColor="background1" w:themeShade="80"/>
              <w:bottom w:val="single" w:sz="4" w:space="0" w:color="808080" w:themeColor="background1" w:themeShade="80"/>
            </w:tcBorders>
            <w:vAlign w:val="center"/>
          </w:tcPr>
          <w:p w14:paraId="7FF99255" w14:textId="60FA8A30"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Cs/>
                <w:sz w:val="16"/>
                <w:szCs w:val="16"/>
                <w:highlight w:val="yellow"/>
                <w:lang w:eastAsia="el-GR"/>
              </w:rPr>
            </w:pPr>
            <w:r w:rsidRPr="002A5A3D">
              <w:rPr>
                <w:rFonts w:ascii="Arial" w:eastAsia="Times New Roman" w:hAnsi="Arial" w:cs="Arial"/>
                <w:bCs/>
                <w:sz w:val="16"/>
                <w:szCs w:val="16"/>
                <w:lang w:eastAsia="el-GR"/>
              </w:rPr>
              <w:t>862</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246FC091" w14:textId="2D38FEB0"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E46EA4">
              <w:rPr>
                <w:rFonts w:ascii="Arial" w:eastAsia="Times New Roman" w:hAnsi="Arial" w:cs="Arial"/>
                <w:sz w:val="16"/>
                <w:szCs w:val="16"/>
                <w:lang w:eastAsia="el-GR"/>
              </w:rPr>
              <w:t>-3%</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6E3B2D8D" w14:textId="7E8F664D"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0B5A97">
              <w:rPr>
                <w:rFonts w:ascii="Arial" w:eastAsia="Times New Roman" w:hAnsi="Arial" w:cs="Arial"/>
                <w:sz w:val="16"/>
                <w:szCs w:val="16"/>
                <w:lang w:eastAsia="el-GR"/>
              </w:rPr>
              <w:t>-20%</w:t>
            </w:r>
          </w:p>
        </w:tc>
      </w:tr>
      <w:tr w:rsidR="00C11977" w:rsidRPr="006B5511" w14:paraId="30054874" w14:textId="77777777" w:rsidTr="00CB38F0">
        <w:trPr>
          <w:trHeight w:val="389"/>
          <w:jc w:val="center"/>
        </w:trPr>
        <w:tc>
          <w:tcPr>
            <w:tcW w:w="3744" w:type="dxa"/>
            <w:tcBorders>
              <w:top w:val="single" w:sz="4" w:space="0" w:color="808080" w:themeColor="background1" w:themeShade="80"/>
              <w:bottom w:val="single" w:sz="4" w:space="0" w:color="808080" w:themeColor="background1" w:themeShade="80"/>
            </w:tcBorders>
            <w:vAlign w:val="center"/>
          </w:tcPr>
          <w:p w14:paraId="53444585" w14:textId="394D85FA" w:rsidR="00C11977" w:rsidRPr="00CB38F0" w:rsidRDefault="00C11977" w:rsidP="00C11977">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sz w:val="16"/>
                <w:szCs w:val="16"/>
                <w:lang w:eastAsia="el-GR"/>
              </w:rPr>
            </w:pPr>
            <w:r w:rsidRPr="00CB38F0">
              <w:rPr>
                <w:rFonts w:ascii="Arial" w:hAnsi="Arial" w:cs="Arial"/>
                <w:sz w:val="16"/>
                <w:szCs w:val="16"/>
              </w:rPr>
              <w:t>Προσθήκες</w:t>
            </w:r>
            <w:r w:rsidRPr="00CB38F0">
              <w:rPr>
                <w:rFonts w:ascii="Arial" w:hAnsi="Arial" w:cs="Arial"/>
                <w:sz w:val="16"/>
                <w:szCs w:val="16"/>
                <w:lang w:val="el-GR"/>
              </w:rPr>
              <w:t xml:space="preserve"> </w:t>
            </w:r>
          </w:p>
        </w:tc>
        <w:tc>
          <w:tcPr>
            <w:tcW w:w="103" w:type="dxa"/>
            <w:tcBorders>
              <w:top w:val="single" w:sz="4" w:space="0" w:color="808080" w:themeColor="background1" w:themeShade="80"/>
              <w:bottom w:val="single" w:sz="4" w:space="0" w:color="808080" w:themeColor="background1" w:themeShade="80"/>
            </w:tcBorders>
            <w:vAlign w:val="center"/>
          </w:tcPr>
          <w:p w14:paraId="7D2BD88D" w14:textId="77777777"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eastAsia="el-GR"/>
              </w:rPr>
            </w:pPr>
          </w:p>
        </w:tc>
        <w:tc>
          <w:tcPr>
            <w:tcW w:w="964" w:type="dxa"/>
            <w:tcBorders>
              <w:top w:val="single" w:sz="4" w:space="0" w:color="808080" w:themeColor="background1" w:themeShade="80"/>
              <w:bottom w:val="single" w:sz="4" w:space="0" w:color="808080" w:themeColor="background1" w:themeShade="80"/>
            </w:tcBorders>
            <w:shd w:val="clear" w:color="auto" w:fill="auto"/>
            <w:vAlign w:val="center"/>
          </w:tcPr>
          <w:p w14:paraId="161FA63E" w14:textId="77777777"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sz w:val="16"/>
                <w:szCs w:val="16"/>
                <w:highlight w:val="yellow"/>
                <w:lang w:eastAsia="el-GR"/>
              </w:rPr>
            </w:pPr>
          </w:p>
        </w:tc>
        <w:tc>
          <w:tcPr>
            <w:tcW w:w="965" w:type="dxa"/>
            <w:tcBorders>
              <w:top w:val="single" w:sz="4" w:space="0" w:color="808080" w:themeColor="background1" w:themeShade="80"/>
              <w:bottom w:val="single" w:sz="4" w:space="0" w:color="808080" w:themeColor="background1" w:themeShade="80"/>
            </w:tcBorders>
            <w:vAlign w:val="center"/>
          </w:tcPr>
          <w:p w14:paraId="2E09D38B" w14:textId="5E5489F0"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eastAsia="el-GR"/>
              </w:rPr>
            </w:pPr>
            <w:r w:rsidRPr="00E46EA4">
              <w:rPr>
                <w:rFonts w:ascii="Arial" w:eastAsia="Times New Roman" w:hAnsi="Arial" w:cs="Arial"/>
                <w:b/>
                <w:sz w:val="16"/>
                <w:szCs w:val="16"/>
                <w:lang w:eastAsia="el-GR"/>
              </w:rPr>
              <w:t>14</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5739464E" w14:textId="6C3CA0AA"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eastAsia="el-GR"/>
              </w:rPr>
            </w:pPr>
            <w:r>
              <w:rPr>
                <w:rFonts w:ascii="Arial" w:eastAsia="Times New Roman" w:hAnsi="Arial" w:cs="Arial"/>
                <w:b/>
                <w:bCs/>
                <w:sz w:val="16"/>
                <w:szCs w:val="16"/>
                <w:lang w:eastAsia="el-GR"/>
              </w:rPr>
              <w:t>6</w:t>
            </w:r>
          </w:p>
        </w:tc>
        <w:tc>
          <w:tcPr>
            <w:tcW w:w="964" w:type="dxa"/>
            <w:tcBorders>
              <w:top w:val="single" w:sz="4" w:space="0" w:color="808080" w:themeColor="background1" w:themeShade="80"/>
              <w:bottom w:val="single" w:sz="4" w:space="0" w:color="808080" w:themeColor="background1" w:themeShade="80"/>
            </w:tcBorders>
            <w:vAlign w:val="center"/>
          </w:tcPr>
          <w:p w14:paraId="1605C930" w14:textId="6CEC89D9"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sz w:val="16"/>
                <w:szCs w:val="16"/>
                <w:highlight w:val="yellow"/>
                <w:lang w:eastAsia="el-GR"/>
              </w:rPr>
            </w:pPr>
            <w:r>
              <w:rPr>
                <w:rFonts w:ascii="Arial" w:eastAsia="Times New Roman" w:hAnsi="Arial" w:cs="Arial"/>
                <w:bCs/>
                <w:sz w:val="16"/>
                <w:szCs w:val="16"/>
                <w:lang w:eastAsia="el-GR"/>
              </w:rPr>
              <w:t>9</w:t>
            </w:r>
          </w:p>
        </w:tc>
        <w:tc>
          <w:tcPr>
            <w:tcW w:w="964" w:type="dxa"/>
            <w:tcBorders>
              <w:top w:val="single" w:sz="4" w:space="0" w:color="808080" w:themeColor="background1" w:themeShade="80"/>
              <w:bottom w:val="single" w:sz="4" w:space="0" w:color="808080" w:themeColor="background1" w:themeShade="80"/>
            </w:tcBorders>
            <w:vAlign w:val="center"/>
          </w:tcPr>
          <w:p w14:paraId="7703E830" w14:textId="49713FD8"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Cs/>
                <w:sz w:val="16"/>
                <w:szCs w:val="16"/>
                <w:highlight w:val="yellow"/>
                <w:lang w:eastAsia="el-GR"/>
              </w:rPr>
            </w:pPr>
            <w:r w:rsidRPr="002A5A3D">
              <w:rPr>
                <w:rFonts w:ascii="Arial" w:eastAsia="Times New Roman" w:hAnsi="Arial" w:cs="Arial"/>
                <w:bCs/>
                <w:sz w:val="16"/>
                <w:szCs w:val="16"/>
                <w:lang w:eastAsia="el-GR"/>
              </w:rPr>
              <w:t>5</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6BEF6AA7" w14:textId="77C1F1AD"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E46EA4">
              <w:rPr>
                <w:rFonts w:ascii="Arial" w:eastAsia="Times New Roman" w:hAnsi="Arial" w:cs="Arial"/>
                <w:sz w:val="16"/>
                <w:szCs w:val="16"/>
                <w:lang w:eastAsia="el-GR"/>
              </w:rPr>
              <w:t>98%</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5ADB7430" w14:textId="46154524"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val="el-GR" w:eastAsia="el-GR"/>
              </w:rPr>
            </w:pPr>
            <w:r w:rsidRPr="000B5A97">
              <w:rPr>
                <w:rFonts w:ascii="Arial" w:eastAsia="Times New Roman" w:hAnsi="Arial" w:cs="Arial"/>
                <w:sz w:val="16"/>
                <w:szCs w:val="16"/>
                <w:lang w:eastAsia="el-GR"/>
              </w:rPr>
              <w:t>186%</w:t>
            </w:r>
          </w:p>
        </w:tc>
      </w:tr>
      <w:tr w:rsidR="00C11977" w:rsidRPr="006B5511" w14:paraId="099728EE" w14:textId="77777777" w:rsidTr="00CB38F0">
        <w:trPr>
          <w:trHeight w:val="389"/>
          <w:jc w:val="center"/>
        </w:trPr>
        <w:tc>
          <w:tcPr>
            <w:tcW w:w="3744" w:type="dxa"/>
            <w:tcBorders>
              <w:top w:val="single" w:sz="4" w:space="0" w:color="808080" w:themeColor="background1" w:themeShade="80"/>
              <w:bottom w:val="single" w:sz="4" w:space="0" w:color="808080" w:themeColor="background1" w:themeShade="80"/>
            </w:tcBorders>
            <w:vAlign w:val="center"/>
          </w:tcPr>
          <w:p w14:paraId="55B95D03" w14:textId="77777777" w:rsidR="00C11977" w:rsidRPr="00CB38F0" w:rsidRDefault="00C11977" w:rsidP="00C11977">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sz w:val="16"/>
                <w:szCs w:val="16"/>
                <w:lang w:eastAsia="el-GR"/>
              </w:rPr>
            </w:pPr>
            <w:r w:rsidRPr="00CB38F0">
              <w:rPr>
                <w:rFonts w:ascii="Arial" w:eastAsia="Times New Roman" w:hAnsi="Arial" w:cs="Arial"/>
                <w:sz w:val="16"/>
                <w:szCs w:val="16"/>
                <w:lang w:val="el-GR" w:eastAsia="el-GR"/>
              </w:rPr>
              <w:t>Πωλήσεις</w:t>
            </w:r>
          </w:p>
        </w:tc>
        <w:tc>
          <w:tcPr>
            <w:tcW w:w="103" w:type="dxa"/>
            <w:tcBorders>
              <w:top w:val="single" w:sz="4" w:space="0" w:color="808080" w:themeColor="background1" w:themeShade="80"/>
              <w:bottom w:val="single" w:sz="4" w:space="0" w:color="808080" w:themeColor="background1" w:themeShade="80"/>
            </w:tcBorders>
            <w:vAlign w:val="center"/>
          </w:tcPr>
          <w:p w14:paraId="433211E2" w14:textId="77777777"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bCs/>
                <w:sz w:val="16"/>
                <w:szCs w:val="16"/>
                <w:highlight w:val="yellow"/>
                <w:lang w:eastAsia="el-GR"/>
              </w:rPr>
            </w:pPr>
          </w:p>
        </w:tc>
        <w:tc>
          <w:tcPr>
            <w:tcW w:w="964" w:type="dxa"/>
            <w:tcBorders>
              <w:top w:val="single" w:sz="4" w:space="0" w:color="808080" w:themeColor="background1" w:themeShade="80"/>
              <w:bottom w:val="single" w:sz="4" w:space="0" w:color="808080" w:themeColor="background1" w:themeShade="80"/>
            </w:tcBorders>
            <w:vAlign w:val="center"/>
          </w:tcPr>
          <w:p w14:paraId="72E4E41D" w14:textId="77777777"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sz w:val="16"/>
                <w:szCs w:val="16"/>
                <w:highlight w:val="yellow"/>
                <w:lang w:eastAsia="el-GR"/>
              </w:rPr>
            </w:pPr>
          </w:p>
        </w:tc>
        <w:tc>
          <w:tcPr>
            <w:tcW w:w="965" w:type="dxa"/>
            <w:tcBorders>
              <w:top w:val="single" w:sz="4" w:space="0" w:color="808080" w:themeColor="background1" w:themeShade="80"/>
              <w:bottom w:val="single" w:sz="4" w:space="0" w:color="808080" w:themeColor="background1" w:themeShade="80"/>
            </w:tcBorders>
            <w:vAlign w:val="center"/>
          </w:tcPr>
          <w:p w14:paraId="4751B0D0" w14:textId="390A474D"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bCs/>
                <w:sz w:val="16"/>
                <w:szCs w:val="16"/>
                <w:highlight w:val="yellow"/>
                <w:lang w:eastAsia="el-GR"/>
              </w:rPr>
            </w:pPr>
            <w:r w:rsidRPr="00E46EA4">
              <w:rPr>
                <w:rFonts w:ascii="Arial" w:eastAsia="Times New Roman" w:hAnsi="Arial" w:cs="Arial"/>
                <w:b/>
                <w:sz w:val="16"/>
                <w:szCs w:val="16"/>
                <w:lang w:eastAsia="el-GR"/>
              </w:rPr>
              <w:t>(57)</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521024A5" w14:textId="69395BDF"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bCs/>
                <w:sz w:val="16"/>
                <w:szCs w:val="16"/>
                <w:highlight w:val="yellow"/>
                <w:lang w:eastAsia="el-GR"/>
              </w:rPr>
            </w:pPr>
            <w:r w:rsidRPr="002A5A3D">
              <w:rPr>
                <w:rFonts w:ascii="Arial" w:eastAsia="Times New Roman" w:hAnsi="Arial" w:cs="Arial"/>
                <w:b/>
                <w:bCs/>
                <w:sz w:val="16"/>
                <w:szCs w:val="16"/>
                <w:lang w:eastAsia="el-GR"/>
              </w:rPr>
              <w:t>(6</w:t>
            </w:r>
            <w:r>
              <w:rPr>
                <w:rFonts w:ascii="Arial" w:eastAsia="Times New Roman" w:hAnsi="Arial" w:cs="Arial"/>
                <w:b/>
                <w:bCs/>
                <w:sz w:val="16"/>
                <w:szCs w:val="16"/>
                <w:lang w:eastAsia="el-GR"/>
              </w:rPr>
              <w:t>8</w:t>
            </w:r>
            <w:r w:rsidRPr="002A5A3D">
              <w:rPr>
                <w:rFonts w:ascii="Arial" w:eastAsia="Times New Roman" w:hAnsi="Arial" w:cs="Arial"/>
                <w:b/>
                <w:bCs/>
                <w:sz w:val="16"/>
                <w:szCs w:val="16"/>
                <w:lang w:eastAsia="el-GR"/>
              </w:rPr>
              <w:t>)</w:t>
            </w:r>
          </w:p>
        </w:tc>
        <w:tc>
          <w:tcPr>
            <w:tcW w:w="964"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41E069F3" w14:textId="1D88746F"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sz w:val="16"/>
                <w:szCs w:val="16"/>
                <w:highlight w:val="yellow"/>
                <w:lang w:eastAsia="el-GR"/>
              </w:rPr>
            </w:pPr>
            <w:r w:rsidRPr="00E46EA4">
              <w:rPr>
                <w:rFonts w:ascii="Arial" w:eastAsia="Times New Roman" w:hAnsi="Arial" w:cs="Arial"/>
                <w:bCs/>
                <w:sz w:val="16"/>
                <w:szCs w:val="16"/>
                <w:lang w:eastAsia="el-GR"/>
              </w:rPr>
              <w:t>(</w:t>
            </w:r>
            <w:r>
              <w:rPr>
                <w:rFonts w:ascii="Arial" w:eastAsia="Times New Roman" w:hAnsi="Arial" w:cs="Arial"/>
                <w:bCs/>
                <w:sz w:val="16"/>
                <w:szCs w:val="16"/>
                <w:lang w:eastAsia="el-GR"/>
              </w:rPr>
              <w:t>39</w:t>
            </w:r>
            <w:r w:rsidRPr="00E46EA4">
              <w:rPr>
                <w:rFonts w:ascii="Arial" w:eastAsia="Times New Roman" w:hAnsi="Arial" w:cs="Arial"/>
                <w:bCs/>
                <w:sz w:val="16"/>
                <w:szCs w:val="16"/>
                <w:lang w:eastAsia="el-GR"/>
              </w:rPr>
              <w:t>)</w:t>
            </w:r>
          </w:p>
        </w:tc>
        <w:tc>
          <w:tcPr>
            <w:tcW w:w="964" w:type="dxa"/>
            <w:tcBorders>
              <w:top w:val="single" w:sz="4" w:space="0" w:color="808080" w:themeColor="background1" w:themeShade="80"/>
              <w:bottom w:val="single" w:sz="4" w:space="0" w:color="808080" w:themeColor="background1" w:themeShade="80"/>
            </w:tcBorders>
            <w:vAlign w:val="center"/>
          </w:tcPr>
          <w:p w14:paraId="594D5748" w14:textId="16E79287"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Cs/>
                <w:sz w:val="16"/>
                <w:szCs w:val="16"/>
                <w:highlight w:val="yellow"/>
                <w:lang w:eastAsia="el-GR"/>
              </w:rPr>
            </w:pPr>
            <w:r w:rsidRPr="002A5A3D">
              <w:rPr>
                <w:rFonts w:ascii="Arial" w:eastAsia="Times New Roman" w:hAnsi="Arial" w:cs="Arial"/>
                <w:bCs/>
                <w:sz w:val="16"/>
                <w:szCs w:val="16"/>
                <w:lang w:eastAsia="el-GR"/>
              </w:rPr>
              <w:t>(17)</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071A545B" w14:textId="60312784"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sz w:val="16"/>
                <w:szCs w:val="16"/>
                <w:highlight w:val="yellow"/>
                <w:lang w:eastAsia="el-GR"/>
              </w:rPr>
            </w:pPr>
            <w:r w:rsidRPr="00E46EA4">
              <w:rPr>
                <w:rFonts w:ascii="Arial" w:eastAsia="Times New Roman" w:hAnsi="Arial" w:cs="Arial"/>
                <w:sz w:val="16"/>
                <w:szCs w:val="16"/>
                <w:lang w:eastAsia="el-GR"/>
              </w:rPr>
              <w:t>128%</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1822C974" w14:textId="47A5303C"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sz w:val="16"/>
                <w:szCs w:val="16"/>
                <w:highlight w:val="yellow"/>
                <w:lang w:eastAsia="el-GR"/>
              </w:rPr>
            </w:pPr>
            <w:r w:rsidRPr="000B5A97">
              <w:rPr>
                <w:rFonts w:ascii="Arial" w:eastAsia="Times New Roman" w:hAnsi="Arial" w:cs="Arial"/>
                <w:sz w:val="16"/>
                <w:szCs w:val="16"/>
                <w:lang w:eastAsia="el-GR"/>
              </w:rPr>
              <w:t>-16%</w:t>
            </w:r>
          </w:p>
        </w:tc>
      </w:tr>
      <w:tr w:rsidR="00C11977" w:rsidRPr="006B5511" w14:paraId="274701B5" w14:textId="77777777" w:rsidTr="00CB38F0">
        <w:trPr>
          <w:trHeight w:val="389"/>
          <w:jc w:val="center"/>
        </w:trPr>
        <w:tc>
          <w:tcPr>
            <w:tcW w:w="3744" w:type="dxa"/>
            <w:tcBorders>
              <w:top w:val="single" w:sz="4" w:space="0" w:color="808080" w:themeColor="background1" w:themeShade="80"/>
              <w:bottom w:val="single" w:sz="4" w:space="0" w:color="808080" w:themeColor="background1" w:themeShade="80"/>
            </w:tcBorders>
            <w:vAlign w:val="center"/>
          </w:tcPr>
          <w:p w14:paraId="0709F85F" w14:textId="77777777" w:rsidR="00C11977" w:rsidRPr="00CB38F0" w:rsidRDefault="00C11977" w:rsidP="00C11977">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sz w:val="16"/>
                <w:szCs w:val="16"/>
                <w:lang w:val="en-US" w:eastAsia="el-GR"/>
              </w:rPr>
            </w:pPr>
            <w:r w:rsidRPr="00CB38F0">
              <w:rPr>
                <w:rFonts w:ascii="Arial" w:eastAsia="Times New Roman" w:hAnsi="Arial" w:cs="Arial"/>
                <w:sz w:val="16"/>
                <w:szCs w:val="16"/>
                <w:lang w:val="el-GR" w:eastAsia="el-GR"/>
              </w:rPr>
              <w:t>Καθαρή απομείωση</w:t>
            </w:r>
          </w:p>
        </w:tc>
        <w:tc>
          <w:tcPr>
            <w:tcW w:w="103" w:type="dxa"/>
            <w:tcBorders>
              <w:top w:val="single" w:sz="4" w:space="0" w:color="808080" w:themeColor="background1" w:themeShade="80"/>
              <w:bottom w:val="single" w:sz="4" w:space="0" w:color="808080" w:themeColor="background1" w:themeShade="80"/>
            </w:tcBorders>
            <w:vAlign w:val="center"/>
          </w:tcPr>
          <w:p w14:paraId="248A1A0C" w14:textId="77777777"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bCs/>
                <w:sz w:val="16"/>
                <w:szCs w:val="16"/>
                <w:highlight w:val="yellow"/>
                <w:lang w:eastAsia="el-GR"/>
              </w:rPr>
            </w:pPr>
          </w:p>
        </w:tc>
        <w:tc>
          <w:tcPr>
            <w:tcW w:w="964" w:type="dxa"/>
            <w:tcBorders>
              <w:top w:val="single" w:sz="4" w:space="0" w:color="808080" w:themeColor="background1" w:themeShade="80"/>
              <w:bottom w:val="single" w:sz="4" w:space="0" w:color="808080" w:themeColor="background1" w:themeShade="80"/>
            </w:tcBorders>
            <w:vAlign w:val="center"/>
          </w:tcPr>
          <w:p w14:paraId="6116076A" w14:textId="77777777"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sz w:val="16"/>
                <w:szCs w:val="16"/>
                <w:highlight w:val="yellow"/>
                <w:lang w:eastAsia="el-GR"/>
              </w:rPr>
            </w:pPr>
          </w:p>
        </w:tc>
        <w:tc>
          <w:tcPr>
            <w:tcW w:w="965" w:type="dxa"/>
            <w:tcBorders>
              <w:top w:val="single" w:sz="4" w:space="0" w:color="808080" w:themeColor="background1" w:themeShade="80"/>
              <w:bottom w:val="single" w:sz="4" w:space="0" w:color="808080" w:themeColor="background1" w:themeShade="80"/>
            </w:tcBorders>
            <w:vAlign w:val="center"/>
          </w:tcPr>
          <w:p w14:paraId="22D3EC1B" w14:textId="273856D9"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bCs/>
                <w:sz w:val="16"/>
                <w:szCs w:val="16"/>
                <w:highlight w:val="yellow"/>
                <w:lang w:eastAsia="el-GR"/>
              </w:rPr>
            </w:pPr>
            <w:r w:rsidRPr="00E46EA4">
              <w:rPr>
                <w:rFonts w:ascii="Arial" w:eastAsia="Times New Roman" w:hAnsi="Arial" w:cs="Arial"/>
                <w:b/>
                <w:sz w:val="16"/>
                <w:szCs w:val="16"/>
                <w:lang w:eastAsia="el-GR"/>
              </w:rPr>
              <w:t>(2</w:t>
            </w:r>
            <w:r>
              <w:rPr>
                <w:rFonts w:ascii="Arial" w:eastAsia="Times New Roman" w:hAnsi="Arial" w:cs="Arial"/>
                <w:b/>
                <w:sz w:val="16"/>
                <w:szCs w:val="16"/>
                <w:lang w:eastAsia="el-GR"/>
              </w:rPr>
              <w:t>6</w:t>
            </w:r>
            <w:r w:rsidRPr="00E46EA4">
              <w:rPr>
                <w:rFonts w:ascii="Arial" w:eastAsia="Times New Roman" w:hAnsi="Arial" w:cs="Arial"/>
                <w:b/>
                <w:sz w:val="16"/>
                <w:szCs w:val="16"/>
                <w:lang w:eastAsia="el-GR"/>
              </w:rPr>
              <w:t>)</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25274B2C" w14:textId="37688FA2"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bCs/>
                <w:sz w:val="16"/>
                <w:szCs w:val="16"/>
                <w:highlight w:val="yellow"/>
                <w:lang w:eastAsia="el-GR"/>
              </w:rPr>
            </w:pPr>
            <w:r w:rsidRPr="002A5A3D">
              <w:rPr>
                <w:rFonts w:ascii="Arial" w:eastAsia="Times New Roman" w:hAnsi="Arial" w:cs="Arial"/>
                <w:b/>
                <w:bCs/>
                <w:sz w:val="16"/>
                <w:szCs w:val="16"/>
                <w:lang w:eastAsia="el-GR"/>
              </w:rPr>
              <w:t>(22)</w:t>
            </w:r>
          </w:p>
        </w:tc>
        <w:tc>
          <w:tcPr>
            <w:tcW w:w="964"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71C65F2D" w14:textId="198427AE"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sz w:val="16"/>
                <w:szCs w:val="16"/>
                <w:highlight w:val="yellow"/>
                <w:lang w:eastAsia="el-GR"/>
              </w:rPr>
            </w:pPr>
            <w:r w:rsidRPr="00E46EA4">
              <w:rPr>
                <w:rFonts w:ascii="Arial" w:eastAsia="Times New Roman" w:hAnsi="Arial" w:cs="Arial"/>
                <w:bCs/>
                <w:sz w:val="16"/>
                <w:szCs w:val="16"/>
                <w:lang w:eastAsia="el-GR"/>
              </w:rPr>
              <w:t>(1</w:t>
            </w:r>
            <w:r>
              <w:rPr>
                <w:rFonts w:ascii="Arial" w:eastAsia="Times New Roman" w:hAnsi="Arial" w:cs="Arial"/>
                <w:bCs/>
                <w:sz w:val="16"/>
                <w:szCs w:val="16"/>
                <w:lang w:eastAsia="el-GR"/>
              </w:rPr>
              <w:t>6</w:t>
            </w:r>
            <w:r w:rsidRPr="00E46EA4">
              <w:rPr>
                <w:rFonts w:ascii="Arial" w:eastAsia="Times New Roman" w:hAnsi="Arial" w:cs="Arial"/>
                <w:bCs/>
                <w:sz w:val="16"/>
                <w:szCs w:val="16"/>
                <w:lang w:eastAsia="el-GR"/>
              </w:rPr>
              <w:t>)</w:t>
            </w:r>
          </w:p>
        </w:tc>
        <w:tc>
          <w:tcPr>
            <w:tcW w:w="964" w:type="dxa"/>
            <w:tcBorders>
              <w:top w:val="single" w:sz="4" w:space="0" w:color="808080" w:themeColor="background1" w:themeShade="80"/>
              <w:bottom w:val="single" w:sz="4" w:space="0" w:color="808080" w:themeColor="background1" w:themeShade="80"/>
            </w:tcBorders>
            <w:vAlign w:val="center"/>
          </w:tcPr>
          <w:p w14:paraId="623E22AE" w14:textId="7DF308E9"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Cs/>
                <w:sz w:val="16"/>
                <w:szCs w:val="16"/>
                <w:highlight w:val="yellow"/>
                <w:lang w:eastAsia="el-GR"/>
              </w:rPr>
            </w:pPr>
            <w:r w:rsidRPr="002A5A3D">
              <w:rPr>
                <w:rFonts w:ascii="Arial" w:eastAsia="Times New Roman" w:hAnsi="Arial" w:cs="Arial"/>
                <w:bCs/>
                <w:sz w:val="16"/>
                <w:szCs w:val="16"/>
                <w:lang w:eastAsia="el-GR"/>
              </w:rPr>
              <w:t>(10)</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04C54541" w14:textId="61977A2A"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sz w:val="16"/>
                <w:szCs w:val="16"/>
                <w:highlight w:val="yellow"/>
                <w:lang w:val="el-GR" w:eastAsia="el-GR"/>
              </w:rPr>
            </w:pPr>
            <w:r>
              <w:rPr>
                <w:rFonts w:ascii="Arial" w:eastAsia="Times New Roman" w:hAnsi="Arial" w:cs="Arial"/>
                <w:sz w:val="16"/>
                <w:szCs w:val="16"/>
                <w:lang w:val="en-US" w:eastAsia="el-GR"/>
              </w:rPr>
              <w:t>68</w:t>
            </w:r>
            <w:r w:rsidRPr="00E46EA4">
              <w:rPr>
                <w:rFonts w:ascii="Arial" w:eastAsia="Times New Roman" w:hAnsi="Arial" w:cs="Arial"/>
                <w:sz w:val="16"/>
                <w:szCs w:val="16"/>
                <w:lang w:val="en-US" w:eastAsia="el-GR"/>
              </w:rPr>
              <w:t>%</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1EFE9280" w14:textId="47B11BA5"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sz w:val="16"/>
                <w:szCs w:val="16"/>
                <w:highlight w:val="yellow"/>
                <w:lang w:eastAsia="el-GR"/>
              </w:rPr>
            </w:pPr>
            <w:r>
              <w:rPr>
                <w:rFonts w:ascii="Arial" w:eastAsia="Times New Roman" w:hAnsi="Arial" w:cs="Arial"/>
                <w:sz w:val="16"/>
                <w:szCs w:val="16"/>
                <w:lang w:eastAsia="el-GR"/>
              </w:rPr>
              <w:t>20</w:t>
            </w:r>
            <w:r w:rsidRPr="000B5A97">
              <w:rPr>
                <w:rFonts w:ascii="Arial" w:eastAsia="Times New Roman" w:hAnsi="Arial" w:cs="Arial"/>
                <w:sz w:val="16"/>
                <w:szCs w:val="16"/>
                <w:lang w:eastAsia="el-GR"/>
              </w:rPr>
              <w:t>%</w:t>
            </w:r>
          </w:p>
        </w:tc>
      </w:tr>
      <w:tr w:rsidR="00C11977" w:rsidRPr="006B5511" w14:paraId="4DBF38CE" w14:textId="77777777" w:rsidTr="00CB38F0">
        <w:trPr>
          <w:trHeight w:val="389"/>
          <w:jc w:val="center"/>
        </w:trPr>
        <w:tc>
          <w:tcPr>
            <w:tcW w:w="3744" w:type="dxa"/>
            <w:tcBorders>
              <w:top w:val="single" w:sz="4" w:space="0" w:color="808080" w:themeColor="background1" w:themeShade="80"/>
              <w:bottom w:val="single" w:sz="4" w:space="0" w:color="808080" w:themeColor="background1" w:themeShade="80"/>
            </w:tcBorders>
            <w:vAlign w:val="center"/>
          </w:tcPr>
          <w:p w14:paraId="6A1941FC" w14:textId="0982F806" w:rsidR="00C11977" w:rsidRPr="00CB38F0" w:rsidDel="00DA6D8C" w:rsidRDefault="00C11977" w:rsidP="00C11977">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sz w:val="16"/>
                <w:szCs w:val="16"/>
                <w:lang w:val="el-GR" w:eastAsia="el-GR"/>
              </w:rPr>
            </w:pPr>
            <w:r w:rsidRPr="00CB38F0">
              <w:rPr>
                <w:rFonts w:ascii="Arial" w:hAnsi="Arial" w:cs="Arial"/>
                <w:sz w:val="16"/>
                <w:szCs w:val="16"/>
                <w:lang w:val="el-GR"/>
              </w:rPr>
              <w:t>Μεταφορές</w:t>
            </w:r>
          </w:p>
        </w:tc>
        <w:tc>
          <w:tcPr>
            <w:tcW w:w="103" w:type="dxa"/>
            <w:tcBorders>
              <w:top w:val="single" w:sz="4" w:space="0" w:color="808080" w:themeColor="background1" w:themeShade="80"/>
              <w:bottom w:val="single" w:sz="4" w:space="0" w:color="808080" w:themeColor="background1" w:themeShade="80"/>
            </w:tcBorders>
            <w:vAlign w:val="center"/>
          </w:tcPr>
          <w:p w14:paraId="66055A74" w14:textId="77777777"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bCs/>
                <w:sz w:val="16"/>
                <w:szCs w:val="16"/>
                <w:highlight w:val="yellow"/>
                <w:lang w:val="el-GR" w:eastAsia="el-GR"/>
              </w:rPr>
            </w:pPr>
          </w:p>
        </w:tc>
        <w:tc>
          <w:tcPr>
            <w:tcW w:w="964" w:type="dxa"/>
            <w:tcBorders>
              <w:top w:val="single" w:sz="4" w:space="0" w:color="808080" w:themeColor="background1" w:themeShade="80"/>
              <w:bottom w:val="single" w:sz="4" w:space="0" w:color="808080" w:themeColor="background1" w:themeShade="80"/>
            </w:tcBorders>
            <w:vAlign w:val="center"/>
          </w:tcPr>
          <w:p w14:paraId="766C0248" w14:textId="77777777"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sz w:val="16"/>
                <w:szCs w:val="16"/>
                <w:highlight w:val="yellow"/>
                <w:lang w:val="el-GR" w:eastAsia="el-GR"/>
              </w:rPr>
            </w:pPr>
          </w:p>
        </w:tc>
        <w:tc>
          <w:tcPr>
            <w:tcW w:w="965" w:type="dxa"/>
            <w:tcBorders>
              <w:top w:val="single" w:sz="4" w:space="0" w:color="808080" w:themeColor="background1" w:themeShade="80"/>
              <w:bottom w:val="single" w:sz="4" w:space="0" w:color="808080" w:themeColor="background1" w:themeShade="80"/>
            </w:tcBorders>
            <w:vAlign w:val="center"/>
          </w:tcPr>
          <w:p w14:paraId="5254C115" w14:textId="707E63D4"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bCs/>
                <w:sz w:val="16"/>
                <w:szCs w:val="16"/>
                <w:highlight w:val="yellow"/>
                <w:lang w:eastAsia="el-GR"/>
              </w:rPr>
            </w:pPr>
            <w:r w:rsidRPr="00E46EA4">
              <w:rPr>
                <w:rFonts w:ascii="Arial" w:eastAsia="Times New Roman" w:hAnsi="Arial" w:cs="Arial"/>
                <w:b/>
                <w:sz w:val="16"/>
                <w:szCs w:val="16"/>
                <w:lang w:eastAsia="el-GR"/>
              </w:rPr>
              <w:t>(3)</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28A084CF" w14:textId="3BC8A285"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bCs/>
                <w:sz w:val="16"/>
                <w:szCs w:val="16"/>
                <w:highlight w:val="yellow"/>
                <w:lang w:val="el-GR" w:eastAsia="el-GR"/>
              </w:rPr>
            </w:pPr>
            <w:r w:rsidRPr="002A5A3D">
              <w:rPr>
                <w:rFonts w:ascii="Arial" w:eastAsia="Times New Roman" w:hAnsi="Arial" w:cs="Arial"/>
                <w:b/>
                <w:bCs/>
                <w:sz w:val="16"/>
                <w:szCs w:val="16"/>
                <w:lang w:eastAsia="el-GR"/>
              </w:rPr>
              <w:t>(21)</w:t>
            </w:r>
          </w:p>
        </w:tc>
        <w:tc>
          <w:tcPr>
            <w:tcW w:w="964"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5FE1C052" w14:textId="1B0F8E60"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sz w:val="16"/>
                <w:szCs w:val="16"/>
                <w:highlight w:val="yellow"/>
                <w:lang w:eastAsia="el-GR"/>
              </w:rPr>
            </w:pPr>
            <w:r w:rsidRPr="00E46EA4">
              <w:rPr>
                <w:rFonts w:ascii="Arial" w:eastAsia="Times New Roman" w:hAnsi="Arial" w:cs="Arial"/>
                <w:bCs/>
                <w:sz w:val="16"/>
                <w:szCs w:val="16"/>
                <w:lang w:eastAsia="el-GR"/>
              </w:rPr>
              <w:t>-</w:t>
            </w:r>
          </w:p>
        </w:tc>
        <w:tc>
          <w:tcPr>
            <w:tcW w:w="964" w:type="dxa"/>
            <w:tcBorders>
              <w:top w:val="single" w:sz="4" w:space="0" w:color="808080" w:themeColor="background1" w:themeShade="80"/>
              <w:bottom w:val="single" w:sz="4" w:space="0" w:color="808080" w:themeColor="background1" w:themeShade="80"/>
            </w:tcBorders>
            <w:vAlign w:val="center"/>
          </w:tcPr>
          <w:p w14:paraId="729BFC80" w14:textId="3ED5CC58"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Cs/>
                <w:sz w:val="16"/>
                <w:szCs w:val="16"/>
                <w:highlight w:val="yellow"/>
                <w:lang w:eastAsia="el-GR"/>
              </w:rPr>
            </w:pPr>
            <w:r w:rsidRPr="002A5A3D">
              <w:rPr>
                <w:rFonts w:ascii="Arial" w:eastAsia="Times New Roman" w:hAnsi="Arial" w:cs="Arial"/>
                <w:bCs/>
                <w:sz w:val="16"/>
                <w:szCs w:val="16"/>
                <w:lang w:eastAsia="el-GR"/>
              </w:rPr>
              <w:t>(3)</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6532BE39" w14:textId="346FF0DA"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sz w:val="16"/>
                <w:szCs w:val="16"/>
                <w:highlight w:val="yellow"/>
                <w:lang w:val="el-GR" w:eastAsia="el-GR"/>
              </w:rPr>
            </w:pPr>
            <w:r w:rsidRPr="00E46EA4">
              <w:rPr>
                <w:rFonts w:ascii="Arial" w:eastAsia="Times New Roman" w:hAnsi="Arial" w:cs="Arial"/>
                <w:sz w:val="16"/>
                <w:szCs w:val="16"/>
                <w:lang w:eastAsia="el-GR"/>
              </w:rPr>
              <w:t>-100</w:t>
            </w:r>
            <w:r>
              <w:rPr>
                <w:rFonts w:ascii="Arial" w:eastAsia="Times New Roman" w:hAnsi="Arial" w:cs="Arial"/>
                <w:sz w:val="16"/>
                <w:szCs w:val="16"/>
                <w:lang w:eastAsia="el-GR"/>
              </w:rPr>
              <w:t>%</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66B87722" w14:textId="4577AFF0"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sz w:val="16"/>
                <w:szCs w:val="16"/>
                <w:highlight w:val="yellow"/>
                <w:lang w:val="el-GR" w:eastAsia="el-GR"/>
              </w:rPr>
            </w:pPr>
            <w:r w:rsidRPr="000B5A97">
              <w:rPr>
                <w:rFonts w:ascii="Arial" w:eastAsia="Times New Roman" w:hAnsi="Arial" w:cs="Arial"/>
                <w:sz w:val="16"/>
                <w:szCs w:val="16"/>
                <w:lang w:eastAsia="el-GR"/>
              </w:rPr>
              <w:t>-86%</w:t>
            </w:r>
          </w:p>
        </w:tc>
      </w:tr>
      <w:tr w:rsidR="00C11977" w:rsidRPr="006B5511" w14:paraId="4B35FB0A" w14:textId="77777777" w:rsidTr="00CB38F0">
        <w:trPr>
          <w:trHeight w:val="389"/>
          <w:jc w:val="center"/>
        </w:trPr>
        <w:tc>
          <w:tcPr>
            <w:tcW w:w="3744"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3BF30E6D" w14:textId="77777777" w:rsidR="00C11977" w:rsidRPr="00CB38F0" w:rsidRDefault="00C11977" w:rsidP="00C11977">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b/>
                <w:sz w:val="16"/>
                <w:szCs w:val="16"/>
                <w:lang w:eastAsia="el-GR"/>
              </w:rPr>
            </w:pPr>
            <w:r w:rsidRPr="00CB38F0">
              <w:rPr>
                <w:rFonts w:ascii="Arial" w:eastAsia="Times New Roman" w:hAnsi="Arial" w:cs="Arial"/>
                <w:b/>
                <w:sz w:val="16"/>
                <w:szCs w:val="16"/>
                <w:lang w:val="el-GR" w:eastAsia="el-GR"/>
              </w:rPr>
              <w:t>Τελικό υπόλοιπο</w:t>
            </w:r>
          </w:p>
        </w:tc>
        <w:tc>
          <w:tcPr>
            <w:tcW w:w="103" w:type="dxa"/>
            <w:tcBorders>
              <w:top w:val="single" w:sz="4" w:space="0" w:color="808080" w:themeColor="background1" w:themeShade="80"/>
              <w:bottom w:val="single" w:sz="4" w:space="0" w:color="808080" w:themeColor="background1" w:themeShade="80"/>
            </w:tcBorders>
            <w:vAlign w:val="center"/>
          </w:tcPr>
          <w:p w14:paraId="767D5265" w14:textId="77777777"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eastAsia="el-GR"/>
              </w:rPr>
            </w:pPr>
          </w:p>
        </w:tc>
        <w:tc>
          <w:tcPr>
            <w:tcW w:w="964" w:type="dxa"/>
            <w:tcBorders>
              <w:top w:val="single" w:sz="4" w:space="0" w:color="808080" w:themeColor="background1" w:themeShade="80"/>
              <w:bottom w:val="single" w:sz="4" w:space="0" w:color="808080" w:themeColor="background1" w:themeShade="80"/>
            </w:tcBorders>
            <w:vAlign w:val="center"/>
          </w:tcPr>
          <w:p w14:paraId="40CEF4FC" w14:textId="77777777"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sz w:val="16"/>
                <w:szCs w:val="16"/>
                <w:highlight w:val="yellow"/>
                <w:lang w:eastAsia="el-GR"/>
              </w:rPr>
            </w:pPr>
          </w:p>
        </w:tc>
        <w:tc>
          <w:tcPr>
            <w:tcW w:w="965" w:type="dxa"/>
            <w:tcBorders>
              <w:top w:val="single" w:sz="4" w:space="0" w:color="808080" w:themeColor="background1" w:themeShade="80"/>
              <w:bottom w:val="single" w:sz="4" w:space="0" w:color="808080" w:themeColor="background1" w:themeShade="80"/>
            </w:tcBorders>
            <w:vAlign w:val="center"/>
          </w:tcPr>
          <w:p w14:paraId="05F93775" w14:textId="1BA574BD"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eastAsia="el-GR"/>
              </w:rPr>
            </w:pPr>
            <w:r w:rsidRPr="00E46EA4">
              <w:rPr>
                <w:rFonts w:ascii="Arial" w:eastAsia="Times New Roman" w:hAnsi="Arial" w:cs="Arial"/>
                <w:b/>
                <w:sz w:val="16"/>
                <w:szCs w:val="16"/>
                <w:lang w:eastAsia="el-GR"/>
              </w:rPr>
              <w:t>79</w:t>
            </w:r>
            <w:r>
              <w:rPr>
                <w:rFonts w:ascii="Arial" w:eastAsia="Times New Roman" w:hAnsi="Arial" w:cs="Arial"/>
                <w:b/>
                <w:sz w:val="16"/>
                <w:szCs w:val="16"/>
                <w:lang w:eastAsia="el-GR"/>
              </w:rPr>
              <w:t>0</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5E9950F8" w14:textId="79187EFC"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eastAsia="el-GR"/>
              </w:rPr>
            </w:pPr>
            <w:r w:rsidRPr="002A5A3D">
              <w:rPr>
                <w:rFonts w:ascii="Arial" w:eastAsia="Times New Roman" w:hAnsi="Arial" w:cs="Arial"/>
                <w:b/>
                <w:bCs/>
                <w:sz w:val="16"/>
                <w:szCs w:val="16"/>
                <w:lang w:eastAsia="el-GR"/>
              </w:rPr>
              <w:t>97</w:t>
            </w:r>
            <w:r>
              <w:rPr>
                <w:rFonts w:ascii="Arial" w:eastAsia="Times New Roman" w:hAnsi="Arial" w:cs="Arial"/>
                <w:b/>
                <w:bCs/>
                <w:sz w:val="16"/>
                <w:szCs w:val="16"/>
                <w:lang w:eastAsia="el-GR"/>
              </w:rPr>
              <w:t>4</w:t>
            </w:r>
          </w:p>
        </w:tc>
        <w:tc>
          <w:tcPr>
            <w:tcW w:w="964"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128203DE" w14:textId="3BCC84F4"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Cs/>
                <w:sz w:val="16"/>
                <w:szCs w:val="16"/>
                <w:highlight w:val="yellow"/>
                <w:lang w:eastAsia="el-GR"/>
              </w:rPr>
            </w:pPr>
            <w:r w:rsidRPr="00E46EA4">
              <w:rPr>
                <w:rFonts w:ascii="Arial" w:eastAsia="Times New Roman" w:hAnsi="Arial" w:cs="Arial"/>
                <w:b/>
                <w:bCs/>
                <w:sz w:val="16"/>
                <w:szCs w:val="16"/>
                <w:lang w:eastAsia="el-GR"/>
              </w:rPr>
              <w:t>79</w:t>
            </w:r>
            <w:r>
              <w:rPr>
                <w:rFonts w:ascii="Arial" w:eastAsia="Times New Roman" w:hAnsi="Arial" w:cs="Arial"/>
                <w:b/>
                <w:bCs/>
                <w:sz w:val="16"/>
                <w:szCs w:val="16"/>
                <w:lang w:eastAsia="el-GR"/>
              </w:rPr>
              <w:t>0</w:t>
            </w:r>
          </w:p>
        </w:tc>
        <w:tc>
          <w:tcPr>
            <w:tcW w:w="964" w:type="dxa"/>
            <w:tcBorders>
              <w:top w:val="single" w:sz="4" w:space="0" w:color="808080" w:themeColor="background1" w:themeShade="80"/>
              <w:bottom w:val="single" w:sz="4" w:space="0" w:color="808080" w:themeColor="background1" w:themeShade="80"/>
            </w:tcBorders>
            <w:vAlign w:val="center"/>
          </w:tcPr>
          <w:p w14:paraId="20DB04B6" w14:textId="301564C6"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Cs/>
                <w:sz w:val="16"/>
                <w:szCs w:val="16"/>
                <w:highlight w:val="yellow"/>
                <w:lang w:eastAsia="el-GR"/>
              </w:rPr>
            </w:pPr>
            <w:r w:rsidRPr="002A5A3D">
              <w:rPr>
                <w:rFonts w:ascii="Arial" w:eastAsia="Times New Roman" w:hAnsi="Arial" w:cs="Arial"/>
                <w:b/>
                <w:bCs/>
                <w:sz w:val="16"/>
                <w:szCs w:val="16"/>
                <w:lang w:eastAsia="el-GR"/>
              </w:rPr>
              <w:t>836</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0D508247" w14:textId="30D37D09"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E46EA4">
              <w:rPr>
                <w:rFonts w:ascii="Arial" w:eastAsia="Times New Roman" w:hAnsi="Arial" w:cs="Arial"/>
                <w:sz w:val="16"/>
                <w:szCs w:val="16"/>
                <w:lang w:eastAsia="el-GR"/>
              </w:rPr>
              <w:t>-</w:t>
            </w:r>
            <w:r>
              <w:rPr>
                <w:rFonts w:ascii="Arial" w:eastAsia="Times New Roman" w:hAnsi="Arial" w:cs="Arial"/>
                <w:sz w:val="16"/>
                <w:szCs w:val="16"/>
                <w:lang w:eastAsia="el-GR"/>
              </w:rPr>
              <w:t>6</w:t>
            </w:r>
            <w:r w:rsidRPr="00E46EA4">
              <w:rPr>
                <w:rFonts w:ascii="Arial" w:eastAsia="Times New Roman" w:hAnsi="Arial" w:cs="Arial"/>
                <w:sz w:val="16"/>
                <w:szCs w:val="16"/>
                <w:lang w:eastAsia="el-GR"/>
              </w:rPr>
              <w:t>%</w:t>
            </w:r>
          </w:p>
        </w:tc>
        <w:tc>
          <w:tcPr>
            <w:tcW w:w="96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4A28E32" w14:textId="37633F3C" w:rsidR="00C11977" w:rsidRPr="006B5511" w:rsidRDefault="00C11977" w:rsidP="00C11977">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val="en-US" w:eastAsia="el-GR"/>
              </w:rPr>
            </w:pPr>
            <w:r w:rsidRPr="000B5A97">
              <w:rPr>
                <w:rFonts w:ascii="Arial" w:eastAsia="Times New Roman" w:hAnsi="Arial" w:cs="Arial"/>
                <w:sz w:val="16"/>
                <w:szCs w:val="16"/>
                <w:lang w:eastAsia="el-GR"/>
              </w:rPr>
              <w:t>-1</w:t>
            </w:r>
            <w:r>
              <w:rPr>
                <w:rFonts w:ascii="Arial" w:eastAsia="Times New Roman" w:hAnsi="Arial" w:cs="Arial"/>
                <w:sz w:val="16"/>
                <w:szCs w:val="16"/>
                <w:lang w:eastAsia="el-GR"/>
              </w:rPr>
              <w:t>9</w:t>
            </w:r>
            <w:r w:rsidRPr="000B5A97">
              <w:rPr>
                <w:rFonts w:ascii="Arial" w:eastAsia="Times New Roman" w:hAnsi="Arial" w:cs="Arial"/>
                <w:sz w:val="16"/>
                <w:szCs w:val="16"/>
                <w:lang w:eastAsia="el-GR"/>
              </w:rPr>
              <w:t>%</w:t>
            </w:r>
          </w:p>
        </w:tc>
      </w:tr>
    </w:tbl>
    <w:p w14:paraId="5D0598A5" w14:textId="77777777" w:rsidR="005B1FD5" w:rsidRPr="006B5511" w:rsidRDefault="005B1FD5">
      <w:pPr>
        <w:tabs>
          <w:tab w:val="center" w:pos="4847"/>
        </w:tabs>
        <w:spacing w:after="0" w:line="240" w:lineRule="auto"/>
        <w:rPr>
          <w:rFonts w:ascii="Arial" w:hAnsi="Arial" w:cs="Arial"/>
          <w:color w:val="FF9900"/>
          <w:sz w:val="20"/>
          <w:szCs w:val="20"/>
          <w:highlight w:val="yellow"/>
          <w:lang w:val="el-GR"/>
        </w:rPr>
      </w:pPr>
    </w:p>
    <w:p w14:paraId="55105C71" w14:textId="66E13FA5" w:rsidR="00C22B8E" w:rsidRPr="006B5511" w:rsidRDefault="00C22B8E" w:rsidP="00B043BD">
      <w:pPr>
        <w:tabs>
          <w:tab w:val="center" w:pos="4847"/>
        </w:tabs>
        <w:spacing w:after="0" w:line="240" w:lineRule="auto"/>
        <w:rPr>
          <w:rFonts w:ascii="Arial" w:hAnsi="Arial" w:cs="Arial"/>
          <w:color w:val="FF9900"/>
          <w:sz w:val="20"/>
          <w:szCs w:val="20"/>
          <w:highlight w:val="yellow"/>
          <w:lang w:val="el-GR"/>
        </w:rPr>
      </w:pPr>
    </w:p>
    <w:tbl>
      <w:tblPr>
        <w:tblW w:w="1050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16"/>
        <w:gridCol w:w="1830"/>
        <w:gridCol w:w="1830"/>
        <w:gridCol w:w="1830"/>
      </w:tblGrid>
      <w:tr w:rsidR="000C7701" w:rsidRPr="006B5511" w14:paraId="6315B394" w14:textId="77777777" w:rsidTr="00CB38F0">
        <w:trPr>
          <w:trHeight w:val="292"/>
          <w:jc w:val="center"/>
        </w:trPr>
        <w:tc>
          <w:tcPr>
            <w:tcW w:w="5016" w:type="dxa"/>
            <w:tcBorders>
              <w:top w:val="single" w:sz="4" w:space="0" w:color="808080" w:themeColor="background1" w:themeShade="80"/>
              <w:left w:val="single" w:sz="4" w:space="0" w:color="808080" w:themeColor="background1" w:themeShade="80"/>
              <w:bottom w:val="nil"/>
            </w:tcBorders>
            <w:vAlign w:val="center"/>
          </w:tcPr>
          <w:p w14:paraId="10E9CB2A" w14:textId="083385A6" w:rsidR="000C7701" w:rsidRPr="00CB38F0" w:rsidRDefault="000C7701" w:rsidP="00A21CB9">
            <w:pPr>
              <w:spacing w:before="40" w:after="40" w:line="240" w:lineRule="auto"/>
              <w:rPr>
                <w:rFonts w:ascii="Arial" w:eastAsia="Batang" w:hAnsi="Arial" w:cs="Arial"/>
                <w:b/>
                <w:sz w:val="16"/>
                <w:szCs w:val="18"/>
                <w:lang w:val="el-GR" w:eastAsia="en-US"/>
              </w:rPr>
            </w:pPr>
            <w:r w:rsidRPr="00CB38F0">
              <w:rPr>
                <w:rFonts w:ascii="Arial" w:hAnsi="Arial" w:cs="Arial"/>
                <w:b/>
                <w:bCs/>
                <w:color w:val="FF9900"/>
                <w:sz w:val="24"/>
                <w:szCs w:val="24"/>
                <w:lang w:val="el-GR"/>
              </w:rPr>
              <w:br w:type="page"/>
            </w:r>
            <w:r w:rsidRPr="00CB38F0">
              <w:rPr>
                <w:rFonts w:ascii="Arial" w:eastAsia="Batang" w:hAnsi="Arial" w:cs="Arial"/>
                <w:b/>
                <w:sz w:val="16"/>
                <w:szCs w:val="16"/>
                <w:lang w:val="el-GR" w:eastAsia="en-US"/>
              </w:rPr>
              <w:t>Ανάλυση ανά είδος και χώρα</w:t>
            </w:r>
            <w:r w:rsidR="00655FE1" w:rsidRPr="00CB38F0">
              <w:rPr>
                <w:rFonts w:ascii="Arial" w:eastAsia="Batang" w:hAnsi="Arial" w:cs="Arial"/>
                <w:b/>
                <w:sz w:val="16"/>
                <w:szCs w:val="16"/>
                <w:lang w:val="el-GR" w:eastAsia="en-US"/>
              </w:rPr>
              <w:t xml:space="preserve"> των ανακτηθέντων ακινήτων</w:t>
            </w:r>
          </w:p>
        </w:tc>
        <w:tc>
          <w:tcPr>
            <w:tcW w:w="1830" w:type="dxa"/>
            <w:tcBorders>
              <w:top w:val="single" w:sz="4" w:space="0" w:color="808080" w:themeColor="background1" w:themeShade="80"/>
              <w:bottom w:val="nil"/>
            </w:tcBorders>
            <w:shd w:val="clear" w:color="auto" w:fill="FFFFFF"/>
            <w:vAlign w:val="center"/>
          </w:tcPr>
          <w:p w14:paraId="7423BA5C" w14:textId="77777777" w:rsidR="000C7701" w:rsidRPr="00CB38F0" w:rsidRDefault="000C7701" w:rsidP="00A21CB9">
            <w:pPr>
              <w:tabs>
                <w:tab w:val="left" w:pos="1584"/>
              </w:tabs>
              <w:spacing w:before="40" w:after="40" w:line="240" w:lineRule="auto"/>
              <w:ind w:right="-61"/>
              <w:jc w:val="right"/>
              <w:rPr>
                <w:rFonts w:ascii="Arial" w:eastAsia="Batang" w:hAnsi="Arial" w:cs="Arial"/>
                <w:b/>
                <w:bCs/>
                <w:sz w:val="16"/>
                <w:szCs w:val="18"/>
                <w:lang w:val="el-GR" w:eastAsia="en-US"/>
              </w:rPr>
            </w:pPr>
            <w:r w:rsidRPr="00CB38F0">
              <w:rPr>
                <w:rFonts w:ascii="Arial" w:eastAsia="Batang" w:hAnsi="Arial" w:cs="Arial"/>
                <w:b/>
                <w:bCs/>
                <w:sz w:val="16"/>
                <w:szCs w:val="18"/>
                <w:lang w:val="el-GR" w:eastAsia="en-US"/>
              </w:rPr>
              <w:t>Κύπρος</w:t>
            </w:r>
          </w:p>
        </w:tc>
        <w:tc>
          <w:tcPr>
            <w:tcW w:w="1830" w:type="dxa"/>
            <w:tcBorders>
              <w:top w:val="single" w:sz="4" w:space="0" w:color="808080" w:themeColor="background1" w:themeShade="80"/>
              <w:bottom w:val="nil"/>
            </w:tcBorders>
            <w:shd w:val="clear" w:color="auto" w:fill="FFFFFF"/>
            <w:vAlign w:val="center"/>
          </w:tcPr>
          <w:p w14:paraId="19B163CB" w14:textId="77777777" w:rsidR="000C7701" w:rsidRPr="00CB38F0" w:rsidRDefault="000C7701" w:rsidP="00A21CB9">
            <w:pPr>
              <w:tabs>
                <w:tab w:val="left" w:pos="1584"/>
              </w:tabs>
              <w:spacing w:before="40" w:after="40" w:line="240" w:lineRule="auto"/>
              <w:ind w:right="-61"/>
              <w:jc w:val="right"/>
              <w:rPr>
                <w:rFonts w:ascii="Arial" w:eastAsia="Batang" w:hAnsi="Arial" w:cs="Arial"/>
                <w:b/>
                <w:bCs/>
                <w:sz w:val="16"/>
                <w:szCs w:val="18"/>
                <w:lang w:val="el-GR" w:eastAsia="en-US"/>
              </w:rPr>
            </w:pPr>
            <w:r w:rsidRPr="00CB38F0">
              <w:rPr>
                <w:rFonts w:ascii="Arial" w:eastAsia="Batang" w:hAnsi="Arial" w:cs="Arial"/>
                <w:b/>
                <w:bCs/>
                <w:sz w:val="16"/>
                <w:szCs w:val="18"/>
                <w:lang w:val="el-GR" w:eastAsia="en-US"/>
              </w:rPr>
              <w:t>Ελλάδα</w:t>
            </w:r>
          </w:p>
        </w:tc>
        <w:tc>
          <w:tcPr>
            <w:tcW w:w="1830" w:type="dxa"/>
            <w:tcBorders>
              <w:top w:val="single" w:sz="4" w:space="0" w:color="808080" w:themeColor="background1" w:themeShade="80"/>
              <w:bottom w:val="nil"/>
              <w:right w:val="single" w:sz="4" w:space="0" w:color="808080" w:themeColor="background1" w:themeShade="80"/>
            </w:tcBorders>
            <w:shd w:val="clear" w:color="auto" w:fill="FFFFFF"/>
            <w:vAlign w:val="center"/>
          </w:tcPr>
          <w:p w14:paraId="454E2CB3" w14:textId="77777777" w:rsidR="000C7701" w:rsidRPr="00CB38F0" w:rsidRDefault="000C7701" w:rsidP="00A21CB9">
            <w:pPr>
              <w:tabs>
                <w:tab w:val="left" w:pos="1584"/>
              </w:tabs>
              <w:spacing w:before="40" w:after="40" w:line="240" w:lineRule="auto"/>
              <w:ind w:right="-61"/>
              <w:jc w:val="right"/>
              <w:rPr>
                <w:rFonts w:ascii="Arial" w:eastAsia="Batang" w:hAnsi="Arial" w:cs="Arial"/>
                <w:b/>
                <w:sz w:val="16"/>
                <w:szCs w:val="18"/>
                <w:lang w:val="el-GR" w:eastAsia="en-US"/>
              </w:rPr>
            </w:pPr>
            <w:r w:rsidRPr="00CB38F0">
              <w:rPr>
                <w:rFonts w:ascii="Arial" w:eastAsia="Batang" w:hAnsi="Arial" w:cs="Arial"/>
                <w:b/>
                <w:sz w:val="16"/>
                <w:szCs w:val="18"/>
                <w:lang w:val="el-GR" w:eastAsia="en-US"/>
              </w:rPr>
              <w:t>Σύνολο</w:t>
            </w:r>
          </w:p>
        </w:tc>
      </w:tr>
      <w:tr w:rsidR="000C7701" w:rsidRPr="006B5511" w14:paraId="166FB227" w14:textId="77777777" w:rsidTr="00CB38F0">
        <w:trPr>
          <w:trHeight w:val="292"/>
          <w:jc w:val="center"/>
        </w:trPr>
        <w:tc>
          <w:tcPr>
            <w:tcW w:w="5016" w:type="dxa"/>
            <w:tcBorders>
              <w:top w:val="nil"/>
              <w:left w:val="single" w:sz="4" w:space="0" w:color="808080" w:themeColor="background1" w:themeShade="80"/>
              <w:bottom w:val="single" w:sz="4" w:space="0" w:color="808080" w:themeColor="background1" w:themeShade="80"/>
            </w:tcBorders>
            <w:vAlign w:val="center"/>
          </w:tcPr>
          <w:p w14:paraId="52972BD3" w14:textId="7E0BE2DF" w:rsidR="000C7701" w:rsidRPr="00CB38F0" w:rsidRDefault="007C3129" w:rsidP="00A21CB9">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b/>
                <w:sz w:val="16"/>
                <w:szCs w:val="18"/>
                <w:lang w:eastAsia="en-US"/>
              </w:rPr>
            </w:pPr>
            <w:r w:rsidRPr="00CB38F0">
              <w:rPr>
                <w:rFonts w:ascii="Arial" w:eastAsia="Batang" w:hAnsi="Arial" w:cs="Arial"/>
                <w:b/>
                <w:sz w:val="16"/>
                <w:szCs w:val="16"/>
                <w:lang w:val="el-GR" w:eastAsia="en-US"/>
              </w:rPr>
              <w:t>30 Ιουνίου</w:t>
            </w:r>
            <w:r w:rsidRPr="00CB38F0">
              <w:rPr>
                <w:rFonts w:ascii="Arial" w:eastAsia="Batang" w:hAnsi="Arial" w:cs="Arial"/>
                <w:b/>
                <w:sz w:val="16"/>
                <w:szCs w:val="16"/>
                <w:lang w:eastAsia="en-US"/>
              </w:rPr>
              <w:t xml:space="preserve"> </w:t>
            </w:r>
            <w:r w:rsidR="007F1E2E" w:rsidRPr="00CB38F0">
              <w:rPr>
                <w:rFonts w:ascii="Arial" w:eastAsia="Batang" w:hAnsi="Arial" w:cs="Arial"/>
                <w:b/>
                <w:sz w:val="16"/>
                <w:szCs w:val="16"/>
                <w:lang w:val="el-GR" w:eastAsia="en-US"/>
              </w:rPr>
              <w:t>2024</w:t>
            </w:r>
            <w:r w:rsidR="007F1E2E" w:rsidRPr="00CB38F0">
              <w:rPr>
                <w:rFonts w:ascii="Arial" w:eastAsia="Batang" w:hAnsi="Arial" w:cs="Arial"/>
                <w:b/>
                <w:sz w:val="16"/>
                <w:szCs w:val="16"/>
                <w:lang w:eastAsia="en-US"/>
              </w:rPr>
              <w:t xml:space="preserve"> </w:t>
            </w:r>
            <w:r w:rsidR="000C7701" w:rsidRPr="00CB38F0">
              <w:rPr>
                <w:rFonts w:ascii="Arial" w:eastAsia="Batang" w:hAnsi="Arial" w:cs="Arial"/>
                <w:b/>
                <w:sz w:val="16"/>
                <w:szCs w:val="16"/>
                <w:lang w:eastAsia="en-US"/>
              </w:rPr>
              <w:t xml:space="preserve">(€ </w:t>
            </w:r>
            <w:r w:rsidR="000C7701" w:rsidRPr="00CB38F0">
              <w:rPr>
                <w:rFonts w:ascii="Arial" w:eastAsia="Batang" w:hAnsi="Arial" w:cs="Arial"/>
                <w:b/>
                <w:sz w:val="16"/>
                <w:szCs w:val="16"/>
                <w:lang w:val="el-GR" w:eastAsia="en-US"/>
              </w:rPr>
              <w:t>εκατ</w:t>
            </w:r>
            <w:r w:rsidR="000C7701" w:rsidRPr="00CB38F0">
              <w:rPr>
                <w:rFonts w:ascii="Arial" w:eastAsia="Batang" w:hAnsi="Arial" w:cs="Arial"/>
                <w:b/>
                <w:sz w:val="16"/>
                <w:szCs w:val="16"/>
                <w:lang w:eastAsia="en-US"/>
              </w:rPr>
              <w:t>.)</w:t>
            </w:r>
          </w:p>
        </w:tc>
        <w:tc>
          <w:tcPr>
            <w:tcW w:w="1830" w:type="dxa"/>
            <w:tcBorders>
              <w:top w:val="nil"/>
              <w:bottom w:val="single" w:sz="4" w:space="0" w:color="808080" w:themeColor="background1" w:themeShade="80"/>
            </w:tcBorders>
            <w:vAlign w:val="center"/>
          </w:tcPr>
          <w:p w14:paraId="0C792F8C" w14:textId="77777777" w:rsidR="000C7701" w:rsidRPr="006B5511" w:rsidRDefault="000C7701" w:rsidP="00A21CB9">
            <w:pPr>
              <w:spacing w:before="40" w:after="40" w:line="240" w:lineRule="auto"/>
              <w:jc w:val="right"/>
              <w:rPr>
                <w:rFonts w:ascii="Arial" w:eastAsia="Batang" w:hAnsi="Arial" w:cs="Arial"/>
                <w:b/>
                <w:sz w:val="16"/>
                <w:szCs w:val="18"/>
                <w:highlight w:val="yellow"/>
                <w:lang w:eastAsia="en-US"/>
              </w:rPr>
            </w:pPr>
          </w:p>
        </w:tc>
        <w:tc>
          <w:tcPr>
            <w:tcW w:w="1830" w:type="dxa"/>
            <w:tcBorders>
              <w:top w:val="nil"/>
              <w:bottom w:val="single" w:sz="4" w:space="0" w:color="808080" w:themeColor="background1" w:themeShade="80"/>
            </w:tcBorders>
            <w:vAlign w:val="center"/>
          </w:tcPr>
          <w:p w14:paraId="2021C4EF" w14:textId="77777777" w:rsidR="000C7701" w:rsidRPr="006B5511" w:rsidRDefault="000C7701" w:rsidP="00A21CB9">
            <w:pPr>
              <w:spacing w:before="40" w:after="40" w:line="240" w:lineRule="auto"/>
              <w:jc w:val="right"/>
              <w:rPr>
                <w:rFonts w:ascii="Arial" w:eastAsia="Batang" w:hAnsi="Arial" w:cs="Arial"/>
                <w:b/>
                <w:sz w:val="16"/>
                <w:szCs w:val="18"/>
                <w:highlight w:val="yellow"/>
                <w:lang w:eastAsia="en-US"/>
              </w:rPr>
            </w:pPr>
          </w:p>
        </w:tc>
        <w:tc>
          <w:tcPr>
            <w:tcW w:w="1830" w:type="dxa"/>
            <w:tcBorders>
              <w:top w:val="nil"/>
              <w:bottom w:val="single" w:sz="4" w:space="0" w:color="808080" w:themeColor="background1" w:themeShade="80"/>
              <w:right w:val="single" w:sz="4" w:space="0" w:color="808080" w:themeColor="background1" w:themeShade="80"/>
            </w:tcBorders>
            <w:shd w:val="clear" w:color="auto" w:fill="auto"/>
            <w:vAlign w:val="center"/>
          </w:tcPr>
          <w:p w14:paraId="4A8CCBB5" w14:textId="77777777" w:rsidR="000C7701" w:rsidRPr="006B5511" w:rsidRDefault="000C7701" w:rsidP="00A21CB9">
            <w:pPr>
              <w:spacing w:before="40" w:after="40" w:line="240" w:lineRule="auto"/>
              <w:jc w:val="right"/>
              <w:rPr>
                <w:rFonts w:ascii="Arial" w:eastAsia="Batang" w:hAnsi="Arial" w:cs="Arial"/>
                <w:sz w:val="16"/>
                <w:szCs w:val="18"/>
                <w:highlight w:val="yellow"/>
                <w:lang w:eastAsia="en-US"/>
              </w:rPr>
            </w:pPr>
          </w:p>
        </w:tc>
      </w:tr>
      <w:tr w:rsidR="00C11977" w:rsidRPr="006B5511" w14:paraId="6B4EFFC4" w14:textId="77777777" w:rsidTr="00CB38F0">
        <w:trPr>
          <w:trHeight w:val="292"/>
          <w:jc w:val="center"/>
        </w:trPr>
        <w:tc>
          <w:tcPr>
            <w:tcW w:w="5016" w:type="dxa"/>
            <w:tcBorders>
              <w:top w:val="single" w:sz="4" w:space="0" w:color="808080" w:themeColor="background1" w:themeShade="80"/>
              <w:left w:val="single" w:sz="4" w:space="0" w:color="808080" w:themeColor="background1" w:themeShade="80"/>
            </w:tcBorders>
            <w:vAlign w:val="center"/>
          </w:tcPr>
          <w:p w14:paraId="56123C03" w14:textId="77777777" w:rsidR="00C11977" w:rsidRPr="00CB38F0" w:rsidRDefault="00C11977" w:rsidP="00C11977">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sz w:val="16"/>
                <w:szCs w:val="18"/>
                <w:lang w:eastAsia="en-US"/>
              </w:rPr>
            </w:pPr>
            <w:r w:rsidRPr="00CB38F0">
              <w:rPr>
                <w:rFonts w:ascii="Arial" w:hAnsi="Arial" w:cs="Arial"/>
                <w:sz w:val="16"/>
                <w:szCs w:val="16"/>
                <w:lang w:val="el-GR"/>
              </w:rPr>
              <w:t>Οικιστικά</w:t>
            </w:r>
          </w:p>
        </w:tc>
        <w:tc>
          <w:tcPr>
            <w:tcW w:w="1830" w:type="dxa"/>
            <w:tcBorders>
              <w:top w:val="single" w:sz="4" w:space="0" w:color="808080" w:themeColor="background1" w:themeShade="80"/>
            </w:tcBorders>
            <w:vAlign w:val="center"/>
          </w:tcPr>
          <w:p w14:paraId="149521A0" w14:textId="757DA009" w:rsidR="00C11977" w:rsidRPr="006B5511" w:rsidRDefault="00C11977" w:rsidP="00C11977">
            <w:pPr>
              <w:spacing w:before="40" w:after="40" w:line="240" w:lineRule="auto"/>
              <w:jc w:val="right"/>
              <w:rPr>
                <w:rFonts w:ascii="Arial" w:eastAsia="Batang" w:hAnsi="Arial" w:cs="Arial"/>
                <w:b/>
                <w:sz w:val="16"/>
                <w:szCs w:val="18"/>
                <w:highlight w:val="yellow"/>
                <w:lang w:eastAsia="en-US"/>
              </w:rPr>
            </w:pPr>
            <w:r w:rsidRPr="009E0B70">
              <w:rPr>
                <w:rFonts w:ascii="Arial" w:eastAsia="Batang" w:hAnsi="Arial" w:cs="Arial"/>
                <w:b/>
                <w:sz w:val="16"/>
                <w:szCs w:val="18"/>
                <w:lang w:eastAsia="en-US"/>
              </w:rPr>
              <w:t>50</w:t>
            </w:r>
          </w:p>
        </w:tc>
        <w:tc>
          <w:tcPr>
            <w:tcW w:w="1830" w:type="dxa"/>
            <w:tcBorders>
              <w:top w:val="single" w:sz="4" w:space="0" w:color="808080" w:themeColor="background1" w:themeShade="80"/>
            </w:tcBorders>
            <w:vAlign w:val="center"/>
          </w:tcPr>
          <w:p w14:paraId="3837A522" w14:textId="6F715ECB" w:rsidR="00C11977" w:rsidRPr="006B5511" w:rsidRDefault="00C11977" w:rsidP="00C11977">
            <w:pPr>
              <w:spacing w:before="40" w:after="40" w:line="240" w:lineRule="auto"/>
              <w:jc w:val="right"/>
              <w:rPr>
                <w:rFonts w:ascii="Arial" w:eastAsia="Batang" w:hAnsi="Arial" w:cs="Arial"/>
                <w:b/>
                <w:sz w:val="16"/>
                <w:szCs w:val="18"/>
                <w:highlight w:val="yellow"/>
                <w:lang w:eastAsia="en-US"/>
              </w:rPr>
            </w:pPr>
            <w:r>
              <w:rPr>
                <w:rFonts w:ascii="Arial" w:eastAsia="Batang" w:hAnsi="Arial" w:cs="Arial"/>
                <w:b/>
                <w:sz w:val="16"/>
                <w:szCs w:val="18"/>
                <w:lang w:eastAsia="en-US"/>
              </w:rPr>
              <w:t>9</w:t>
            </w:r>
          </w:p>
        </w:tc>
        <w:tc>
          <w:tcPr>
            <w:tcW w:w="1830" w:type="dxa"/>
            <w:tcBorders>
              <w:top w:val="single" w:sz="4" w:space="0" w:color="808080" w:themeColor="background1" w:themeShade="80"/>
              <w:right w:val="single" w:sz="4" w:space="0" w:color="808080" w:themeColor="background1" w:themeShade="80"/>
            </w:tcBorders>
            <w:shd w:val="clear" w:color="auto" w:fill="auto"/>
            <w:vAlign w:val="center"/>
          </w:tcPr>
          <w:p w14:paraId="49C6D10F" w14:textId="6B4E96BE" w:rsidR="00C11977" w:rsidRPr="006B5511" w:rsidRDefault="00C11977" w:rsidP="00C11977">
            <w:pPr>
              <w:spacing w:before="40" w:after="40" w:line="240" w:lineRule="auto"/>
              <w:jc w:val="right"/>
              <w:rPr>
                <w:rFonts w:ascii="Arial" w:eastAsia="Batang" w:hAnsi="Arial" w:cs="Arial"/>
                <w:b/>
                <w:sz w:val="16"/>
                <w:szCs w:val="18"/>
                <w:highlight w:val="yellow"/>
                <w:lang w:eastAsia="en-US"/>
              </w:rPr>
            </w:pPr>
            <w:r>
              <w:rPr>
                <w:rFonts w:ascii="Arial" w:eastAsia="Batang" w:hAnsi="Arial" w:cs="Arial"/>
                <w:b/>
                <w:sz w:val="16"/>
                <w:szCs w:val="18"/>
                <w:lang w:eastAsia="en-US"/>
              </w:rPr>
              <w:t>59</w:t>
            </w:r>
          </w:p>
        </w:tc>
      </w:tr>
      <w:tr w:rsidR="00C11977" w:rsidRPr="006B5511" w14:paraId="36FAB2DB" w14:textId="77777777" w:rsidTr="00CB38F0">
        <w:trPr>
          <w:trHeight w:val="292"/>
          <w:jc w:val="center"/>
        </w:trPr>
        <w:tc>
          <w:tcPr>
            <w:tcW w:w="5016" w:type="dxa"/>
            <w:tcBorders>
              <w:left w:val="single" w:sz="4" w:space="0" w:color="808080" w:themeColor="background1" w:themeShade="80"/>
            </w:tcBorders>
            <w:vAlign w:val="center"/>
          </w:tcPr>
          <w:p w14:paraId="50B701CE" w14:textId="77777777" w:rsidR="00C11977" w:rsidRPr="00CB38F0" w:rsidRDefault="00C11977" w:rsidP="00C11977">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sz w:val="16"/>
                <w:szCs w:val="18"/>
                <w:lang w:val="el-GR" w:eastAsia="en-US"/>
              </w:rPr>
            </w:pPr>
            <w:r w:rsidRPr="00CB38F0">
              <w:rPr>
                <w:rFonts w:ascii="Arial" w:hAnsi="Arial" w:cs="Arial"/>
                <w:sz w:val="16"/>
                <w:szCs w:val="16"/>
                <w:lang w:val="el-GR"/>
              </w:rPr>
              <w:t>Γραφεία και άλλα εμπορικά ακίνητα</w:t>
            </w:r>
          </w:p>
        </w:tc>
        <w:tc>
          <w:tcPr>
            <w:tcW w:w="1830" w:type="dxa"/>
            <w:vAlign w:val="center"/>
          </w:tcPr>
          <w:p w14:paraId="17CD2291" w14:textId="40F9E0BF" w:rsidR="00C11977" w:rsidRPr="006B5511" w:rsidRDefault="00C11977" w:rsidP="00C11977">
            <w:pPr>
              <w:spacing w:before="40" w:after="40" w:line="240" w:lineRule="auto"/>
              <w:jc w:val="right"/>
              <w:rPr>
                <w:rFonts w:ascii="Arial" w:eastAsia="Batang" w:hAnsi="Arial" w:cs="Arial"/>
                <w:b/>
                <w:sz w:val="16"/>
                <w:szCs w:val="18"/>
                <w:highlight w:val="yellow"/>
                <w:lang w:val="el-GR" w:eastAsia="en-US"/>
              </w:rPr>
            </w:pPr>
            <w:r w:rsidRPr="009E0B70">
              <w:rPr>
                <w:rFonts w:ascii="Arial" w:eastAsia="Batang" w:hAnsi="Arial" w:cs="Arial"/>
                <w:b/>
                <w:sz w:val="16"/>
                <w:szCs w:val="18"/>
                <w:lang w:eastAsia="en-US"/>
              </w:rPr>
              <w:t>105</w:t>
            </w:r>
          </w:p>
        </w:tc>
        <w:tc>
          <w:tcPr>
            <w:tcW w:w="1830" w:type="dxa"/>
            <w:vAlign w:val="center"/>
          </w:tcPr>
          <w:p w14:paraId="33B3C947" w14:textId="4D2FE49D" w:rsidR="00C11977" w:rsidRPr="006B5511" w:rsidRDefault="00C11977" w:rsidP="00C11977">
            <w:pPr>
              <w:spacing w:before="40" w:after="40" w:line="240" w:lineRule="auto"/>
              <w:jc w:val="right"/>
              <w:rPr>
                <w:rFonts w:ascii="Arial" w:eastAsia="Batang" w:hAnsi="Arial" w:cs="Arial"/>
                <w:b/>
                <w:sz w:val="16"/>
                <w:szCs w:val="18"/>
                <w:highlight w:val="yellow"/>
                <w:lang w:val="el-GR" w:eastAsia="en-US"/>
              </w:rPr>
            </w:pPr>
            <w:r w:rsidRPr="009E0B70">
              <w:rPr>
                <w:rFonts w:ascii="Arial" w:eastAsia="Batang" w:hAnsi="Arial" w:cs="Arial"/>
                <w:b/>
                <w:sz w:val="16"/>
                <w:szCs w:val="18"/>
                <w:lang w:eastAsia="en-US"/>
              </w:rPr>
              <w:t>1</w:t>
            </w:r>
            <w:r>
              <w:rPr>
                <w:rFonts w:ascii="Arial" w:eastAsia="Batang" w:hAnsi="Arial" w:cs="Arial"/>
                <w:b/>
                <w:sz w:val="16"/>
                <w:szCs w:val="18"/>
                <w:lang w:eastAsia="en-US"/>
              </w:rPr>
              <w:t>0</w:t>
            </w:r>
          </w:p>
        </w:tc>
        <w:tc>
          <w:tcPr>
            <w:tcW w:w="1830" w:type="dxa"/>
            <w:tcBorders>
              <w:right w:val="single" w:sz="4" w:space="0" w:color="808080" w:themeColor="background1" w:themeShade="80"/>
            </w:tcBorders>
            <w:shd w:val="clear" w:color="auto" w:fill="auto"/>
            <w:vAlign w:val="center"/>
          </w:tcPr>
          <w:p w14:paraId="133D6FE7" w14:textId="41624416" w:rsidR="00C11977" w:rsidRPr="006B5511" w:rsidRDefault="00C11977" w:rsidP="00C11977">
            <w:pPr>
              <w:spacing w:before="40" w:after="40" w:line="240" w:lineRule="auto"/>
              <w:jc w:val="right"/>
              <w:rPr>
                <w:rFonts w:ascii="Arial" w:eastAsia="Batang" w:hAnsi="Arial" w:cs="Arial"/>
                <w:b/>
                <w:sz w:val="16"/>
                <w:szCs w:val="18"/>
                <w:highlight w:val="yellow"/>
                <w:lang w:val="el-GR" w:eastAsia="en-US"/>
              </w:rPr>
            </w:pPr>
            <w:r w:rsidRPr="009E0B70">
              <w:rPr>
                <w:rFonts w:ascii="Arial" w:eastAsia="Batang" w:hAnsi="Arial" w:cs="Arial"/>
                <w:b/>
                <w:sz w:val="16"/>
                <w:szCs w:val="18"/>
                <w:lang w:eastAsia="en-US"/>
              </w:rPr>
              <w:t>11</w:t>
            </w:r>
            <w:r>
              <w:rPr>
                <w:rFonts w:ascii="Arial" w:eastAsia="Batang" w:hAnsi="Arial" w:cs="Arial"/>
                <w:b/>
                <w:sz w:val="16"/>
                <w:szCs w:val="18"/>
                <w:lang w:eastAsia="en-US"/>
              </w:rPr>
              <w:t>5</w:t>
            </w:r>
          </w:p>
        </w:tc>
      </w:tr>
      <w:tr w:rsidR="00C11977" w:rsidRPr="006B5511" w14:paraId="4ADEC374" w14:textId="77777777" w:rsidTr="00CB38F0">
        <w:trPr>
          <w:trHeight w:val="292"/>
          <w:jc w:val="center"/>
        </w:trPr>
        <w:tc>
          <w:tcPr>
            <w:tcW w:w="5016" w:type="dxa"/>
            <w:tcBorders>
              <w:left w:val="single" w:sz="4" w:space="0" w:color="808080" w:themeColor="background1" w:themeShade="80"/>
            </w:tcBorders>
            <w:vAlign w:val="center"/>
          </w:tcPr>
          <w:p w14:paraId="4AAC4F67" w14:textId="77777777" w:rsidR="00C11977" w:rsidRPr="00CB38F0" w:rsidRDefault="00C11977" w:rsidP="00C11977">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sz w:val="16"/>
                <w:szCs w:val="18"/>
                <w:lang w:eastAsia="en-US"/>
              </w:rPr>
            </w:pPr>
            <w:r w:rsidRPr="00CB38F0">
              <w:rPr>
                <w:rFonts w:ascii="Arial" w:hAnsi="Arial" w:cs="Arial"/>
                <w:sz w:val="16"/>
                <w:szCs w:val="16"/>
                <w:lang w:val="el-GR"/>
              </w:rPr>
              <w:t xml:space="preserve">Βιοτεχνίες </w:t>
            </w:r>
            <w:r w:rsidRPr="00CB38F0">
              <w:rPr>
                <w:rFonts w:ascii="Arial" w:hAnsi="Arial" w:cs="Arial"/>
                <w:sz w:val="16"/>
                <w:szCs w:val="16"/>
              </w:rPr>
              <w:t>και βιομηχανίες</w:t>
            </w:r>
          </w:p>
        </w:tc>
        <w:tc>
          <w:tcPr>
            <w:tcW w:w="1830" w:type="dxa"/>
            <w:vAlign w:val="center"/>
          </w:tcPr>
          <w:p w14:paraId="4F6F0612" w14:textId="71DACCCA" w:rsidR="00C11977" w:rsidRPr="006B5511" w:rsidRDefault="00C11977" w:rsidP="00C11977">
            <w:pPr>
              <w:spacing w:before="40" w:after="40" w:line="240" w:lineRule="auto"/>
              <w:jc w:val="right"/>
              <w:rPr>
                <w:rFonts w:ascii="Arial" w:eastAsia="Batang" w:hAnsi="Arial" w:cs="Arial"/>
                <w:b/>
                <w:sz w:val="16"/>
                <w:szCs w:val="18"/>
                <w:highlight w:val="yellow"/>
                <w:lang w:eastAsia="en-US"/>
              </w:rPr>
            </w:pPr>
            <w:r w:rsidRPr="009E0B70">
              <w:rPr>
                <w:rFonts w:ascii="Arial" w:eastAsia="Batang" w:hAnsi="Arial" w:cs="Arial"/>
                <w:b/>
                <w:sz w:val="16"/>
                <w:szCs w:val="18"/>
                <w:lang w:eastAsia="en-US"/>
              </w:rPr>
              <w:t>25</w:t>
            </w:r>
          </w:p>
        </w:tc>
        <w:tc>
          <w:tcPr>
            <w:tcW w:w="1830" w:type="dxa"/>
            <w:vAlign w:val="center"/>
          </w:tcPr>
          <w:p w14:paraId="7148D0B4" w14:textId="71EF688D" w:rsidR="00C11977" w:rsidRPr="006B5511" w:rsidRDefault="00C11977" w:rsidP="00C11977">
            <w:pPr>
              <w:spacing w:before="40" w:after="40" w:line="240" w:lineRule="auto"/>
              <w:jc w:val="right"/>
              <w:rPr>
                <w:rFonts w:ascii="Arial" w:eastAsia="Batang" w:hAnsi="Arial" w:cs="Arial"/>
                <w:b/>
                <w:sz w:val="16"/>
                <w:szCs w:val="18"/>
                <w:highlight w:val="yellow"/>
                <w:lang w:eastAsia="en-US"/>
              </w:rPr>
            </w:pPr>
            <w:r w:rsidRPr="009E0B70">
              <w:rPr>
                <w:rFonts w:ascii="Arial" w:eastAsia="Batang" w:hAnsi="Arial" w:cs="Arial"/>
                <w:b/>
                <w:sz w:val="16"/>
                <w:szCs w:val="18"/>
                <w:lang w:eastAsia="en-US"/>
              </w:rPr>
              <w:t>1</w:t>
            </w:r>
            <w:r>
              <w:rPr>
                <w:rFonts w:ascii="Arial" w:eastAsia="Batang" w:hAnsi="Arial" w:cs="Arial"/>
                <w:b/>
                <w:sz w:val="16"/>
                <w:szCs w:val="18"/>
                <w:lang w:eastAsia="en-US"/>
              </w:rPr>
              <w:t>3</w:t>
            </w:r>
          </w:p>
        </w:tc>
        <w:tc>
          <w:tcPr>
            <w:tcW w:w="1830" w:type="dxa"/>
            <w:tcBorders>
              <w:right w:val="single" w:sz="4" w:space="0" w:color="808080" w:themeColor="background1" w:themeShade="80"/>
            </w:tcBorders>
            <w:shd w:val="clear" w:color="auto" w:fill="auto"/>
            <w:vAlign w:val="center"/>
          </w:tcPr>
          <w:p w14:paraId="117B8660" w14:textId="088ADD24" w:rsidR="00C11977" w:rsidRPr="006B5511" w:rsidRDefault="00C11977" w:rsidP="00C11977">
            <w:pPr>
              <w:spacing w:before="40" w:after="40" w:line="240" w:lineRule="auto"/>
              <w:jc w:val="right"/>
              <w:rPr>
                <w:rFonts w:ascii="Arial" w:eastAsia="Batang" w:hAnsi="Arial" w:cs="Arial"/>
                <w:b/>
                <w:sz w:val="16"/>
                <w:szCs w:val="18"/>
                <w:highlight w:val="yellow"/>
                <w:lang w:eastAsia="en-US"/>
              </w:rPr>
            </w:pPr>
            <w:r w:rsidRPr="009E0B70">
              <w:rPr>
                <w:rFonts w:ascii="Arial" w:eastAsia="Batang" w:hAnsi="Arial" w:cs="Arial"/>
                <w:b/>
                <w:sz w:val="16"/>
                <w:szCs w:val="18"/>
                <w:lang w:eastAsia="en-US"/>
              </w:rPr>
              <w:t>3</w:t>
            </w:r>
            <w:r>
              <w:rPr>
                <w:rFonts w:ascii="Arial" w:eastAsia="Batang" w:hAnsi="Arial" w:cs="Arial"/>
                <w:b/>
                <w:sz w:val="16"/>
                <w:szCs w:val="18"/>
                <w:lang w:eastAsia="en-US"/>
              </w:rPr>
              <w:t>8</w:t>
            </w:r>
          </w:p>
        </w:tc>
      </w:tr>
      <w:tr w:rsidR="00C11977" w:rsidRPr="006B5511" w14:paraId="302AB173" w14:textId="77777777" w:rsidTr="00CB38F0">
        <w:trPr>
          <w:trHeight w:val="292"/>
          <w:jc w:val="center"/>
        </w:trPr>
        <w:tc>
          <w:tcPr>
            <w:tcW w:w="5016" w:type="dxa"/>
            <w:tcBorders>
              <w:left w:val="single" w:sz="4" w:space="0" w:color="808080" w:themeColor="background1" w:themeShade="80"/>
            </w:tcBorders>
            <w:vAlign w:val="center"/>
          </w:tcPr>
          <w:p w14:paraId="5EFD03EB" w14:textId="77777777" w:rsidR="00C11977" w:rsidRPr="00CB38F0" w:rsidRDefault="00C11977" w:rsidP="00C11977">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sz w:val="16"/>
                <w:szCs w:val="18"/>
                <w:lang w:eastAsia="en-US"/>
              </w:rPr>
            </w:pPr>
            <w:r w:rsidRPr="00CB38F0">
              <w:rPr>
                <w:rFonts w:ascii="Arial" w:hAnsi="Arial" w:cs="Arial"/>
                <w:sz w:val="16"/>
                <w:szCs w:val="16"/>
              </w:rPr>
              <w:t>Ξενοδοχεία</w:t>
            </w:r>
          </w:p>
        </w:tc>
        <w:tc>
          <w:tcPr>
            <w:tcW w:w="1830" w:type="dxa"/>
            <w:vAlign w:val="center"/>
          </w:tcPr>
          <w:p w14:paraId="2B8C32DA" w14:textId="5252618E" w:rsidR="00C11977" w:rsidRPr="006B5511" w:rsidRDefault="00C11977" w:rsidP="00C11977">
            <w:pPr>
              <w:spacing w:before="40" w:after="40" w:line="240" w:lineRule="auto"/>
              <w:jc w:val="right"/>
              <w:rPr>
                <w:rFonts w:ascii="Arial" w:eastAsia="Batang" w:hAnsi="Arial" w:cs="Arial"/>
                <w:b/>
                <w:sz w:val="16"/>
                <w:szCs w:val="18"/>
                <w:highlight w:val="yellow"/>
                <w:lang w:eastAsia="en-US"/>
              </w:rPr>
            </w:pPr>
            <w:r w:rsidRPr="009E0B70">
              <w:rPr>
                <w:rFonts w:ascii="Arial" w:eastAsia="Batang" w:hAnsi="Arial" w:cs="Arial"/>
                <w:b/>
                <w:sz w:val="16"/>
                <w:szCs w:val="18"/>
                <w:lang w:eastAsia="en-US"/>
              </w:rPr>
              <w:t>13</w:t>
            </w:r>
          </w:p>
        </w:tc>
        <w:tc>
          <w:tcPr>
            <w:tcW w:w="1830" w:type="dxa"/>
            <w:vAlign w:val="center"/>
          </w:tcPr>
          <w:p w14:paraId="3C879EED" w14:textId="3D755642" w:rsidR="00C11977" w:rsidRPr="006B5511" w:rsidRDefault="00C11977" w:rsidP="00C11977">
            <w:pPr>
              <w:spacing w:before="40" w:after="40" w:line="240" w:lineRule="auto"/>
              <w:jc w:val="right"/>
              <w:rPr>
                <w:rFonts w:ascii="Arial" w:eastAsia="Batang" w:hAnsi="Arial" w:cs="Arial"/>
                <w:b/>
                <w:sz w:val="16"/>
                <w:szCs w:val="18"/>
                <w:highlight w:val="yellow"/>
                <w:lang w:eastAsia="en-US"/>
              </w:rPr>
            </w:pPr>
            <w:r w:rsidRPr="009E0B70">
              <w:rPr>
                <w:rFonts w:ascii="Arial" w:eastAsia="Batang" w:hAnsi="Arial" w:cs="Arial"/>
                <w:b/>
                <w:sz w:val="16"/>
                <w:szCs w:val="18"/>
                <w:lang w:eastAsia="en-US"/>
              </w:rPr>
              <w:t>0</w:t>
            </w:r>
          </w:p>
        </w:tc>
        <w:tc>
          <w:tcPr>
            <w:tcW w:w="1830" w:type="dxa"/>
            <w:tcBorders>
              <w:right w:val="single" w:sz="4" w:space="0" w:color="808080" w:themeColor="background1" w:themeShade="80"/>
            </w:tcBorders>
            <w:shd w:val="clear" w:color="auto" w:fill="auto"/>
            <w:vAlign w:val="center"/>
          </w:tcPr>
          <w:p w14:paraId="39E8B9BF" w14:textId="597AFB5D" w:rsidR="00C11977" w:rsidRPr="006B5511" w:rsidRDefault="00C11977" w:rsidP="00C11977">
            <w:pPr>
              <w:spacing w:before="40" w:after="40" w:line="240" w:lineRule="auto"/>
              <w:jc w:val="right"/>
              <w:rPr>
                <w:rFonts w:ascii="Arial" w:eastAsia="Batang" w:hAnsi="Arial" w:cs="Arial"/>
                <w:b/>
                <w:sz w:val="16"/>
                <w:szCs w:val="18"/>
                <w:highlight w:val="yellow"/>
                <w:lang w:eastAsia="en-US"/>
              </w:rPr>
            </w:pPr>
            <w:r w:rsidRPr="009E0B70">
              <w:rPr>
                <w:rFonts w:ascii="Arial" w:eastAsia="Batang" w:hAnsi="Arial" w:cs="Arial"/>
                <w:b/>
                <w:sz w:val="16"/>
                <w:szCs w:val="18"/>
                <w:lang w:eastAsia="en-US"/>
              </w:rPr>
              <w:t>13</w:t>
            </w:r>
          </w:p>
        </w:tc>
      </w:tr>
      <w:tr w:rsidR="00C11977" w:rsidRPr="006B5511" w14:paraId="1B6B15D4" w14:textId="77777777" w:rsidTr="00CB38F0">
        <w:trPr>
          <w:trHeight w:val="292"/>
          <w:jc w:val="center"/>
        </w:trPr>
        <w:tc>
          <w:tcPr>
            <w:tcW w:w="5016" w:type="dxa"/>
            <w:tcBorders>
              <w:left w:val="single" w:sz="4" w:space="0" w:color="808080" w:themeColor="background1" w:themeShade="80"/>
            </w:tcBorders>
            <w:vAlign w:val="center"/>
          </w:tcPr>
          <w:p w14:paraId="70E6532E" w14:textId="77777777" w:rsidR="00C11977" w:rsidRPr="00CB38F0" w:rsidRDefault="00C11977" w:rsidP="00C11977">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sz w:val="16"/>
                <w:szCs w:val="18"/>
                <w:lang w:eastAsia="en-US"/>
              </w:rPr>
            </w:pPr>
            <w:r w:rsidRPr="00CB38F0">
              <w:rPr>
                <w:rFonts w:ascii="Arial" w:hAnsi="Arial" w:cs="Arial"/>
                <w:sz w:val="16"/>
                <w:szCs w:val="16"/>
              </w:rPr>
              <w:t>Γη (οικόπεδα και αγροτεμάχια)</w:t>
            </w:r>
          </w:p>
        </w:tc>
        <w:tc>
          <w:tcPr>
            <w:tcW w:w="1830" w:type="dxa"/>
            <w:vAlign w:val="center"/>
          </w:tcPr>
          <w:p w14:paraId="4F11F3B6" w14:textId="5E0A135F" w:rsidR="00C11977" w:rsidRPr="006B5511" w:rsidRDefault="00C11977" w:rsidP="00C11977">
            <w:pPr>
              <w:spacing w:before="40" w:after="40" w:line="240" w:lineRule="auto"/>
              <w:jc w:val="right"/>
              <w:rPr>
                <w:rFonts w:ascii="Arial" w:eastAsia="Batang" w:hAnsi="Arial" w:cs="Arial"/>
                <w:b/>
                <w:sz w:val="16"/>
                <w:szCs w:val="18"/>
                <w:highlight w:val="yellow"/>
                <w:lang w:eastAsia="en-US"/>
              </w:rPr>
            </w:pPr>
            <w:r w:rsidRPr="009E0B70">
              <w:rPr>
                <w:rFonts w:ascii="Arial" w:eastAsia="Batang" w:hAnsi="Arial" w:cs="Arial"/>
                <w:b/>
                <w:sz w:val="16"/>
                <w:szCs w:val="18"/>
                <w:lang w:eastAsia="en-US"/>
              </w:rPr>
              <w:t>365</w:t>
            </w:r>
          </w:p>
        </w:tc>
        <w:tc>
          <w:tcPr>
            <w:tcW w:w="1830" w:type="dxa"/>
            <w:vAlign w:val="center"/>
          </w:tcPr>
          <w:p w14:paraId="7EBF6B73" w14:textId="439615A1" w:rsidR="00C11977" w:rsidRPr="006B5511" w:rsidRDefault="00C11977" w:rsidP="00C11977">
            <w:pPr>
              <w:spacing w:before="40" w:after="40" w:line="240" w:lineRule="auto"/>
              <w:jc w:val="right"/>
              <w:rPr>
                <w:rFonts w:ascii="Arial" w:eastAsia="Batang" w:hAnsi="Arial" w:cs="Arial"/>
                <w:b/>
                <w:sz w:val="16"/>
                <w:szCs w:val="18"/>
                <w:highlight w:val="yellow"/>
                <w:lang w:eastAsia="en-US"/>
              </w:rPr>
            </w:pPr>
            <w:r>
              <w:rPr>
                <w:rFonts w:ascii="Arial" w:eastAsia="Batang" w:hAnsi="Arial" w:cs="Arial"/>
                <w:b/>
                <w:sz w:val="16"/>
                <w:szCs w:val="18"/>
                <w:lang w:eastAsia="en-US"/>
              </w:rPr>
              <w:t>3</w:t>
            </w:r>
          </w:p>
        </w:tc>
        <w:tc>
          <w:tcPr>
            <w:tcW w:w="1830" w:type="dxa"/>
            <w:tcBorders>
              <w:right w:val="single" w:sz="4" w:space="0" w:color="808080" w:themeColor="background1" w:themeShade="80"/>
            </w:tcBorders>
            <w:shd w:val="clear" w:color="auto" w:fill="auto"/>
            <w:vAlign w:val="center"/>
          </w:tcPr>
          <w:p w14:paraId="108A0EEB" w14:textId="6FC88D77" w:rsidR="00C11977" w:rsidRPr="006B5511" w:rsidRDefault="00C11977" w:rsidP="00C11977">
            <w:pPr>
              <w:spacing w:before="40" w:after="40" w:line="240" w:lineRule="auto"/>
              <w:jc w:val="right"/>
              <w:rPr>
                <w:rFonts w:ascii="Arial" w:eastAsia="Batang" w:hAnsi="Arial" w:cs="Arial"/>
                <w:b/>
                <w:sz w:val="16"/>
                <w:szCs w:val="18"/>
                <w:highlight w:val="yellow"/>
                <w:lang w:eastAsia="en-US"/>
              </w:rPr>
            </w:pPr>
            <w:r w:rsidRPr="009E0B70">
              <w:rPr>
                <w:rFonts w:ascii="Arial" w:eastAsia="Batang" w:hAnsi="Arial" w:cs="Arial"/>
                <w:b/>
                <w:sz w:val="16"/>
                <w:szCs w:val="18"/>
                <w:lang w:eastAsia="en-US"/>
              </w:rPr>
              <w:t>36</w:t>
            </w:r>
            <w:r>
              <w:rPr>
                <w:rFonts w:ascii="Arial" w:eastAsia="Batang" w:hAnsi="Arial" w:cs="Arial"/>
                <w:b/>
                <w:sz w:val="16"/>
                <w:szCs w:val="18"/>
                <w:lang w:eastAsia="en-US"/>
              </w:rPr>
              <w:t>8</w:t>
            </w:r>
          </w:p>
        </w:tc>
      </w:tr>
      <w:tr w:rsidR="00C11977" w:rsidRPr="006B5511" w14:paraId="1EA8B198" w14:textId="77777777" w:rsidTr="00CB38F0">
        <w:trPr>
          <w:trHeight w:val="292"/>
          <w:jc w:val="center"/>
        </w:trPr>
        <w:tc>
          <w:tcPr>
            <w:tcW w:w="5016" w:type="dxa"/>
            <w:tcBorders>
              <w:left w:val="single" w:sz="4" w:space="0" w:color="808080" w:themeColor="background1" w:themeShade="80"/>
            </w:tcBorders>
            <w:vAlign w:val="center"/>
          </w:tcPr>
          <w:p w14:paraId="7631324A" w14:textId="77777777" w:rsidR="00C11977" w:rsidRPr="00CB38F0" w:rsidRDefault="00C11977" w:rsidP="00C11977">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sz w:val="16"/>
                <w:szCs w:val="18"/>
                <w:lang w:val="el-GR" w:eastAsia="en-US"/>
              </w:rPr>
            </w:pPr>
            <w:r w:rsidRPr="00CB38F0">
              <w:rPr>
                <w:rFonts w:ascii="Arial" w:hAnsi="Arial" w:cs="Arial"/>
                <w:sz w:val="16"/>
                <w:szCs w:val="16"/>
                <w:lang w:val="el-GR"/>
              </w:rPr>
              <w:t>Γήπεδα γκολφ και ακίνητα σχετικά με γκολφ</w:t>
            </w:r>
          </w:p>
        </w:tc>
        <w:tc>
          <w:tcPr>
            <w:tcW w:w="1830" w:type="dxa"/>
            <w:vAlign w:val="center"/>
          </w:tcPr>
          <w:p w14:paraId="58633DA3" w14:textId="7BE7EF1C" w:rsidR="00C11977" w:rsidRPr="006B5511" w:rsidRDefault="00C11977" w:rsidP="00C11977">
            <w:pPr>
              <w:spacing w:before="40" w:after="40" w:line="240" w:lineRule="auto"/>
              <w:jc w:val="right"/>
              <w:rPr>
                <w:rFonts w:ascii="Arial" w:hAnsi="Arial" w:cs="Arial"/>
                <w:b/>
                <w:bCs/>
                <w:sz w:val="16"/>
                <w:szCs w:val="18"/>
                <w:highlight w:val="yellow"/>
                <w:lang w:val="el-GR"/>
              </w:rPr>
            </w:pPr>
            <w:r w:rsidRPr="009E0B70">
              <w:rPr>
                <w:rFonts w:ascii="Arial" w:hAnsi="Arial" w:cs="Arial"/>
                <w:b/>
                <w:bCs/>
                <w:sz w:val="16"/>
                <w:szCs w:val="18"/>
              </w:rPr>
              <w:t>197</w:t>
            </w:r>
          </w:p>
        </w:tc>
        <w:tc>
          <w:tcPr>
            <w:tcW w:w="1830" w:type="dxa"/>
            <w:vAlign w:val="center"/>
          </w:tcPr>
          <w:p w14:paraId="724080AF" w14:textId="0BCD0022" w:rsidR="00C11977" w:rsidRPr="006B5511" w:rsidRDefault="00C11977" w:rsidP="00C11977">
            <w:pPr>
              <w:spacing w:before="40" w:after="40" w:line="240" w:lineRule="auto"/>
              <w:jc w:val="right"/>
              <w:rPr>
                <w:rFonts w:ascii="Arial" w:eastAsia="Batang" w:hAnsi="Arial" w:cs="Arial"/>
                <w:b/>
                <w:sz w:val="16"/>
                <w:szCs w:val="18"/>
                <w:highlight w:val="yellow"/>
                <w:lang w:val="el-GR" w:eastAsia="en-US"/>
              </w:rPr>
            </w:pPr>
            <w:r w:rsidRPr="009E0B70">
              <w:rPr>
                <w:rFonts w:ascii="Arial" w:eastAsia="Batang" w:hAnsi="Arial" w:cs="Arial"/>
                <w:b/>
                <w:sz w:val="16"/>
                <w:szCs w:val="18"/>
                <w:lang w:eastAsia="en-US"/>
              </w:rPr>
              <w:t>0</w:t>
            </w:r>
          </w:p>
        </w:tc>
        <w:tc>
          <w:tcPr>
            <w:tcW w:w="1830" w:type="dxa"/>
            <w:tcBorders>
              <w:right w:val="single" w:sz="4" w:space="0" w:color="808080" w:themeColor="background1" w:themeShade="80"/>
            </w:tcBorders>
            <w:shd w:val="clear" w:color="auto" w:fill="auto"/>
            <w:vAlign w:val="center"/>
          </w:tcPr>
          <w:p w14:paraId="2F95BE0C" w14:textId="528ACEAC" w:rsidR="00C11977" w:rsidRPr="006B5511" w:rsidRDefault="00C11977" w:rsidP="00C11977">
            <w:pPr>
              <w:spacing w:before="40" w:after="40" w:line="240" w:lineRule="auto"/>
              <w:jc w:val="right"/>
              <w:rPr>
                <w:rFonts w:ascii="Arial" w:eastAsia="Batang" w:hAnsi="Arial" w:cs="Arial"/>
                <w:b/>
                <w:sz w:val="16"/>
                <w:szCs w:val="18"/>
                <w:highlight w:val="yellow"/>
                <w:lang w:val="el-GR" w:eastAsia="en-US"/>
              </w:rPr>
            </w:pPr>
            <w:r w:rsidRPr="009E0B70">
              <w:rPr>
                <w:rFonts w:ascii="Arial" w:eastAsia="Batang" w:hAnsi="Arial" w:cs="Arial"/>
                <w:b/>
                <w:sz w:val="16"/>
                <w:szCs w:val="18"/>
                <w:lang w:eastAsia="en-US"/>
              </w:rPr>
              <w:t>197</w:t>
            </w:r>
          </w:p>
        </w:tc>
      </w:tr>
      <w:tr w:rsidR="00C11977" w:rsidRPr="006B5511" w14:paraId="7865A58E" w14:textId="77777777" w:rsidTr="00CB38F0">
        <w:trPr>
          <w:trHeight w:val="292"/>
          <w:jc w:val="center"/>
        </w:trPr>
        <w:tc>
          <w:tcPr>
            <w:tcW w:w="5016"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48B1E8E3" w14:textId="77777777" w:rsidR="00C11977" w:rsidRPr="00CB38F0" w:rsidRDefault="00C11977" w:rsidP="00C11977">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b/>
                <w:sz w:val="16"/>
                <w:szCs w:val="18"/>
                <w:lang w:eastAsia="en-US"/>
              </w:rPr>
            </w:pPr>
            <w:r w:rsidRPr="00CB38F0">
              <w:rPr>
                <w:rFonts w:ascii="Arial" w:eastAsia="Batang" w:hAnsi="Arial" w:cs="Arial"/>
                <w:b/>
                <w:sz w:val="16"/>
                <w:szCs w:val="16"/>
                <w:lang w:val="el-GR" w:eastAsia="en-US"/>
              </w:rPr>
              <w:t>Σύνολο</w:t>
            </w:r>
            <w:r w:rsidRPr="00CB38F0">
              <w:rPr>
                <w:rFonts w:ascii="Arial" w:eastAsia="Batang" w:hAnsi="Arial" w:cs="Arial"/>
                <w:b/>
                <w:sz w:val="16"/>
                <w:szCs w:val="16"/>
                <w:lang w:eastAsia="en-US"/>
              </w:rPr>
              <w:t xml:space="preserve"> </w:t>
            </w:r>
          </w:p>
        </w:tc>
        <w:tc>
          <w:tcPr>
            <w:tcW w:w="1830" w:type="dxa"/>
            <w:tcBorders>
              <w:top w:val="single" w:sz="4" w:space="0" w:color="808080" w:themeColor="background1" w:themeShade="80"/>
              <w:bottom w:val="single" w:sz="4" w:space="0" w:color="808080" w:themeColor="background1" w:themeShade="80"/>
            </w:tcBorders>
            <w:vAlign w:val="center"/>
          </w:tcPr>
          <w:p w14:paraId="6C40300B" w14:textId="322790C6" w:rsidR="00C11977" w:rsidRPr="006B5511" w:rsidRDefault="00C11977" w:rsidP="00C11977">
            <w:pPr>
              <w:spacing w:before="40" w:after="40" w:line="240" w:lineRule="auto"/>
              <w:jc w:val="right"/>
              <w:rPr>
                <w:rFonts w:ascii="Arial" w:eastAsia="Batang" w:hAnsi="Arial" w:cs="Arial"/>
                <w:b/>
                <w:sz w:val="16"/>
                <w:szCs w:val="18"/>
                <w:highlight w:val="yellow"/>
                <w:lang w:eastAsia="en-US"/>
              </w:rPr>
            </w:pPr>
            <w:r w:rsidRPr="009E0B70">
              <w:rPr>
                <w:rFonts w:ascii="Arial" w:eastAsia="Batang" w:hAnsi="Arial" w:cs="Arial"/>
                <w:b/>
                <w:sz w:val="16"/>
                <w:szCs w:val="18"/>
                <w:lang w:eastAsia="en-US"/>
              </w:rPr>
              <w:t>755</w:t>
            </w:r>
          </w:p>
        </w:tc>
        <w:tc>
          <w:tcPr>
            <w:tcW w:w="1830" w:type="dxa"/>
            <w:tcBorders>
              <w:top w:val="single" w:sz="4" w:space="0" w:color="808080" w:themeColor="background1" w:themeShade="80"/>
              <w:bottom w:val="single" w:sz="4" w:space="0" w:color="808080" w:themeColor="background1" w:themeShade="80"/>
            </w:tcBorders>
            <w:vAlign w:val="center"/>
          </w:tcPr>
          <w:p w14:paraId="757FFF31" w14:textId="32E9D22C" w:rsidR="00C11977" w:rsidRPr="006B5511" w:rsidRDefault="00C11977" w:rsidP="00C11977">
            <w:pPr>
              <w:spacing w:before="40" w:after="40" w:line="240" w:lineRule="auto"/>
              <w:jc w:val="right"/>
              <w:rPr>
                <w:rFonts w:ascii="Arial" w:eastAsia="Batang" w:hAnsi="Arial" w:cs="Arial"/>
                <w:b/>
                <w:sz w:val="16"/>
                <w:szCs w:val="18"/>
                <w:highlight w:val="yellow"/>
                <w:lang w:eastAsia="en-US"/>
              </w:rPr>
            </w:pPr>
            <w:r>
              <w:rPr>
                <w:rFonts w:ascii="Arial" w:eastAsia="Batang" w:hAnsi="Arial" w:cs="Arial"/>
                <w:b/>
                <w:sz w:val="16"/>
                <w:szCs w:val="18"/>
                <w:lang w:eastAsia="en-US"/>
              </w:rPr>
              <w:t>35</w:t>
            </w:r>
          </w:p>
        </w:tc>
        <w:tc>
          <w:tcPr>
            <w:tcW w:w="1830"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A6DFBE7" w14:textId="4F30BE72" w:rsidR="00C11977" w:rsidRPr="006B5511" w:rsidRDefault="00C11977" w:rsidP="00C11977">
            <w:pPr>
              <w:spacing w:before="40" w:after="40" w:line="240" w:lineRule="auto"/>
              <w:jc w:val="right"/>
              <w:rPr>
                <w:rFonts w:ascii="Arial" w:eastAsia="Batang" w:hAnsi="Arial" w:cs="Arial"/>
                <w:b/>
                <w:sz w:val="16"/>
                <w:szCs w:val="18"/>
                <w:highlight w:val="yellow"/>
                <w:lang w:eastAsia="en-US"/>
              </w:rPr>
            </w:pPr>
            <w:r w:rsidRPr="009E0B70">
              <w:rPr>
                <w:rFonts w:ascii="Arial" w:eastAsia="Batang" w:hAnsi="Arial" w:cs="Arial"/>
                <w:b/>
                <w:sz w:val="16"/>
                <w:szCs w:val="18"/>
                <w:lang w:eastAsia="en-US"/>
              </w:rPr>
              <w:t>79</w:t>
            </w:r>
            <w:r>
              <w:rPr>
                <w:rFonts w:ascii="Arial" w:eastAsia="Batang" w:hAnsi="Arial" w:cs="Arial"/>
                <w:b/>
                <w:sz w:val="16"/>
                <w:szCs w:val="18"/>
                <w:lang w:eastAsia="en-US"/>
              </w:rPr>
              <w:t>0</w:t>
            </w:r>
          </w:p>
        </w:tc>
      </w:tr>
    </w:tbl>
    <w:p w14:paraId="6E8D3437" w14:textId="77777777" w:rsidR="000C7701" w:rsidRPr="006B5511" w:rsidRDefault="000C7701" w:rsidP="000C7701">
      <w:pPr>
        <w:spacing w:after="0" w:line="240" w:lineRule="auto"/>
        <w:rPr>
          <w:rFonts w:ascii="Arial" w:hAnsi="Arial" w:cs="Arial"/>
          <w:color w:val="FF9900"/>
          <w:sz w:val="20"/>
          <w:szCs w:val="20"/>
          <w:highlight w:val="yellow"/>
          <w:lang w:val="el-GR"/>
        </w:rPr>
      </w:pPr>
    </w:p>
    <w:tbl>
      <w:tblPr>
        <w:tblW w:w="1053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85"/>
        <w:gridCol w:w="1816"/>
        <w:gridCol w:w="1815"/>
        <w:gridCol w:w="1815"/>
      </w:tblGrid>
      <w:tr w:rsidR="000C7701" w:rsidRPr="00A05299" w14:paraId="1F4FAD67" w14:textId="77777777" w:rsidTr="00CB38F0">
        <w:trPr>
          <w:trHeight w:val="360"/>
          <w:jc w:val="center"/>
        </w:trPr>
        <w:tc>
          <w:tcPr>
            <w:tcW w:w="5085" w:type="dxa"/>
            <w:tcBorders>
              <w:top w:val="single" w:sz="4" w:space="0" w:color="808080" w:themeColor="background1" w:themeShade="80"/>
              <w:left w:val="single" w:sz="4" w:space="0" w:color="808080" w:themeColor="background1" w:themeShade="80"/>
              <w:bottom w:val="nil"/>
            </w:tcBorders>
            <w:vAlign w:val="center"/>
          </w:tcPr>
          <w:p w14:paraId="3A191718" w14:textId="77777777" w:rsidR="000C7701" w:rsidRPr="00CB38F0" w:rsidRDefault="000C7701" w:rsidP="00A21CB9">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b/>
                <w:sz w:val="16"/>
                <w:szCs w:val="18"/>
                <w:lang w:eastAsia="en-US"/>
              </w:rPr>
            </w:pPr>
          </w:p>
        </w:tc>
        <w:tc>
          <w:tcPr>
            <w:tcW w:w="1816" w:type="dxa"/>
            <w:tcBorders>
              <w:top w:val="single" w:sz="4" w:space="0" w:color="808080" w:themeColor="background1" w:themeShade="80"/>
              <w:bottom w:val="nil"/>
            </w:tcBorders>
            <w:vAlign w:val="center"/>
          </w:tcPr>
          <w:p w14:paraId="6F97C9F5" w14:textId="77777777" w:rsidR="000C7701" w:rsidRPr="00CB38F0" w:rsidRDefault="000C7701" w:rsidP="00A21CB9">
            <w:pPr>
              <w:spacing w:before="40" w:after="40" w:line="240" w:lineRule="auto"/>
              <w:jc w:val="right"/>
              <w:rPr>
                <w:rFonts w:ascii="Arial" w:eastAsia="Batang" w:hAnsi="Arial" w:cs="Arial"/>
                <w:b/>
                <w:bCs/>
                <w:sz w:val="16"/>
                <w:szCs w:val="18"/>
                <w:lang w:eastAsia="en-US"/>
              </w:rPr>
            </w:pPr>
            <w:r w:rsidRPr="00CB38F0">
              <w:rPr>
                <w:rFonts w:ascii="Arial" w:eastAsia="Batang" w:hAnsi="Arial" w:cs="Arial"/>
                <w:b/>
                <w:bCs/>
                <w:sz w:val="16"/>
                <w:szCs w:val="18"/>
                <w:lang w:val="el-GR" w:eastAsia="en-US"/>
              </w:rPr>
              <w:t>Κύπρος</w:t>
            </w:r>
          </w:p>
        </w:tc>
        <w:tc>
          <w:tcPr>
            <w:tcW w:w="1815" w:type="dxa"/>
            <w:tcBorders>
              <w:top w:val="single" w:sz="4" w:space="0" w:color="808080" w:themeColor="background1" w:themeShade="80"/>
              <w:bottom w:val="nil"/>
            </w:tcBorders>
            <w:vAlign w:val="center"/>
          </w:tcPr>
          <w:p w14:paraId="2D2BBED5" w14:textId="77777777" w:rsidR="000C7701" w:rsidRPr="00CB38F0" w:rsidRDefault="000C7701" w:rsidP="00A21CB9">
            <w:pPr>
              <w:spacing w:before="40" w:after="40" w:line="240" w:lineRule="auto"/>
              <w:jc w:val="right"/>
              <w:rPr>
                <w:rFonts w:ascii="Arial" w:eastAsia="Batang" w:hAnsi="Arial" w:cs="Arial"/>
                <w:b/>
                <w:bCs/>
                <w:sz w:val="16"/>
                <w:szCs w:val="18"/>
                <w:lang w:eastAsia="en-US"/>
              </w:rPr>
            </w:pPr>
            <w:r w:rsidRPr="00CB38F0">
              <w:rPr>
                <w:rFonts w:ascii="Arial" w:eastAsia="Batang" w:hAnsi="Arial" w:cs="Arial"/>
                <w:b/>
                <w:bCs/>
                <w:sz w:val="16"/>
                <w:szCs w:val="18"/>
                <w:lang w:val="el-GR" w:eastAsia="en-US"/>
              </w:rPr>
              <w:t>Ελλάδα</w:t>
            </w:r>
          </w:p>
        </w:tc>
        <w:tc>
          <w:tcPr>
            <w:tcW w:w="1815" w:type="dxa"/>
            <w:tcBorders>
              <w:top w:val="single" w:sz="4" w:space="0" w:color="808080" w:themeColor="background1" w:themeShade="80"/>
              <w:bottom w:val="nil"/>
              <w:right w:val="single" w:sz="4" w:space="0" w:color="808080" w:themeColor="background1" w:themeShade="80"/>
            </w:tcBorders>
            <w:shd w:val="clear" w:color="auto" w:fill="auto"/>
            <w:vAlign w:val="center"/>
          </w:tcPr>
          <w:p w14:paraId="0244AA8E" w14:textId="77777777" w:rsidR="000C7701" w:rsidRPr="00CB38F0" w:rsidRDefault="000C7701" w:rsidP="00A21CB9">
            <w:pPr>
              <w:spacing w:before="40" w:after="40" w:line="240" w:lineRule="auto"/>
              <w:jc w:val="right"/>
              <w:rPr>
                <w:rFonts w:ascii="Arial" w:eastAsia="Batang" w:hAnsi="Arial" w:cs="Arial"/>
                <w:b/>
                <w:bCs/>
                <w:sz w:val="16"/>
                <w:szCs w:val="18"/>
                <w:lang w:eastAsia="en-US"/>
              </w:rPr>
            </w:pPr>
            <w:r w:rsidRPr="00CB38F0">
              <w:rPr>
                <w:rFonts w:ascii="Arial" w:eastAsia="Batang" w:hAnsi="Arial" w:cs="Arial"/>
                <w:b/>
                <w:bCs/>
                <w:sz w:val="16"/>
                <w:szCs w:val="18"/>
                <w:lang w:val="el-GR" w:eastAsia="en-US"/>
              </w:rPr>
              <w:t>Σύνολο</w:t>
            </w:r>
          </w:p>
        </w:tc>
      </w:tr>
      <w:tr w:rsidR="000C7701" w:rsidRPr="00A05299" w14:paraId="52ED4B9F" w14:textId="77777777" w:rsidTr="00CB38F0">
        <w:trPr>
          <w:trHeight w:val="360"/>
          <w:jc w:val="center"/>
        </w:trPr>
        <w:tc>
          <w:tcPr>
            <w:tcW w:w="5085" w:type="dxa"/>
            <w:tcBorders>
              <w:top w:val="nil"/>
              <w:left w:val="single" w:sz="4" w:space="0" w:color="808080" w:themeColor="background1" w:themeShade="80"/>
              <w:bottom w:val="single" w:sz="4" w:space="0" w:color="808080" w:themeColor="background1" w:themeShade="80"/>
            </w:tcBorders>
            <w:vAlign w:val="center"/>
          </w:tcPr>
          <w:p w14:paraId="4EBC1B84" w14:textId="136A73F7" w:rsidR="000C7701" w:rsidRPr="00CB38F0" w:rsidRDefault="000C7701" w:rsidP="00A21CB9">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b/>
                <w:sz w:val="16"/>
                <w:szCs w:val="18"/>
                <w:lang w:eastAsia="en-US"/>
              </w:rPr>
            </w:pPr>
            <w:r w:rsidRPr="00CB38F0">
              <w:rPr>
                <w:rFonts w:ascii="Arial" w:eastAsia="Batang" w:hAnsi="Arial" w:cs="Arial"/>
                <w:b/>
                <w:sz w:val="16"/>
                <w:szCs w:val="16"/>
                <w:lang w:val="el-GR" w:eastAsia="en-US"/>
              </w:rPr>
              <w:t>31 Δεκεμβρίου</w:t>
            </w:r>
            <w:r w:rsidRPr="00CB38F0">
              <w:rPr>
                <w:rFonts w:ascii="Arial" w:eastAsia="Batang" w:hAnsi="Arial" w:cs="Arial"/>
                <w:b/>
                <w:sz w:val="16"/>
                <w:szCs w:val="16"/>
                <w:lang w:eastAsia="en-US"/>
              </w:rPr>
              <w:t xml:space="preserve"> </w:t>
            </w:r>
            <w:r w:rsidR="007F1E2E" w:rsidRPr="00CB38F0">
              <w:rPr>
                <w:rFonts w:ascii="Arial" w:eastAsia="Batang" w:hAnsi="Arial" w:cs="Arial"/>
                <w:b/>
                <w:sz w:val="16"/>
                <w:szCs w:val="16"/>
                <w:lang w:val="el-GR" w:eastAsia="en-US"/>
              </w:rPr>
              <w:t>2023</w:t>
            </w:r>
            <w:r w:rsidR="007F1E2E" w:rsidRPr="00CB38F0">
              <w:rPr>
                <w:rFonts w:ascii="Arial" w:eastAsia="Batang" w:hAnsi="Arial" w:cs="Arial"/>
                <w:b/>
                <w:sz w:val="16"/>
                <w:szCs w:val="16"/>
                <w:lang w:eastAsia="en-US"/>
              </w:rPr>
              <w:t xml:space="preserve"> </w:t>
            </w:r>
            <w:r w:rsidRPr="00CB38F0">
              <w:rPr>
                <w:rFonts w:ascii="Arial" w:eastAsia="Batang" w:hAnsi="Arial" w:cs="Arial"/>
                <w:b/>
                <w:sz w:val="16"/>
                <w:szCs w:val="16"/>
                <w:lang w:eastAsia="en-US"/>
              </w:rPr>
              <w:t xml:space="preserve">(€ </w:t>
            </w:r>
            <w:r w:rsidRPr="00CB38F0">
              <w:rPr>
                <w:rFonts w:ascii="Arial" w:eastAsia="Batang" w:hAnsi="Arial" w:cs="Arial"/>
                <w:b/>
                <w:sz w:val="16"/>
                <w:szCs w:val="16"/>
                <w:lang w:val="el-GR" w:eastAsia="en-US"/>
              </w:rPr>
              <w:t>εκατ</w:t>
            </w:r>
            <w:r w:rsidRPr="00CB38F0">
              <w:rPr>
                <w:rFonts w:ascii="Arial" w:eastAsia="Batang" w:hAnsi="Arial" w:cs="Arial"/>
                <w:b/>
                <w:sz w:val="16"/>
                <w:szCs w:val="16"/>
                <w:lang w:eastAsia="en-US"/>
              </w:rPr>
              <w:t xml:space="preserve">.) </w:t>
            </w:r>
          </w:p>
        </w:tc>
        <w:tc>
          <w:tcPr>
            <w:tcW w:w="1816" w:type="dxa"/>
            <w:tcBorders>
              <w:top w:val="nil"/>
              <w:bottom w:val="single" w:sz="4" w:space="0" w:color="808080" w:themeColor="background1" w:themeShade="80"/>
            </w:tcBorders>
            <w:vAlign w:val="center"/>
          </w:tcPr>
          <w:p w14:paraId="2178724B" w14:textId="77777777" w:rsidR="000C7701" w:rsidRPr="00CB38F0" w:rsidRDefault="000C7701" w:rsidP="00A21CB9">
            <w:pPr>
              <w:spacing w:before="40" w:after="40" w:line="240" w:lineRule="auto"/>
              <w:rPr>
                <w:rFonts w:ascii="Arial" w:eastAsia="Batang" w:hAnsi="Arial" w:cs="Arial"/>
                <w:sz w:val="16"/>
                <w:szCs w:val="18"/>
                <w:lang w:eastAsia="en-US"/>
              </w:rPr>
            </w:pPr>
          </w:p>
        </w:tc>
        <w:tc>
          <w:tcPr>
            <w:tcW w:w="1815" w:type="dxa"/>
            <w:tcBorders>
              <w:top w:val="nil"/>
              <w:bottom w:val="single" w:sz="4" w:space="0" w:color="808080" w:themeColor="background1" w:themeShade="80"/>
            </w:tcBorders>
            <w:vAlign w:val="center"/>
          </w:tcPr>
          <w:p w14:paraId="24C56AD5" w14:textId="77777777" w:rsidR="000C7701" w:rsidRPr="00CB38F0" w:rsidRDefault="000C7701" w:rsidP="00A21CB9">
            <w:pPr>
              <w:spacing w:before="40" w:after="40" w:line="240" w:lineRule="auto"/>
              <w:jc w:val="right"/>
              <w:rPr>
                <w:rFonts w:ascii="Arial" w:eastAsia="Batang" w:hAnsi="Arial" w:cs="Arial"/>
                <w:sz w:val="16"/>
                <w:szCs w:val="18"/>
                <w:lang w:eastAsia="en-US"/>
              </w:rPr>
            </w:pPr>
          </w:p>
        </w:tc>
        <w:tc>
          <w:tcPr>
            <w:tcW w:w="1815" w:type="dxa"/>
            <w:tcBorders>
              <w:top w:val="nil"/>
              <w:bottom w:val="single" w:sz="4" w:space="0" w:color="808080" w:themeColor="background1" w:themeShade="80"/>
              <w:right w:val="single" w:sz="4" w:space="0" w:color="808080" w:themeColor="background1" w:themeShade="80"/>
            </w:tcBorders>
            <w:shd w:val="clear" w:color="auto" w:fill="auto"/>
            <w:vAlign w:val="center"/>
          </w:tcPr>
          <w:p w14:paraId="44A04113" w14:textId="77777777" w:rsidR="000C7701" w:rsidRPr="00CB38F0" w:rsidRDefault="000C7701" w:rsidP="00A21CB9">
            <w:pPr>
              <w:spacing w:before="40" w:after="40" w:line="240" w:lineRule="auto"/>
              <w:jc w:val="right"/>
              <w:rPr>
                <w:rFonts w:ascii="Arial" w:eastAsia="Batang" w:hAnsi="Arial" w:cs="Arial"/>
                <w:sz w:val="16"/>
                <w:szCs w:val="18"/>
                <w:lang w:eastAsia="en-US"/>
              </w:rPr>
            </w:pPr>
          </w:p>
        </w:tc>
      </w:tr>
      <w:tr w:rsidR="00AB1F61" w:rsidRPr="00A05299" w14:paraId="2956C3D5" w14:textId="77777777" w:rsidTr="00CB38F0">
        <w:trPr>
          <w:trHeight w:val="360"/>
          <w:jc w:val="center"/>
        </w:trPr>
        <w:tc>
          <w:tcPr>
            <w:tcW w:w="5085" w:type="dxa"/>
            <w:tcBorders>
              <w:top w:val="single" w:sz="4" w:space="0" w:color="808080" w:themeColor="background1" w:themeShade="80"/>
              <w:left w:val="single" w:sz="4" w:space="0" w:color="808080" w:themeColor="background1" w:themeShade="80"/>
            </w:tcBorders>
            <w:vAlign w:val="center"/>
          </w:tcPr>
          <w:p w14:paraId="747AE4CE" w14:textId="77777777" w:rsidR="00AB1F61" w:rsidRPr="00CB38F0" w:rsidRDefault="00AB1F61" w:rsidP="00AB1F61">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sz w:val="16"/>
                <w:szCs w:val="18"/>
                <w:lang w:eastAsia="en-US"/>
              </w:rPr>
            </w:pPr>
            <w:r w:rsidRPr="00CB38F0">
              <w:rPr>
                <w:rFonts w:ascii="Arial" w:hAnsi="Arial" w:cs="Arial"/>
                <w:sz w:val="16"/>
                <w:szCs w:val="16"/>
                <w:lang w:val="el-GR"/>
              </w:rPr>
              <w:t>Οικιστικά</w:t>
            </w:r>
          </w:p>
        </w:tc>
        <w:tc>
          <w:tcPr>
            <w:tcW w:w="1816" w:type="dxa"/>
            <w:tcBorders>
              <w:top w:val="single" w:sz="4" w:space="0" w:color="808080" w:themeColor="background1" w:themeShade="80"/>
            </w:tcBorders>
            <w:vAlign w:val="center"/>
          </w:tcPr>
          <w:p w14:paraId="29A8AF12" w14:textId="1C06FACD" w:rsidR="00AB1F61" w:rsidRPr="00CB38F0" w:rsidRDefault="00AB1F61" w:rsidP="00AB1F61">
            <w:pPr>
              <w:spacing w:before="40" w:after="40" w:line="240" w:lineRule="auto"/>
              <w:jc w:val="right"/>
              <w:rPr>
                <w:rFonts w:ascii="Arial" w:eastAsia="Batang" w:hAnsi="Arial" w:cs="Arial"/>
                <w:sz w:val="16"/>
                <w:szCs w:val="18"/>
                <w:lang w:eastAsia="en-US"/>
              </w:rPr>
            </w:pPr>
            <w:r w:rsidRPr="00CA11A1">
              <w:rPr>
                <w:rFonts w:ascii="Arial" w:eastAsia="Batang" w:hAnsi="Arial" w:cs="Arial"/>
                <w:b/>
                <w:sz w:val="16"/>
                <w:szCs w:val="18"/>
                <w:lang w:eastAsia="en-US"/>
              </w:rPr>
              <w:t>50</w:t>
            </w:r>
          </w:p>
        </w:tc>
        <w:tc>
          <w:tcPr>
            <w:tcW w:w="1815" w:type="dxa"/>
            <w:tcBorders>
              <w:top w:val="single" w:sz="4" w:space="0" w:color="808080" w:themeColor="background1" w:themeShade="80"/>
            </w:tcBorders>
            <w:vAlign w:val="center"/>
          </w:tcPr>
          <w:p w14:paraId="4750FF4F" w14:textId="52D046B7" w:rsidR="00AB1F61" w:rsidRPr="00CB38F0" w:rsidRDefault="00AB1F61" w:rsidP="00AB1F61">
            <w:pPr>
              <w:spacing w:before="40" w:after="40" w:line="240" w:lineRule="auto"/>
              <w:jc w:val="right"/>
              <w:rPr>
                <w:rFonts w:ascii="Arial" w:eastAsia="Batang" w:hAnsi="Arial" w:cs="Arial"/>
                <w:sz w:val="16"/>
                <w:szCs w:val="18"/>
                <w:lang w:eastAsia="en-US"/>
              </w:rPr>
            </w:pPr>
            <w:r w:rsidRPr="00CA11A1">
              <w:rPr>
                <w:rFonts w:ascii="Arial" w:eastAsia="Batang" w:hAnsi="Arial" w:cs="Arial"/>
                <w:b/>
                <w:sz w:val="16"/>
                <w:szCs w:val="18"/>
                <w:lang w:eastAsia="en-US"/>
              </w:rPr>
              <w:t>12</w:t>
            </w:r>
          </w:p>
        </w:tc>
        <w:tc>
          <w:tcPr>
            <w:tcW w:w="1815" w:type="dxa"/>
            <w:tcBorders>
              <w:top w:val="single" w:sz="4" w:space="0" w:color="808080" w:themeColor="background1" w:themeShade="80"/>
              <w:right w:val="single" w:sz="4" w:space="0" w:color="808080" w:themeColor="background1" w:themeShade="80"/>
            </w:tcBorders>
            <w:shd w:val="clear" w:color="auto" w:fill="auto"/>
            <w:vAlign w:val="center"/>
          </w:tcPr>
          <w:p w14:paraId="095F5544" w14:textId="1B35B5D2" w:rsidR="00AB1F61" w:rsidRPr="00CB38F0" w:rsidRDefault="00AB1F61" w:rsidP="00AB1F61">
            <w:pPr>
              <w:spacing w:before="40" w:after="40" w:line="240" w:lineRule="auto"/>
              <w:jc w:val="right"/>
              <w:rPr>
                <w:rFonts w:ascii="Arial" w:eastAsia="Batang" w:hAnsi="Arial" w:cs="Arial"/>
                <w:sz w:val="16"/>
                <w:szCs w:val="18"/>
                <w:lang w:eastAsia="en-US"/>
              </w:rPr>
            </w:pPr>
            <w:r w:rsidRPr="00CA11A1">
              <w:rPr>
                <w:rFonts w:ascii="Arial" w:eastAsia="Batang" w:hAnsi="Arial" w:cs="Arial"/>
                <w:b/>
                <w:sz w:val="16"/>
                <w:szCs w:val="18"/>
                <w:lang w:eastAsia="en-US"/>
              </w:rPr>
              <w:t>62</w:t>
            </w:r>
          </w:p>
        </w:tc>
      </w:tr>
      <w:tr w:rsidR="00AB1F61" w:rsidRPr="00A05299" w14:paraId="794AD075" w14:textId="77777777" w:rsidTr="00CB38F0">
        <w:trPr>
          <w:trHeight w:val="360"/>
          <w:jc w:val="center"/>
        </w:trPr>
        <w:tc>
          <w:tcPr>
            <w:tcW w:w="5085" w:type="dxa"/>
            <w:tcBorders>
              <w:left w:val="single" w:sz="4" w:space="0" w:color="808080" w:themeColor="background1" w:themeShade="80"/>
            </w:tcBorders>
            <w:vAlign w:val="center"/>
          </w:tcPr>
          <w:p w14:paraId="00A389B7" w14:textId="77777777" w:rsidR="00AB1F61" w:rsidRPr="00CB38F0" w:rsidRDefault="00AB1F61" w:rsidP="00AB1F61">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sz w:val="16"/>
                <w:szCs w:val="18"/>
                <w:lang w:val="el-GR" w:eastAsia="en-US"/>
              </w:rPr>
            </w:pPr>
            <w:r w:rsidRPr="00CB38F0">
              <w:rPr>
                <w:rFonts w:ascii="Arial" w:hAnsi="Arial" w:cs="Arial"/>
                <w:sz w:val="16"/>
                <w:szCs w:val="16"/>
                <w:lang w:val="el-GR"/>
              </w:rPr>
              <w:t>Γραφεία και άλλα εμπορικά ακίνητα</w:t>
            </w:r>
          </w:p>
        </w:tc>
        <w:tc>
          <w:tcPr>
            <w:tcW w:w="1816" w:type="dxa"/>
            <w:vAlign w:val="center"/>
          </w:tcPr>
          <w:p w14:paraId="1CE6E1F6" w14:textId="768CFCDF" w:rsidR="00AB1F61" w:rsidRPr="00CB38F0" w:rsidRDefault="00AB1F61" w:rsidP="00AB1F61">
            <w:pPr>
              <w:spacing w:before="40" w:after="40" w:line="240" w:lineRule="auto"/>
              <w:jc w:val="right"/>
              <w:rPr>
                <w:rFonts w:ascii="Arial" w:eastAsia="Batang" w:hAnsi="Arial" w:cs="Arial"/>
                <w:sz w:val="16"/>
                <w:szCs w:val="18"/>
                <w:lang w:eastAsia="en-US"/>
              </w:rPr>
            </w:pPr>
            <w:r w:rsidRPr="00CA11A1">
              <w:rPr>
                <w:rFonts w:ascii="Arial" w:eastAsia="Batang" w:hAnsi="Arial" w:cs="Arial"/>
                <w:b/>
                <w:sz w:val="16"/>
                <w:szCs w:val="18"/>
                <w:lang w:eastAsia="en-US"/>
              </w:rPr>
              <w:t>110</w:t>
            </w:r>
          </w:p>
        </w:tc>
        <w:tc>
          <w:tcPr>
            <w:tcW w:w="1815" w:type="dxa"/>
            <w:vAlign w:val="center"/>
          </w:tcPr>
          <w:p w14:paraId="607761D9" w14:textId="19CDF113" w:rsidR="00AB1F61" w:rsidRPr="00CB38F0" w:rsidRDefault="00AB1F61" w:rsidP="00AB1F61">
            <w:pPr>
              <w:spacing w:before="40" w:after="40" w:line="240" w:lineRule="auto"/>
              <w:jc w:val="right"/>
              <w:rPr>
                <w:rFonts w:ascii="Arial" w:eastAsia="Batang" w:hAnsi="Arial" w:cs="Arial"/>
                <w:sz w:val="16"/>
                <w:szCs w:val="18"/>
                <w:lang w:eastAsia="en-US"/>
              </w:rPr>
            </w:pPr>
            <w:r w:rsidRPr="00CA11A1">
              <w:rPr>
                <w:rFonts w:ascii="Arial" w:eastAsia="Batang" w:hAnsi="Arial" w:cs="Arial"/>
                <w:b/>
                <w:sz w:val="16"/>
                <w:szCs w:val="18"/>
                <w:lang w:eastAsia="en-US"/>
              </w:rPr>
              <w:t>13</w:t>
            </w:r>
          </w:p>
        </w:tc>
        <w:tc>
          <w:tcPr>
            <w:tcW w:w="1815" w:type="dxa"/>
            <w:tcBorders>
              <w:right w:val="single" w:sz="4" w:space="0" w:color="808080" w:themeColor="background1" w:themeShade="80"/>
            </w:tcBorders>
            <w:shd w:val="clear" w:color="auto" w:fill="auto"/>
            <w:vAlign w:val="center"/>
          </w:tcPr>
          <w:p w14:paraId="5EF1B21C" w14:textId="0CA61556" w:rsidR="00AB1F61" w:rsidRPr="00CB38F0" w:rsidRDefault="00AB1F61" w:rsidP="00AB1F61">
            <w:pPr>
              <w:spacing w:before="40" w:after="40" w:line="240" w:lineRule="auto"/>
              <w:jc w:val="right"/>
              <w:rPr>
                <w:rFonts w:ascii="Arial" w:eastAsia="Batang" w:hAnsi="Arial" w:cs="Arial"/>
                <w:sz w:val="16"/>
                <w:szCs w:val="18"/>
                <w:lang w:eastAsia="en-US"/>
              </w:rPr>
            </w:pPr>
            <w:r w:rsidRPr="00CA11A1">
              <w:rPr>
                <w:rFonts w:ascii="Arial" w:eastAsia="Batang" w:hAnsi="Arial" w:cs="Arial"/>
                <w:b/>
                <w:sz w:val="16"/>
                <w:szCs w:val="18"/>
                <w:lang w:eastAsia="en-US"/>
              </w:rPr>
              <w:t>123</w:t>
            </w:r>
          </w:p>
        </w:tc>
      </w:tr>
      <w:tr w:rsidR="00AB1F61" w:rsidRPr="00A05299" w14:paraId="56893BF5" w14:textId="77777777" w:rsidTr="00CB38F0">
        <w:trPr>
          <w:trHeight w:val="360"/>
          <w:jc w:val="center"/>
        </w:trPr>
        <w:tc>
          <w:tcPr>
            <w:tcW w:w="5085" w:type="dxa"/>
            <w:tcBorders>
              <w:left w:val="single" w:sz="4" w:space="0" w:color="808080" w:themeColor="background1" w:themeShade="80"/>
            </w:tcBorders>
            <w:vAlign w:val="center"/>
          </w:tcPr>
          <w:p w14:paraId="462C151C" w14:textId="77777777" w:rsidR="00AB1F61" w:rsidRPr="00CB38F0" w:rsidRDefault="00AB1F61" w:rsidP="00AB1F61">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sz w:val="16"/>
                <w:szCs w:val="18"/>
                <w:lang w:eastAsia="en-US"/>
              </w:rPr>
            </w:pPr>
            <w:r w:rsidRPr="00CB38F0">
              <w:rPr>
                <w:rFonts w:ascii="Arial" w:hAnsi="Arial" w:cs="Arial"/>
                <w:sz w:val="16"/>
                <w:szCs w:val="16"/>
                <w:lang w:val="el-GR"/>
              </w:rPr>
              <w:t xml:space="preserve">Βιοτεχνίες </w:t>
            </w:r>
            <w:r w:rsidRPr="00CB38F0">
              <w:rPr>
                <w:rFonts w:ascii="Arial" w:hAnsi="Arial" w:cs="Arial"/>
                <w:sz w:val="16"/>
                <w:szCs w:val="16"/>
              </w:rPr>
              <w:t>και βιομηχανίες</w:t>
            </w:r>
          </w:p>
        </w:tc>
        <w:tc>
          <w:tcPr>
            <w:tcW w:w="1816" w:type="dxa"/>
            <w:vAlign w:val="center"/>
          </w:tcPr>
          <w:p w14:paraId="2432AFB6" w14:textId="5A8D36E4" w:rsidR="00AB1F61" w:rsidRPr="00CB38F0" w:rsidRDefault="00AB1F61" w:rsidP="00AB1F61">
            <w:pPr>
              <w:spacing w:before="40" w:after="40" w:line="240" w:lineRule="auto"/>
              <w:jc w:val="right"/>
              <w:rPr>
                <w:rFonts w:ascii="Arial" w:eastAsia="Batang" w:hAnsi="Arial" w:cs="Arial"/>
                <w:sz w:val="16"/>
                <w:szCs w:val="18"/>
                <w:lang w:eastAsia="en-US"/>
              </w:rPr>
            </w:pPr>
            <w:r w:rsidRPr="00CA11A1">
              <w:rPr>
                <w:rFonts w:ascii="Arial" w:eastAsia="Batang" w:hAnsi="Arial" w:cs="Arial"/>
                <w:b/>
                <w:sz w:val="16"/>
                <w:szCs w:val="18"/>
                <w:lang w:eastAsia="en-US"/>
              </w:rPr>
              <w:t>36</w:t>
            </w:r>
          </w:p>
        </w:tc>
        <w:tc>
          <w:tcPr>
            <w:tcW w:w="1815" w:type="dxa"/>
            <w:vAlign w:val="center"/>
          </w:tcPr>
          <w:p w14:paraId="478B991B" w14:textId="767FC0EF" w:rsidR="00AB1F61" w:rsidRPr="00CB38F0" w:rsidRDefault="00AB1F61" w:rsidP="00AB1F61">
            <w:pPr>
              <w:spacing w:before="40" w:after="40" w:line="240" w:lineRule="auto"/>
              <w:jc w:val="right"/>
              <w:rPr>
                <w:rFonts w:ascii="Arial" w:eastAsia="Batang" w:hAnsi="Arial" w:cs="Arial"/>
                <w:sz w:val="16"/>
                <w:szCs w:val="18"/>
                <w:lang w:eastAsia="en-US"/>
              </w:rPr>
            </w:pPr>
            <w:r w:rsidRPr="00CA11A1">
              <w:rPr>
                <w:rFonts w:ascii="Arial" w:eastAsia="Batang" w:hAnsi="Arial" w:cs="Arial"/>
                <w:b/>
                <w:sz w:val="16"/>
                <w:szCs w:val="18"/>
                <w:lang w:eastAsia="en-US"/>
              </w:rPr>
              <w:t>16</w:t>
            </w:r>
          </w:p>
        </w:tc>
        <w:tc>
          <w:tcPr>
            <w:tcW w:w="1815" w:type="dxa"/>
            <w:tcBorders>
              <w:right w:val="single" w:sz="4" w:space="0" w:color="808080" w:themeColor="background1" w:themeShade="80"/>
            </w:tcBorders>
            <w:shd w:val="clear" w:color="auto" w:fill="auto"/>
            <w:vAlign w:val="center"/>
          </w:tcPr>
          <w:p w14:paraId="517D7F4B" w14:textId="1E19978C" w:rsidR="00AB1F61" w:rsidRPr="00CB38F0" w:rsidRDefault="00AB1F61" w:rsidP="00AB1F61">
            <w:pPr>
              <w:spacing w:before="40" w:after="40" w:line="240" w:lineRule="auto"/>
              <w:jc w:val="right"/>
              <w:rPr>
                <w:rFonts w:ascii="Arial" w:eastAsia="Batang" w:hAnsi="Arial" w:cs="Arial"/>
                <w:sz w:val="16"/>
                <w:szCs w:val="18"/>
                <w:lang w:eastAsia="en-US"/>
              </w:rPr>
            </w:pPr>
            <w:r w:rsidRPr="00CA11A1">
              <w:rPr>
                <w:rFonts w:ascii="Arial" w:eastAsia="Batang" w:hAnsi="Arial" w:cs="Arial"/>
                <w:b/>
                <w:sz w:val="16"/>
                <w:szCs w:val="18"/>
                <w:lang w:eastAsia="en-US"/>
              </w:rPr>
              <w:t>52</w:t>
            </w:r>
          </w:p>
        </w:tc>
      </w:tr>
      <w:tr w:rsidR="00AB1F61" w:rsidRPr="00A05299" w14:paraId="63FF6C08" w14:textId="77777777" w:rsidTr="00CB38F0">
        <w:trPr>
          <w:trHeight w:val="360"/>
          <w:jc w:val="center"/>
        </w:trPr>
        <w:tc>
          <w:tcPr>
            <w:tcW w:w="5085" w:type="dxa"/>
            <w:tcBorders>
              <w:left w:val="single" w:sz="4" w:space="0" w:color="808080" w:themeColor="background1" w:themeShade="80"/>
            </w:tcBorders>
            <w:vAlign w:val="center"/>
          </w:tcPr>
          <w:p w14:paraId="69CE0C6E" w14:textId="77777777" w:rsidR="00AB1F61" w:rsidRPr="00CB38F0" w:rsidRDefault="00AB1F61" w:rsidP="00AB1F61">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sz w:val="16"/>
                <w:szCs w:val="18"/>
                <w:lang w:eastAsia="en-US"/>
              </w:rPr>
            </w:pPr>
            <w:r w:rsidRPr="00CB38F0">
              <w:rPr>
                <w:rFonts w:ascii="Arial" w:hAnsi="Arial" w:cs="Arial"/>
                <w:sz w:val="16"/>
                <w:szCs w:val="16"/>
              </w:rPr>
              <w:t>Ξενοδοχεία</w:t>
            </w:r>
          </w:p>
        </w:tc>
        <w:tc>
          <w:tcPr>
            <w:tcW w:w="1816" w:type="dxa"/>
            <w:vAlign w:val="center"/>
          </w:tcPr>
          <w:p w14:paraId="20BFBD6B" w14:textId="56D7A01D" w:rsidR="00AB1F61" w:rsidRPr="00CB38F0" w:rsidRDefault="00AB1F61" w:rsidP="00AB1F61">
            <w:pPr>
              <w:spacing w:before="40" w:after="40" w:line="240" w:lineRule="auto"/>
              <w:jc w:val="right"/>
              <w:rPr>
                <w:rFonts w:ascii="Arial" w:eastAsia="Batang" w:hAnsi="Arial" w:cs="Arial"/>
                <w:sz w:val="16"/>
                <w:szCs w:val="18"/>
                <w:lang w:eastAsia="en-US"/>
              </w:rPr>
            </w:pPr>
            <w:r w:rsidRPr="00CA11A1">
              <w:rPr>
                <w:rFonts w:ascii="Arial" w:eastAsia="Batang" w:hAnsi="Arial" w:cs="Arial"/>
                <w:b/>
                <w:sz w:val="16"/>
                <w:szCs w:val="18"/>
                <w:lang w:eastAsia="en-US"/>
              </w:rPr>
              <w:t>17</w:t>
            </w:r>
          </w:p>
        </w:tc>
        <w:tc>
          <w:tcPr>
            <w:tcW w:w="1815" w:type="dxa"/>
            <w:vAlign w:val="center"/>
          </w:tcPr>
          <w:p w14:paraId="76D26319" w14:textId="2926529A" w:rsidR="00AB1F61" w:rsidRPr="00CB38F0" w:rsidRDefault="00AB1F61" w:rsidP="00AB1F61">
            <w:pPr>
              <w:spacing w:before="40" w:after="40" w:line="240" w:lineRule="auto"/>
              <w:jc w:val="right"/>
              <w:rPr>
                <w:rFonts w:ascii="Arial" w:eastAsia="Batang" w:hAnsi="Arial" w:cs="Arial"/>
                <w:sz w:val="16"/>
                <w:szCs w:val="18"/>
                <w:lang w:eastAsia="en-US"/>
              </w:rPr>
            </w:pPr>
            <w:r w:rsidRPr="00CA11A1">
              <w:rPr>
                <w:rFonts w:ascii="Arial" w:eastAsia="Batang" w:hAnsi="Arial" w:cs="Arial"/>
                <w:b/>
                <w:sz w:val="16"/>
                <w:szCs w:val="18"/>
                <w:lang w:eastAsia="en-US"/>
              </w:rPr>
              <w:t>0</w:t>
            </w:r>
          </w:p>
        </w:tc>
        <w:tc>
          <w:tcPr>
            <w:tcW w:w="1815" w:type="dxa"/>
            <w:tcBorders>
              <w:right w:val="single" w:sz="4" w:space="0" w:color="808080" w:themeColor="background1" w:themeShade="80"/>
            </w:tcBorders>
            <w:shd w:val="clear" w:color="auto" w:fill="auto"/>
            <w:vAlign w:val="center"/>
          </w:tcPr>
          <w:p w14:paraId="00309CE3" w14:textId="3E3B9E29" w:rsidR="00AB1F61" w:rsidRPr="00CB38F0" w:rsidRDefault="00AB1F61" w:rsidP="00AB1F61">
            <w:pPr>
              <w:spacing w:before="40" w:after="40" w:line="240" w:lineRule="auto"/>
              <w:jc w:val="right"/>
              <w:rPr>
                <w:rFonts w:ascii="Arial" w:eastAsia="Batang" w:hAnsi="Arial" w:cs="Arial"/>
                <w:sz w:val="16"/>
                <w:szCs w:val="18"/>
                <w:lang w:eastAsia="en-US"/>
              </w:rPr>
            </w:pPr>
            <w:r w:rsidRPr="00CA11A1">
              <w:rPr>
                <w:rFonts w:ascii="Arial" w:eastAsia="Batang" w:hAnsi="Arial" w:cs="Arial"/>
                <w:b/>
                <w:sz w:val="16"/>
                <w:szCs w:val="18"/>
                <w:lang w:eastAsia="en-US"/>
              </w:rPr>
              <w:t>17</w:t>
            </w:r>
          </w:p>
        </w:tc>
      </w:tr>
      <w:tr w:rsidR="00AB1F61" w:rsidRPr="00A05299" w14:paraId="215ED7F2" w14:textId="77777777" w:rsidTr="00CB38F0">
        <w:trPr>
          <w:trHeight w:val="360"/>
          <w:jc w:val="center"/>
        </w:trPr>
        <w:tc>
          <w:tcPr>
            <w:tcW w:w="5085" w:type="dxa"/>
            <w:tcBorders>
              <w:left w:val="single" w:sz="4" w:space="0" w:color="808080" w:themeColor="background1" w:themeShade="80"/>
            </w:tcBorders>
            <w:vAlign w:val="center"/>
          </w:tcPr>
          <w:p w14:paraId="58E05841" w14:textId="77777777" w:rsidR="00AB1F61" w:rsidRPr="00CB38F0" w:rsidRDefault="00AB1F61" w:rsidP="00AB1F61">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sz w:val="16"/>
                <w:szCs w:val="18"/>
                <w:lang w:eastAsia="en-US"/>
              </w:rPr>
            </w:pPr>
            <w:r w:rsidRPr="00CB38F0">
              <w:rPr>
                <w:rFonts w:ascii="Arial" w:hAnsi="Arial" w:cs="Arial"/>
                <w:sz w:val="16"/>
                <w:szCs w:val="16"/>
              </w:rPr>
              <w:t>Γη (οικόπεδα και αγροτεμάχια)</w:t>
            </w:r>
          </w:p>
        </w:tc>
        <w:tc>
          <w:tcPr>
            <w:tcW w:w="1816" w:type="dxa"/>
            <w:vAlign w:val="center"/>
          </w:tcPr>
          <w:p w14:paraId="31A6ACAD" w14:textId="102F57ED" w:rsidR="00AB1F61" w:rsidRPr="00CB38F0" w:rsidRDefault="00AB1F61" w:rsidP="00AB1F61">
            <w:pPr>
              <w:spacing w:before="40" w:after="40" w:line="240" w:lineRule="auto"/>
              <w:jc w:val="right"/>
              <w:rPr>
                <w:rFonts w:ascii="Arial" w:eastAsia="Batang" w:hAnsi="Arial" w:cs="Arial"/>
                <w:sz w:val="16"/>
                <w:szCs w:val="18"/>
                <w:lang w:eastAsia="en-US"/>
              </w:rPr>
            </w:pPr>
            <w:r w:rsidRPr="00CA11A1">
              <w:rPr>
                <w:rFonts w:ascii="Arial" w:eastAsia="Batang" w:hAnsi="Arial" w:cs="Arial"/>
                <w:b/>
                <w:sz w:val="16"/>
                <w:szCs w:val="18"/>
                <w:lang w:eastAsia="en-US"/>
              </w:rPr>
              <w:t>405</w:t>
            </w:r>
          </w:p>
        </w:tc>
        <w:tc>
          <w:tcPr>
            <w:tcW w:w="1815" w:type="dxa"/>
            <w:vAlign w:val="center"/>
          </w:tcPr>
          <w:p w14:paraId="623B3460" w14:textId="034CC816" w:rsidR="00AB1F61" w:rsidRPr="00CB38F0" w:rsidRDefault="00AB1F61" w:rsidP="00AB1F61">
            <w:pPr>
              <w:spacing w:before="40" w:after="40" w:line="240" w:lineRule="auto"/>
              <w:jc w:val="right"/>
              <w:rPr>
                <w:rFonts w:ascii="Arial" w:eastAsia="Batang" w:hAnsi="Arial" w:cs="Arial"/>
                <w:sz w:val="16"/>
                <w:szCs w:val="18"/>
                <w:lang w:eastAsia="en-US"/>
              </w:rPr>
            </w:pPr>
            <w:r w:rsidRPr="00CA11A1">
              <w:rPr>
                <w:rFonts w:ascii="Arial" w:eastAsia="Batang" w:hAnsi="Arial" w:cs="Arial"/>
                <w:b/>
                <w:sz w:val="16"/>
                <w:szCs w:val="18"/>
                <w:lang w:eastAsia="en-US"/>
              </w:rPr>
              <w:t>4</w:t>
            </w:r>
          </w:p>
        </w:tc>
        <w:tc>
          <w:tcPr>
            <w:tcW w:w="1815" w:type="dxa"/>
            <w:tcBorders>
              <w:right w:val="single" w:sz="4" w:space="0" w:color="808080" w:themeColor="background1" w:themeShade="80"/>
            </w:tcBorders>
            <w:shd w:val="clear" w:color="auto" w:fill="auto"/>
            <w:vAlign w:val="center"/>
          </w:tcPr>
          <w:p w14:paraId="14552450" w14:textId="33A4B52E" w:rsidR="00AB1F61" w:rsidRPr="00CB38F0" w:rsidRDefault="00AB1F61" w:rsidP="00AB1F61">
            <w:pPr>
              <w:spacing w:before="40" w:after="40" w:line="240" w:lineRule="auto"/>
              <w:jc w:val="right"/>
              <w:rPr>
                <w:rFonts w:ascii="Arial" w:eastAsia="Batang" w:hAnsi="Arial" w:cs="Arial"/>
                <w:sz w:val="16"/>
                <w:szCs w:val="18"/>
                <w:lang w:eastAsia="en-US"/>
              </w:rPr>
            </w:pPr>
            <w:r w:rsidRPr="00CA11A1">
              <w:rPr>
                <w:rFonts w:ascii="Arial" w:eastAsia="Batang" w:hAnsi="Arial" w:cs="Arial"/>
                <w:b/>
                <w:sz w:val="16"/>
                <w:szCs w:val="18"/>
                <w:lang w:eastAsia="en-US"/>
              </w:rPr>
              <w:t>409</w:t>
            </w:r>
          </w:p>
        </w:tc>
      </w:tr>
      <w:tr w:rsidR="00AB1F61" w:rsidRPr="00A05299" w14:paraId="39AEF188" w14:textId="77777777" w:rsidTr="00CB38F0">
        <w:trPr>
          <w:trHeight w:val="360"/>
          <w:jc w:val="center"/>
        </w:trPr>
        <w:tc>
          <w:tcPr>
            <w:tcW w:w="5085" w:type="dxa"/>
            <w:tcBorders>
              <w:left w:val="single" w:sz="4" w:space="0" w:color="808080" w:themeColor="background1" w:themeShade="80"/>
            </w:tcBorders>
            <w:vAlign w:val="center"/>
          </w:tcPr>
          <w:p w14:paraId="4E8F324F" w14:textId="77777777" w:rsidR="00AB1F61" w:rsidRPr="00CB38F0" w:rsidRDefault="00AB1F61" w:rsidP="00AB1F61">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sz w:val="16"/>
                <w:szCs w:val="18"/>
                <w:lang w:val="el-GR" w:eastAsia="en-US"/>
              </w:rPr>
            </w:pPr>
            <w:r w:rsidRPr="00CB38F0">
              <w:rPr>
                <w:rFonts w:ascii="Arial" w:hAnsi="Arial" w:cs="Arial"/>
                <w:sz w:val="16"/>
                <w:szCs w:val="16"/>
                <w:lang w:val="el-GR"/>
              </w:rPr>
              <w:t>Γήπεδα γκολφ και ακίνητα σχετικά με γκολφ</w:t>
            </w:r>
          </w:p>
        </w:tc>
        <w:tc>
          <w:tcPr>
            <w:tcW w:w="1816" w:type="dxa"/>
            <w:vAlign w:val="center"/>
          </w:tcPr>
          <w:p w14:paraId="6689E0E8" w14:textId="50C7809A" w:rsidR="00AB1F61" w:rsidRPr="00CB38F0" w:rsidRDefault="00AB1F61" w:rsidP="00AB1F61">
            <w:pPr>
              <w:spacing w:before="40" w:after="40" w:line="240" w:lineRule="auto"/>
              <w:jc w:val="right"/>
              <w:rPr>
                <w:rFonts w:ascii="Arial" w:hAnsi="Arial" w:cs="Arial"/>
                <w:sz w:val="16"/>
                <w:szCs w:val="18"/>
              </w:rPr>
            </w:pPr>
            <w:r w:rsidRPr="00CA11A1">
              <w:rPr>
                <w:rFonts w:ascii="Arial" w:hAnsi="Arial" w:cs="Arial"/>
                <w:b/>
                <w:bCs/>
                <w:sz w:val="16"/>
                <w:szCs w:val="18"/>
              </w:rPr>
              <w:t>199</w:t>
            </w:r>
          </w:p>
        </w:tc>
        <w:tc>
          <w:tcPr>
            <w:tcW w:w="1815" w:type="dxa"/>
            <w:vAlign w:val="center"/>
          </w:tcPr>
          <w:p w14:paraId="528606D0" w14:textId="109D6B17" w:rsidR="00AB1F61" w:rsidRPr="00CB38F0" w:rsidRDefault="00AB1F61" w:rsidP="00AB1F61">
            <w:pPr>
              <w:spacing w:before="40" w:after="40" w:line="240" w:lineRule="auto"/>
              <w:jc w:val="right"/>
              <w:rPr>
                <w:rFonts w:ascii="Arial" w:hAnsi="Arial" w:cs="Arial"/>
                <w:sz w:val="16"/>
                <w:szCs w:val="18"/>
              </w:rPr>
            </w:pPr>
            <w:r w:rsidRPr="00CA11A1">
              <w:rPr>
                <w:rFonts w:ascii="Arial" w:eastAsia="Batang" w:hAnsi="Arial" w:cs="Arial"/>
                <w:b/>
                <w:sz w:val="16"/>
                <w:szCs w:val="18"/>
                <w:lang w:eastAsia="en-US"/>
              </w:rPr>
              <w:t>0</w:t>
            </w:r>
          </w:p>
        </w:tc>
        <w:tc>
          <w:tcPr>
            <w:tcW w:w="1815" w:type="dxa"/>
            <w:tcBorders>
              <w:right w:val="single" w:sz="4" w:space="0" w:color="808080" w:themeColor="background1" w:themeShade="80"/>
            </w:tcBorders>
            <w:shd w:val="clear" w:color="auto" w:fill="auto"/>
            <w:vAlign w:val="center"/>
          </w:tcPr>
          <w:p w14:paraId="7AC02DEE" w14:textId="02220E5A" w:rsidR="00AB1F61" w:rsidRPr="00CB38F0" w:rsidRDefault="00AB1F61" w:rsidP="00AB1F61">
            <w:pPr>
              <w:spacing w:before="40" w:after="40" w:line="240" w:lineRule="auto"/>
              <w:jc w:val="right"/>
              <w:rPr>
                <w:rFonts w:ascii="Arial" w:hAnsi="Arial" w:cs="Arial"/>
                <w:sz w:val="16"/>
                <w:szCs w:val="18"/>
              </w:rPr>
            </w:pPr>
            <w:r w:rsidRPr="00CA11A1">
              <w:rPr>
                <w:rFonts w:ascii="Arial" w:eastAsia="Batang" w:hAnsi="Arial" w:cs="Arial"/>
                <w:b/>
                <w:sz w:val="16"/>
                <w:szCs w:val="18"/>
                <w:lang w:eastAsia="en-US"/>
              </w:rPr>
              <w:t>199</w:t>
            </w:r>
          </w:p>
        </w:tc>
      </w:tr>
      <w:tr w:rsidR="00AB1F61" w:rsidRPr="00A05299" w14:paraId="0894C98D" w14:textId="77777777" w:rsidTr="00CB38F0">
        <w:trPr>
          <w:trHeight w:val="360"/>
          <w:jc w:val="center"/>
        </w:trPr>
        <w:tc>
          <w:tcPr>
            <w:tcW w:w="5085"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0774C1CE" w14:textId="77777777" w:rsidR="00AB1F61" w:rsidRPr="00CB38F0" w:rsidRDefault="00AB1F61" w:rsidP="00AB1F61">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b/>
                <w:sz w:val="16"/>
                <w:szCs w:val="18"/>
                <w:lang w:eastAsia="en-US"/>
              </w:rPr>
            </w:pPr>
            <w:r w:rsidRPr="00CB38F0">
              <w:rPr>
                <w:rFonts w:ascii="Arial" w:eastAsia="Batang" w:hAnsi="Arial" w:cs="Arial"/>
                <w:b/>
                <w:sz w:val="16"/>
                <w:szCs w:val="16"/>
                <w:lang w:val="el-GR" w:eastAsia="en-US"/>
              </w:rPr>
              <w:t>Σύνολο</w:t>
            </w:r>
            <w:r w:rsidRPr="00CB38F0">
              <w:rPr>
                <w:rFonts w:ascii="Arial" w:eastAsia="Batang" w:hAnsi="Arial" w:cs="Arial"/>
                <w:b/>
                <w:sz w:val="16"/>
                <w:szCs w:val="16"/>
                <w:lang w:eastAsia="en-US"/>
              </w:rPr>
              <w:t xml:space="preserve"> </w:t>
            </w:r>
          </w:p>
        </w:tc>
        <w:tc>
          <w:tcPr>
            <w:tcW w:w="1816" w:type="dxa"/>
            <w:tcBorders>
              <w:top w:val="single" w:sz="4" w:space="0" w:color="808080" w:themeColor="background1" w:themeShade="80"/>
              <w:bottom w:val="single" w:sz="4" w:space="0" w:color="808080" w:themeColor="background1" w:themeShade="80"/>
            </w:tcBorders>
            <w:vAlign w:val="center"/>
          </w:tcPr>
          <w:p w14:paraId="253BB5AF" w14:textId="6F8D40A0" w:rsidR="00AB1F61" w:rsidRPr="00CB38F0" w:rsidRDefault="00AB1F61" w:rsidP="00AB1F61">
            <w:pPr>
              <w:spacing w:before="40" w:after="40" w:line="240" w:lineRule="auto"/>
              <w:jc w:val="right"/>
              <w:rPr>
                <w:rFonts w:ascii="Arial" w:eastAsia="Batang" w:hAnsi="Arial" w:cs="Arial"/>
                <w:sz w:val="16"/>
                <w:szCs w:val="18"/>
                <w:lang w:eastAsia="en-US"/>
              </w:rPr>
            </w:pPr>
            <w:r w:rsidRPr="00CA11A1">
              <w:rPr>
                <w:rFonts w:ascii="Arial" w:eastAsia="Batang" w:hAnsi="Arial" w:cs="Arial"/>
                <w:b/>
                <w:sz w:val="16"/>
                <w:szCs w:val="18"/>
                <w:lang w:eastAsia="en-US"/>
              </w:rPr>
              <w:t>817</w:t>
            </w:r>
          </w:p>
        </w:tc>
        <w:tc>
          <w:tcPr>
            <w:tcW w:w="1815" w:type="dxa"/>
            <w:tcBorders>
              <w:top w:val="single" w:sz="4" w:space="0" w:color="808080" w:themeColor="background1" w:themeShade="80"/>
              <w:bottom w:val="single" w:sz="4" w:space="0" w:color="808080" w:themeColor="background1" w:themeShade="80"/>
            </w:tcBorders>
            <w:vAlign w:val="center"/>
          </w:tcPr>
          <w:p w14:paraId="7EB5B6BD" w14:textId="18F5213B" w:rsidR="00AB1F61" w:rsidRPr="00CB38F0" w:rsidRDefault="00AB1F61" w:rsidP="00AB1F61">
            <w:pPr>
              <w:spacing w:before="40" w:after="40" w:line="240" w:lineRule="auto"/>
              <w:jc w:val="right"/>
              <w:rPr>
                <w:rFonts w:ascii="Arial" w:eastAsia="Batang" w:hAnsi="Arial" w:cs="Arial"/>
                <w:sz w:val="16"/>
                <w:szCs w:val="18"/>
                <w:lang w:eastAsia="en-US"/>
              </w:rPr>
            </w:pPr>
            <w:r w:rsidRPr="00CA11A1">
              <w:rPr>
                <w:rFonts w:ascii="Arial" w:eastAsia="Batang" w:hAnsi="Arial" w:cs="Arial"/>
                <w:b/>
                <w:sz w:val="16"/>
                <w:szCs w:val="18"/>
                <w:lang w:eastAsia="en-US"/>
              </w:rPr>
              <w:t>45</w:t>
            </w:r>
          </w:p>
        </w:tc>
        <w:tc>
          <w:tcPr>
            <w:tcW w:w="181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C306B65" w14:textId="0F089C98" w:rsidR="00AB1F61" w:rsidRPr="00CB38F0" w:rsidRDefault="00AB1F61" w:rsidP="00AB1F61">
            <w:pPr>
              <w:spacing w:before="40" w:after="40" w:line="240" w:lineRule="auto"/>
              <w:jc w:val="right"/>
              <w:rPr>
                <w:rFonts w:ascii="Arial" w:eastAsia="Batang" w:hAnsi="Arial" w:cs="Arial"/>
                <w:sz w:val="16"/>
                <w:szCs w:val="18"/>
                <w:lang w:eastAsia="en-US"/>
              </w:rPr>
            </w:pPr>
            <w:r w:rsidRPr="00CA11A1">
              <w:rPr>
                <w:rFonts w:ascii="Arial" w:eastAsia="Batang" w:hAnsi="Arial" w:cs="Arial"/>
                <w:b/>
                <w:sz w:val="16"/>
                <w:szCs w:val="18"/>
                <w:lang w:eastAsia="en-US"/>
              </w:rPr>
              <w:t>862</w:t>
            </w:r>
          </w:p>
        </w:tc>
      </w:tr>
    </w:tbl>
    <w:p w14:paraId="07C96F69" w14:textId="77777777" w:rsidR="00516A65" w:rsidRPr="00CB38F0" w:rsidRDefault="00516A65" w:rsidP="000C7701">
      <w:pPr>
        <w:spacing w:line="240" w:lineRule="auto"/>
        <w:rPr>
          <w:rFonts w:ascii="Arial" w:hAnsi="Arial" w:cs="Arial"/>
          <w:color w:val="FF9900"/>
          <w:sz w:val="20"/>
          <w:szCs w:val="20"/>
          <w:lang w:val="en-US"/>
        </w:rPr>
      </w:pPr>
    </w:p>
    <w:bookmarkEnd w:id="5"/>
    <w:p w14:paraId="7409C8DF" w14:textId="27BE19D8" w:rsidR="00907393" w:rsidRPr="00CB38F0" w:rsidRDefault="00907393" w:rsidP="00FA3A6D">
      <w:pPr>
        <w:spacing w:after="0" w:line="360" w:lineRule="auto"/>
        <w:rPr>
          <w:rFonts w:ascii="Arial" w:hAnsi="Arial" w:cs="Arial"/>
          <w:b/>
          <w:bCs/>
          <w:color w:val="FF9900"/>
          <w:sz w:val="24"/>
          <w:szCs w:val="24"/>
          <w:lang w:val="el-GR"/>
        </w:rPr>
      </w:pPr>
    </w:p>
    <w:p w14:paraId="3145F072" w14:textId="77777777" w:rsidR="0079469F" w:rsidRPr="00CB38F0" w:rsidRDefault="0079469F" w:rsidP="003B4E96">
      <w:pPr>
        <w:rPr>
          <w:rFonts w:ascii="Arial" w:hAnsi="Arial" w:cs="Arial"/>
          <w:b/>
          <w:bCs/>
          <w:color w:val="FF9900"/>
          <w:sz w:val="24"/>
          <w:szCs w:val="24"/>
          <w:lang w:val="el-GR"/>
        </w:rPr>
      </w:pPr>
    </w:p>
    <w:p w14:paraId="2BEF8E19" w14:textId="77777777" w:rsidR="005B1FD5" w:rsidRDefault="005B1FD5" w:rsidP="003B4E96">
      <w:pPr>
        <w:rPr>
          <w:rFonts w:ascii="Arial" w:hAnsi="Arial" w:cs="Arial"/>
          <w:b/>
          <w:bCs/>
          <w:color w:val="FF9900"/>
          <w:sz w:val="24"/>
          <w:szCs w:val="24"/>
          <w:highlight w:val="yellow"/>
          <w:lang w:val="en-US"/>
        </w:rPr>
      </w:pPr>
    </w:p>
    <w:p w14:paraId="51D09FED" w14:textId="77777777" w:rsidR="00A96CBE" w:rsidRDefault="00A96CBE" w:rsidP="003B4E96">
      <w:pPr>
        <w:rPr>
          <w:rFonts w:ascii="Arial" w:hAnsi="Arial" w:cs="Arial"/>
          <w:b/>
          <w:bCs/>
          <w:color w:val="FF9900"/>
          <w:sz w:val="24"/>
          <w:szCs w:val="24"/>
          <w:highlight w:val="yellow"/>
          <w:lang w:val="en-US"/>
        </w:rPr>
      </w:pPr>
    </w:p>
    <w:p w14:paraId="1063BEF6" w14:textId="77777777" w:rsidR="00A96CBE" w:rsidRPr="00A96CBE" w:rsidRDefault="00A96CBE" w:rsidP="003B4E96">
      <w:pPr>
        <w:rPr>
          <w:rFonts w:ascii="Arial" w:hAnsi="Arial" w:cs="Arial"/>
          <w:b/>
          <w:bCs/>
          <w:color w:val="FF9900"/>
          <w:sz w:val="24"/>
          <w:szCs w:val="24"/>
          <w:highlight w:val="yellow"/>
          <w:lang w:val="en-US"/>
        </w:rPr>
      </w:pPr>
    </w:p>
    <w:p w14:paraId="6CBAE230" w14:textId="08FECA9D" w:rsidR="003867AC" w:rsidRPr="00CB38F0" w:rsidRDefault="003867AC" w:rsidP="003B4E96">
      <w:pPr>
        <w:rPr>
          <w:rFonts w:ascii="Arial" w:hAnsi="Arial" w:cs="Arial"/>
          <w:b/>
          <w:bCs/>
          <w:color w:val="FF9900"/>
          <w:sz w:val="24"/>
          <w:lang w:val="el-GR"/>
        </w:rPr>
      </w:pPr>
      <w:r w:rsidRPr="00CB38F0">
        <w:rPr>
          <w:rFonts w:ascii="Arial" w:hAnsi="Arial" w:cs="Arial"/>
          <w:b/>
          <w:bCs/>
          <w:color w:val="FF9900"/>
          <w:sz w:val="24"/>
          <w:szCs w:val="24"/>
          <w:lang w:val="el-GR"/>
        </w:rPr>
        <w:lastRenderedPageBreak/>
        <w:t>Β</w:t>
      </w:r>
      <w:r w:rsidR="00352599" w:rsidRPr="00CB38F0">
        <w:rPr>
          <w:rFonts w:ascii="Arial" w:hAnsi="Arial" w:cs="Arial"/>
          <w:b/>
          <w:bCs/>
          <w:color w:val="FF9900"/>
          <w:sz w:val="24"/>
          <w:szCs w:val="24"/>
          <w:lang w:val="el-GR"/>
        </w:rPr>
        <w:t xml:space="preserve">.  Οικονομικά Αποτελέσματα Συγκροτήματος – Υποκείμενη Βάση </w:t>
      </w:r>
      <w:r w:rsidR="00352599" w:rsidRPr="00CB38F0">
        <w:rPr>
          <w:rFonts w:ascii="Arial" w:hAnsi="Arial" w:cs="Arial"/>
          <w:color w:val="FF9900"/>
          <w:sz w:val="24"/>
          <w:szCs w:val="24"/>
          <w:lang w:val="el-GR"/>
        </w:rPr>
        <w:t xml:space="preserve">(συνέχεια) </w:t>
      </w:r>
    </w:p>
    <w:p w14:paraId="79DFD71A" w14:textId="4FFF4D34" w:rsidR="00352599" w:rsidRPr="00CB38F0" w:rsidRDefault="003867AC" w:rsidP="00CB38F0">
      <w:pPr>
        <w:rPr>
          <w:rFonts w:ascii="Arial" w:hAnsi="Arial" w:cs="Arial"/>
          <w:b/>
          <w:bCs/>
          <w:color w:val="FF9900"/>
          <w:sz w:val="23"/>
          <w:szCs w:val="23"/>
          <w:lang w:val="el-GR"/>
        </w:rPr>
      </w:pPr>
      <w:r w:rsidRPr="00CB38F0">
        <w:rPr>
          <w:rFonts w:ascii="Arial" w:hAnsi="Arial" w:cs="Arial"/>
          <w:b/>
          <w:bCs/>
          <w:color w:val="FF9900"/>
          <w:sz w:val="23"/>
          <w:szCs w:val="23"/>
          <w:lang w:val="el-GR"/>
        </w:rPr>
        <w:t>Β</w:t>
      </w:r>
      <w:r w:rsidR="00352599" w:rsidRPr="00CB38F0">
        <w:rPr>
          <w:rFonts w:ascii="Arial" w:hAnsi="Arial" w:cs="Arial"/>
          <w:b/>
          <w:bCs/>
          <w:color w:val="FF9900"/>
          <w:sz w:val="23"/>
          <w:szCs w:val="23"/>
          <w:lang w:val="el-GR"/>
        </w:rPr>
        <w:t>.</w:t>
      </w:r>
      <w:r w:rsidR="00CC763A" w:rsidRPr="00CB38F0">
        <w:rPr>
          <w:rFonts w:ascii="Arial" w:hAnsi="Arial" w:cs="Arial"/>
          <w:b/>
          <w:bCs/>
          <w:color w:val="FF9900"/>
          <w:sz w:val="23"/>
          <w:szCs w:val="23"/>
          <w:lang w:val="el-GR"/>
        </w:rPr>
        <w:t>3</w:t>
      </w:r>
      <w:r w:rsidR="00352599" w:rsidRPr="00CB38F0">
        <w:rPr>
          <w:rFonts w:ascii="Arial" w:hAnsi="Arial" w:cs="Arial"/>
          <w:b/>
          <w:bCs/>
          <w:color w:val="FF9900"/>
          <w:sz w:val="23"/>
          <w:szCs w:val="23"/>
          <w:lang w:val="el-GR"/>
        </w:rPr>
        <w:t xml:space="preserve">. Ανάλυση Κατάστασης Λογαριασμού Αποτελεσμάτων </w:t>
      </w:r>
    </w:p>
    <w:p w14:paraId="1B4BE7B3" w14:textId="10419A10" w:rsidR="00352599" w:rsidRPr="00CB38F0" w:rsidRDefault="003867AC" w:rsidP="004953BA">
      <w:pPr>
        <w:spacing w:after="0" w:line="360" w:lineRule="auto"/>
        <w:ind w:left="851" w:hanging="851"/>
        <w:rPr>
          <w:rFonts w:ascii="Arial" w:hAnsi="Arial" w:cs="Arial"/>
          <w:b/>
          <w:bCs/>
          <w:color w:val="FF9900"/>
          <w:lang w:val="el-GR"/>
        </w:rPr>
      </w:pPr>
      <w:r w:rsidRPr="00CB38F0">
        <w:rPr>
          <w:rFonts w:ascii="Arial" w:hAnsi="Arial" w:cs="Arial"/>
          <w:b/>
          <w:bCs/>
          <w:color w:val="FF9900"/>
          <w:lang w:val="el-GR"/>
        </w:rPr>
        <w:t>Β</w:t>
      </w:r>
      <w:r w:rsidR="00352599" w:rsidRPr="00CB38F0">
        <w:rPr>
          <w:rFonts w:ascii="Arial" w:hAnsi="Arial" w:cs="Arial"/>
          <w:b/>
          <w:bCs/>
          <w:color w:val="FF9900"/>
          <w:lang w:val="el-GR"/>
        </w:rPr>
        <w:t>.</w:t>
      </w:r>
      <w:r w:rsidR="00CC763A" w:rsidRPr="00CB38F0">
        <w:rPr>
          <w:rFonts w:ascii="Arial" w:hAnsi="Arial" w:cs="Arial"/>
          <w:b/>
          <w:bCs/>
          <w:color w:val="FF9900"/>
          <w:lang w:val="el-GR"/>
        </w:rPr>
        <w:t>3</w:t>
      </w:r>
      <w:r w:rsidR="00352599" w:rsidRPr="00CB38F0">
        <w:rPr>
          <w:rFonts w:ascii="Arial" w:hAnsi="Arial" w:cs="Arial"/>
          <w:b/>
          <w:bCs/>
          <w:color w:val="FF9900"/>
          <w:lang w:val="el-GR"/>
        </w:rPr>
        <w:t>.1 Συνολικά Έσοδα</w:t>
      </w:r>
    </w:p>
    <w:tbl>
      <w:tblPr>
        <w:tblW w:w="5130" w:type="pct"/>
        <w:jc w:val="center"/>
        <w:tblLayout w:type="fixed"/>
        <w:tblCellMar>
          <w:left w:w="40" w:type="dxa"/>
          <w:right w:w="40" w:type="dxa"/>
        </w:tblCellMar>
        <w:tblLook w:val="0000" w:firstRow="0" w:lastRow="0" w:firstColumn="0" w:lastColumn="0" w:noHBand="0" w:noVBand="0"/>
      </w:tblPr>
      <w:tblGrid>
        <w:gridCol w:w="3966"/>
        <w:gridCol w:w="1137"/>
        <w:gridCol w:w="1137"/>
        <w:gridCol w:w="884"/>
        <w:gridCol w:w="888"/>
        <w:gridCol w:w="1049"/>
        <w:gridCol w:w="876"/>
      </w:tblGrid>
      <w:tr w:rsidR="004D4F4D" w:rsidRPr="006B5511" w14:paraId="1670B562" w14:textId="77777777" w:rsidTr="007B262A">
        <w:trPr>
          <w:trHeight w:val="272"/>
          <w:jc w:val="center"/>
        </w:trPr>
        <w:tc>
          <w:tcPr>
            <w:tcW w:w="1995" w:type="pct"/>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770C0518" w14:textId="50369938" w:rsidR="004D4F4D" w:rsidRPr="00CB38F0" w:rsidRDefault="004D4F4D" w:rsidP="004D4F4D">
            <w:pPr>
              <w:tabs>
                <w:tab w:val="left" w:pos="974"/>
                <w:tab w:val="left" w:pos="1416"/>
                <w:tab w:val="decimal" w:pos="4962"/>
                <w:tab w:val="decimal" w:pos="6521"/>
                <w:tab w:val="right" w:pos="7560"/>
                <w:tab w:val="decimal" w:pos="8220"/>
                <w:tab w:val="left" w:pos="8640"/>
                <w:tab w:val="right" w:pos="9000"/>
              </w:tabs>
              <w:suppressAutoHyphens/>
              <w:spacing w:after="0" w:line="240" w:lineRule="auto"/>
              <w:ind w:left="10"/>
              <w:rPr>
                <w:rFonts w:ascii="Arial" w:eastAsia="Times New Roman" w:hAnsi="Arial" w:cs="Arial"/>
                <w:b/>
                <w:bCs/>
                <w:sz w:val="18"/>
                <w:szCs w:val="18"/>
                <w:lang w:val="el-GR" w:eastAsia="el-GR"/>
              </w:rPr>
            </w:pPr>
            <w:r w:rsidRPr="00CB38F0">
              <w:rPr>
                <w:rFonts w:ascii="Arial" w:eastAsia="Times New Roman" w:hAnsi="Arial" w:cs="Arial"/>
                <w:b/>
                <w:sz w:val="18"/>
                <w:szCs w:val="18"/>
                <w:lang w:eastAsia="el-GR"/>
              </w:rPr>
              <w:t xml:space="preserve">€ </w:t>
            </w:r>
            <w:r w:rsidRPr="00CB38F0">
              <w:rPr>
                <w:rFonts w:ascii="Arial" w:eastAsia="Times New Roman" w:hAnsi="Arial" w:cs="Arial"/>
                <w:b/>
                <w:sz w:val="18"/>
                <w:szCs w:val="18"/>
                <w:lang w:val="el-GR" w:eastAsia="el-GR"/>
              </w:rPr>
              <w:t>εκατ.</w:t>
            </w:r>
          </w:p>
          <w:p w14:paraId="5CC41AC0" w14:textId="096B0868" w:rsidR="004D4F4D" w:rsidRPr="00CB38F0" w:rsidRDefault="004D4F4D" w:rsidP="004D4F4D">
            <w:pPr>
              <w:tabs>
                <w:tab w:val="left" w:pos="0"/>
                <w:tab w:val="left" w:pos="1416"/>
                <w:tab w:val="decimal" w:pos="4962"/>
                <w:tab w:val="decimal" w:pos="6521"/>
                <w:tab w:val="right" w:pos="7560"/>
                <w:tab w:val="decimal" w:pos="8220"/>
                <w:tab w:val="left" w:pos="8640"/>
                <w:tab w:val="right" w:pos="9000"/>
              </w:tabs>
              <w:suppressAutoHyphens/>
              <w:spacing w:before="60" w:after="0"/>
              <w:ind w:right="23"/>
              <w:rPr>
                <w:rFonts w:ascii="Arial" w:eastAsia="Times New Roman" w:hAnsi="Arial" w:cs="Arial"/>
                <w:b/>
                <w:bCs/>
                <w:sz w:val="18"/>
                <w:szCs w:val="18"/>
                <w:lang w:val="el-GR" w:eastAsia="el-GR"/>
              </w:rPr>
            </w:pPr>
          </w:p>
        </w:tc>
        <w:tc>
          <w:tcPr>
            <w:tcW w:w="572" w:type="pct"/>
            <w:tcBorders>
              <w:top w:val="single" w:sz="4" w:space="0" w:color="808080" w:themeColor="background1" w:themeShade="80"/>
              <w:bottom w:val="single" w:sz="4" w:space="0" w:color="808080" w:themeColor="background1" w:themeShade="80"/>
            </w:tcBorders>
            <w:vAlign w:val="center"/>
          </w:tcPr>
          <w:p w14:paraId="5FED54BE" w14:textId="77777777" w:rsidR="004D4F4D" w:rsidRPr="00CB38F0" w:rsidRDefault="004D4F4D" w:rsidP="004D4F4D">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lang w:val="el-GR" w:eastAsia="el-GR"/>
              </w:rPr>
            </w:pPr>
            <w:r w:rsidRPr="00CB38F0">
              <w:rPr>
                <w:rFonts w:ascii="Arial" w:eastAsia="Times New Roman" w:hAnsi="Arial" w:cs="Arial"/>
                <w:b/>
                <w:bCs/>
                <w:sz w:val="18"/>
                <w:szCs w:val="18"/>
                <w:lang w:val="el-GR" w:eastAsia="el-GR"/>
              </w:rPr>
              <w:t>Α’</w:t>
            </w:r>
          </w:p>
          <w:p w14:paraId="21301875" w14:textId="2ED8DA03" w:rsidR="004D4F4D" w:rsidRPr="004D4F4D" w:rsidRDefault="004D4F4D" w:rsidP="004D4F4D">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highlight w:val="yellow"/>
                <w:lang w:val="el-GR" w:eastAsia="el-GR"/>
              </w:rPr>
            </w:pPr>
            <w:r w:rsidRPr="00CB38F0">
              <w:rPr>
                <w:rFonts w:ascii="Arial" w:eastAsia="Times New Roman" w:hAnsi="Arial" w:cs="Arial"/>
                <w:b/>
                <w:bCs/>
                <w:sz w:val="18"/>
                <w:szCs w:val="18"/>
                <w:lang w:val="el-GR" w:eastAsia="el-GR"/>
              </w:rPr>
              <w:t>εξάμηνο 2024</w:t>
            </w:r>
          </w:p>
        </w:tc>
        <w:tc>
          <w:tcPr>
            <w:tcW w:w="572" w:type="pct"/>
            <w:tcBorders>
              <w:top w:val="single" w:sz="4" w:space="0" w:color="808080" w:themeColor="background1" w:themeShade="80"/>
              <w:bottom w:val="single" w:sz="4" w:space="0" w:color="808080" w:themeColor="background1" w:themeShade="80"/>
            </w:tcBorders>
            <w:vAlign w:val="center"/>
          </w:tcPr>
          <w:p w14:paraId="3858EE19" w14:textId="77777777" w:rsidR="004D4F4D" w:rsidRPr="00CB38F0" w:rsidRDefault="004D4F4D" w:rsidP="004D4F4D">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lang w:val="el-GR" w:eastAsia="el-GR"/>
              </w:rPr>
            </w:pPr>
            <w:r w:rsidRPr="00CB38F0">
              <w:rPr>
                <w:rFonts w:ascii="Arial" w:eastAsia="Times New Roman" w:hAnsi="Arial" w:cs="Arial"/>
                <w:b/>
                <w:bCs/>
                <w:sz w:val="18"/>
                <w:szCs w:val="18"/>
                <w:lang w:val="el-GR" w:eastAsia="el-GR"/>
              </w:rPr>
              <w:t>Α’</w:t>
            </w:r>
          </w:p>
          <w:p w14:paraId="6A431D93" w14:textId="6E7780B5" w:rsidR="004D4F4D" w:rsidRPr="004D4F4D" w:rsidRDefault="004D4F4D" w:rsidP="004D4F4D">
            <w:pPr>
              <w:tabs>
                <w:tab w:val="left" w:pos="0"/>
                <w:tab w:val="left" w:pos="1416"/>
                <w:tab w:val="decimal" w:pos="4962"/>
                <w:tab w:val="decimal" w:pos="6521"/>
                <w:tab w:val="right" w:pos="7560"/>
                <w:tab w:val="decimal" w:pos="8220"/>
                <w:tab w:val="left" w:pos="8640"/>
                <w:tab w:val="right" w:pos="9000"/>
              </w:tabs>
              <w:suppressAutoHyphens/>
              <w:spacing w:after="0" w:line="240" w:lineRule="auto"/>
              <w:ind w:right="23"/>
              <w:jc w:val="center"/>
              <w:rPr>
                <w:rFonts w:ascii="Arial" w:eastAsia="Times New Roman" w:hAnsi="Arial" w:cs="Arial"/>
                <w:b/>
                <w:bCs/>
                <w:sz w:val="18"/>
                <w:szCs w:val="18"/>
                <w:highlight w:val="yellow"/>
                <w:lang w:val="el-GR" w:eastAsia="el-GR"/>
              </w:rPr>
            </w:pPr>
            <w:r w:rsidRPr="00CB38F0">
              <w:rPr>
                <w:rFonts w:ascii="Arial" w:eastAsia="Times New Roman" w:hAnsi="Arial" w:cs="Arial"/>
                <w:b/>
                <w:bCs/>
                <w:sz w:val="18"/>
                <w:szCs w:val="18"/>
                <w:lang w:val="el-GR" w:eastAsia="el-GR"/>
              </w:rPr>
              <w:t>εξάμηνο 2023</w:t>
            </w:r>
          </w:p>
        </w:tc>
        <w:tc>
          <w:tcPr>
            <w:tcW w:w="445" w:type="pct"/>
            <w:tcBorders>
              <w:top w:val="single" w:sz="4" w:space="0" w:color="808080" w:themeColor="background1" w:themeShade="80"/>
              <w:bottom w:val="single" w:sz="4" w:space="0" w:color="808080" w:themeColor="background1" w:themeShade="80"/>
            </w:tcBorders>
            <w:vAlign w:val="center"/>
          </w:tcPr>
          <w:p w14:paraId="6A494DC3" w14:textId="77777777" w:rsidR="004D4F4D" w:rsidRPr="00CB38F0" w:rsidRDefault="004D4F4D" w:rsidP="004D4F4D">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lang w:val="el-GR" w:eastAsia="el-GR"/>
              </w:rPr>
            </w:pPr>
            <w:r w:rsidRPr="00CB38F0">
              <w:rPr>
                <w:rFonts w:ascii="Arial" w:eastAsia="Times New Roman" w:hAnsi="Arial" w:cs="Arial"/>
                <w:b/>
                <w:bCs/>
                <w:sz w:val="18"/>
                <w:szCs w:val="18"/>
                <w:lang w:val="el-GR" w:eastAsia="el-GR"/>
              </w:rPr>
              <w:t>Β’</w:t>
            </w:r>
          </w:p>
          <w:p w14:paraId="4F7C691A" w14:textId="559FC303" w:rsidR="004D4F4D" w:rsidRPr="004D4F4D" w:rsidRDefault="004D4F4D" w:rsidP="004D4F4D">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highlight w:val="yellow"/>
                <w:lang w:val="el-GR" w:eastAsia="el-GR"/>
              </w:rPr>
            </w:pPr>
            <w:r w:rsidRPr="00CB38F0">
              <w:rPr>
                <w:rFonts w:ascii="Arial" w:eastAsia="Times New Roman" w:hAnsi="Arial" w:cs="Arial"/>
                <w:b/>
                <w:bCs/>
                <w:sz w:val="18"/>
                <w:szCs w:val="18"/>
                <w:lang w:val="el-GR" w:eastAsia="el-GR"/>
              </w:rPr>
              <w:t>τρίμηνο 2024</w:t>
            </w:r>
          </w:p>
        </w:tc>
        <w:tc>
          <w:tcPr>
            <w:tcW w:w="447" w:type="pct"/>
            <w:tcBorders>
              <w:top w:val="single" w:sz="4" w:space="0" w:color="808080" w:themeColor="background1" w:themeShade="80"/>
              <w:bottom w:val="single" w:sz="4" w:space="0" w:color="808080" w:themeColor="background1" w:themeShade="80"/>
            </w:tcBorders>
            <w:vAlign w:val="center"/>
          </w:tcPr>
          <w:p w14:paraId="4E3D0F7D" w14:textId="77777777" w:rsidR="004D4F4D" w:rsidRPr="00CB38F0" w:rsidRDefault="004D4F4D" w:rsidP="004D4F4D">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lang w:val="el-GR" w:eastAsia="el-GR"/>
              </w:rPr>
            </w:pPr>
            <w:r w:rsidRPr="00CB38F0">
              <w:rPr>
                <w:rFonts w:ascii="Arial" w:eastAsia="Times New Roman" w:hAnsi="Arial" w:cs="Arial"/>
                <w:b/>
                <w:bCs/>
                <w:sz w:val="18"/>
                <w:szCs w:val="18"/>
                <w:lang w:val="el-GR" w:eastAsia="el-GR"/>
              </w:rPr>
              <w:t>Α’</w:t>
            </w:r>
          </w:p>
          <w:p w14:paraId="25558F61" w14:textId="08B9501D" w:rsidR="004D4F4D" w:rsidRPr="004D4F4D" w:rsidRDefault="004D4F4D" w:rsidP="004D4F4D">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highlight w:val="yellow"/>
                <w:lang w:val="el-GR" w:eastAsia="el-GR"/>
              </w:rPr>
            </w:pPr>
            <w:r w:rsidRPr="00CB38F0">
              <w:rPr>
                <w:rFonts w:ascii="Arial" w:eastAsia="Times New Roman" w:hAnsi="Arial" w:cs="Arial"/>
                <w:b/>
                <w:bCs/>
                <w:sz w:val="18"/>
                <w:szCs w:val="18"/>
                <w:lang w:val="el-GR" w:eastAsia="el-GR"/>
              </w:rPr>
              <w:t>τρίμηνο 2024</w:t>
            </w:r>
          </w:p>
        </w:tc>
        <w:tc>
          <w:tcPr>
            <w:tcW w:w="528" w:type="pct"/>
            <w:tcBorders>
              <w:top w:val="single" w:sz="4" w:space="0" w:color="808080" w:themeColor="background1" w:themeShade="80"/>
              <w:bottom w:val="single" w:sz="4" w:space="0" w:color="808080" w:themeColor="background1" w:themeShade="80"/>
            </w:tcBorders>
            <w:vAlign w:val="center"/>
          </w:tcPr>
          <w:p w14:paraId="578232B4" w14:textId="77777777" w:rsidR="004D4F4D" w:rsidRPr="00CB38F0" w:rsidRDefault="004D4F4D" w:rsidP="004D4F4D">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8"/>
                <w:szCs w:val="18"/>
                <w:lang w:val="el-GR" w:eastAsia="el-GR"/>
              </w:rPr>
            </w:pPr>
            <w:r w:rsidRPr="00CB38F0">
              <w:rPr>
                <w:rFonts w:ascii="Arial" w:eastAsia="Times New Roman" w:hAnsi="Arial" w:cs="Arial"/>
                <w:bCs/>
                <w:sz w:val="18"/>
                <w:szCs w:val="18"/>
                <w:lang w:val="el-GR" w:eastAsia="el-GR"/>
              </w:rPr>
              <w:t>Τριμηνιαία μεταβολή</w:t>
            </w:r>
          </w:p>
          <w:p w14:paraId="28100704" w14:textId="3A4BF4BB" w:rsidR="004D4F4D" w:rsidRPr="004D4F4D" w:rsidRDefault="004D4F4D" w:rsidP="004D4F4D">
            <w:pPr>
              <w:tabs>
                <w:tab w:val="left" w:pos="0"/>
                <w:tab w:val="left" w:pos="1416"/>
                <w:tab w:val="decimal" w:pos="4962"/>
                <w:tab w:val="decimal" w:pos="6521"/>
                <w:tab w:val="right" w:pos="7560"/>
                <w:tab w:val="decimal" w:pos="8220"/>
                <w:tab w:val="left" w:pos="8640"/>
                <w:tab w:val="right" w:pos="9000"/>
              </w:tabs>
              <w:suppressAutoHyphens/>
              <w:spacing w:after="0" w:line="240" w:lineRule="auto"/>
              <w:ind w:right="23"/>
              <w:jc w:val="center"/>
              <w:rPr>
                <w:rFonts w:ascii="Arial" w:eastAsia="Times New Roman" w:hAnsi="Arial" w:cs="Arial"/>
                <w:sz w:val="18"/>
                <w:szCs w:val="18"/>
                <w:highlight w:val="yellow"/>
                <w:lang w:val="el-GR" w:eastAsia="el-GR"/>
              </w:rPr>
            </w:pPr>
            <w:r w:rsidRPr="00CB38F0">
              <w:rPr>
                <w:rFonts w:ascii="Arial" w:eastAsia="Times New Roman" w:hAnsi="Arial" w:cs="Arial"/>
                <w:bCs/>
                <w:sz w:val="18"/>
                <w:szCs w:val="18"/>
                <w:u w:val="single"/>
                <w:lang w:val="el-GR" w:eastAsia="el-GR"/>
              </w:rPr>
              <w:t>+</w:t>
            </w:r>
            <w:r w:rsidRPr="00CB38F0">
              <w:rPr>
                <w:rFonts w:ascii="Arial" w:eastAsia="Times New Roman" w:hAnsi="Arial" w:cs="Arial"/>
                <w:bCs/>
                <w:sz w:val="18"/>
                <w:szCs w:val="18"/>
                <w:lang w:val="el-GR" w:eastAsia="el-GR"/>
              </w:rPr>
              <w:t>%</w:t>
            </w:r>
          </w:p>
        </w:tc>
        <w:tc>
          <w:tcPr>
            <w:tcW w:w="441"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7528690" w14:textId="77777777" w:rsidR="004D4F4D" w:rsidRPr="00CB38F0" w:rsidRDefault="004D4F4D" w:rsidP="004D4F4D">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8"/>
                <w:szCs w:val="18"/>
                <w:lang w:val="el-GR" w:eastAsia="el-GR"/>
              </w:rPr>
            </w:pPr>
            <w:r w:rsidRPr="00CB38F0">
              <w:rPr>
                <w:rFonts w:ascii="Arial" w:eastAsia="Times New Roman" w:hAnsi="Arial" w:cs="Arial"/>
                <w:bCs/>
                <w:sz w:val="18"/>
                <w:szCs w:val="18"/>
                <w:lang w:val="el-GR" w:eastAsia="el-GR"/>
              </w:rPr>
              <w:t>Ετήσια μεταβολή</w:t>
            </w:r>
          </w:p>
          <w:p w14:paraId="6F186893" w14:textId="4E1E49E1" w:rsidR="004D4F4D" w:rsidRPr="004D4F4D" w:rsidRDefault="004D4F4D" w:rsidP="004D4F4D">
            <w:pPr>
              <w:tabs>
                <w:tab w:val="left" w:pos="0"/>
                <w:tab w:val="left" w:pos="1416"/>
                <w:tab w:val="decimal" w:pos="4962"/>
                <w:tab w:val="decimal" w:pos="6521"/>
                <w:tab w:val="right" w:pos="7560"/>
                <w:tab w:val="decimal" w:pos="8220"/>
                <w:tab w:val="left" w:pos="8640"/>
                <w:tab w:val="right" w:pos="9000"/>
              </w:tabs>
              <w:suppressAutoHyphens/>
              <w:spacing w:after="0" w:line="240" w:lineRule="auto"/>
              <w:ind w:right="23"/>
              <w:jc w:val="center"/>
              <w:rPr>
                <w:rFonts w:ascii="Arial" w:eastAsia="Times New Roman" w:hAnsi="Arial" w:cs="Arial"/>
                <w:sz w:val="18"/>
                <w:szCs w:val="18"/>
                <w:highlight w:val="yellow"/>
                <w:lang w:val="el-GR" w:eastAsia="el-GR"/>
              </w:rPr>
            </w:pPr>
            <w:r w:rsidRPr="00CB38F0">
              <w:rPr>
                <w:rFonts w:ascii="Arial" w:eastAsia="Times New Roman" w:hAnsi="Arial" w:cs="Arial"/>
                <w:bCs/>
                <w:sz w:val="18"/>
                <w:szCs w:val="18"/>
                <w:u w:val="single"/>
                <w:lang w:eastAsia="el-GR"/>
              </w:rPr>
              <w:t>+</w:t>
            </w:r>
            <w:r w:rsidRPr="00CB38F0">
              <w:rPr>
                <w:rFonts w:ascii="Arial" w:eastAsia="Times New Roman" w:hAnsi="Arial" w:cs="Arial"/>
                <w:bCs/>
                <w:sz w:val="18"/>
                <w:szCs w:val="18"/>
                <w:lang w:eastAsia="el-GR"/>
              </w:rPr>
              <w:t>%</w:t>
            </w:r>
          </w:p>
        </w:tc>
      </w:tr>
      <w:tr w:rsidR="00AB1F61" w:rsidRPr="006B5511" w14:paraId="42AE6E7A" w14:textId="77777777" w:rsidTr="007B262A">
        <w:trPr>
          <w:trHeight w:val="249"/>
          <w:jc w:val="center"/>
        </w:trPr>
        <w:tc>
          <w:tcPr>
            <w:tcW w:w="1995" w:type="pct"/>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123B064C" w14:textId="42AE32D5" w:rsidR="00AB1F61" w:rsidRPr="00CB38F0" w:rsidRDefault="00AB1F61" w:rsidP="00AB1F61">
            <w:pPr>
              <w:tabs>
                <w:tab w:val="left" w:pos="974"/>
                <w:tab w:val="left" w:pos="1416"/>
                <w:tab w:val="decimal" w:pos="4962"/>
                <w:tab w:val="decimal" w:pos="6521"/>
                <w:tab w:val="right" w:pos="7560"/>
                <w:tab w:val="decimal" w:pos="8220"/>
                <w:tab w:val="left" w:pos="8640"/>
                <w:tab w:val="right" w:pos="9000"/>
              </w:tabs>
              <w:suppressAutoHyphens/>
              <w:spacing w:after="0" w:line="240" w:lineRule="auto"/>
              <w:ind w:left="10"/>
              <w:rPr>
                <w:rFonts w:ascii="Arial" w:eastAsia="Times New Roman" w:hAnsi="Arial" w:cs="Arial"/>
                <w:sz w:val="18"/>
                <w:szCs w:val="18"/>
                <w:lang w:eastAsia="el-GR"/>
              </w:rPr>
            </w:pPr>
            <w:r w:rsidRPr="00CB38F0">
              <w:rPr>
                <w:rFonts w:ascii="Arial" w:hAnsi="Arial" w:cs="Arial"/>
                <w:b/>
                <w:bCs/>
                <w:color w:val="000000" w:themeColor="text1"/>
                <w:sz w:val="18"/>
                <w:szCs w:val="18"/>
                <w:lang w:val="el-GR"/>
              </w:rPr>
              <w:t>Καθαρά έσοδα από τόκους</w:t>
            </w:r>
          </w:p>
        </w:tc>
        <w:tc>
          <w:tcPr>
            <w:tcW w:w="572" w:type="pct"/>
            <w:tcBorders>
              <w:top w:val="single" w:sz="4" w:space="0" w:color="808080" w:themeColor="background1" w:themeShade="80"/>
              <w:bottom w:val="single" w:sz="4" w:space="0" w:color="808080" w:themeColor="background1" w:themeShade="80"/>
            </w:tcBorders>
            <w:vAlign w:val="center"/>
          </w:tcPr>
          <w:p w14:paraId="6C8CDD48" w14:textId="71762EBC"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8"/>
                <w:szCs w:val="18"/>
                <w:highlight w:val="yellow"/>
                <w:lang w:eastAsia="el-GR"/>
              </w:rPr>
            </w:pPr>
            <w:r>
              <w:rPr>
                <w:rFonts w:ascii="Arial" w:eastAsia="Times New Roman" w:hAnsi="Arial" w:cs="Arial"/>
                <w:b/>
                <w:bCs/>
                <w:sz w:val="18"/>
                <w:szCs w:val="20"/>
                <w:lang w:eastAsia="el-GR"/>
              </w:rPr>
              <w:t>420</w:t>
            </w:r>
          </w:p>
        </w:tc>
        <w:tc>
          <w:tcPr>
            <w:tcW w:w="572" w:type="pct"/>
            <w:tcBorders>
              <w:top w:val="single" w:sz="4" w:space="0" w:color="808080" w:themeColor="background1" w:themeShade="80"/>
              <w:bottom w:val="single" w:sz="4" w:space="0" w:color="808080" w:themeColor="background1" w:themeShade="80"/>
            </w:tcBorders>
            <w:vAlign w:val="center"/>
          </w:tcPr>
          <w:p w14:paraId="7D6D599D" w14:textId="440234C3"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eastAsia="el-GR"/>
              </w:rPr>
            </w:pPr>
            <w:r w:rsidRPr="00AA1DCA">
              <w:rPr>
                <w:rFonts w:ascii="Arial" w:eastAsia="Times New Roman" w:hAnsi="Arial" w:cs="Arial"/>
                <w:b/>
                <w:bCs/>
                <w:sz w:val="18"/>
                <w:szCs w:val="20"/>
                <w:lang w:eastAsia="el-GR"/>
              </w:rPr>
              <w:t>358</w:t>
            </w:r>
          </w:p>
        </w:tc>
        <w:tc>
          <w:tcPr>
            <w:tcW w:w="445" w:type="pct"/>
            <w:tcBorders>
              <w:top w:val="single" w:sz="4" w:space="0" w:color="808080" w:themeColor="background1" w:themeShade="80"/>
              <w:bottom w:val="single" w:sz="4" w:space="0" w:color="808080" w:themeColor="background1" w:themeShade="80"/>
            </w:tcBorders>
            <w:vAlign w:val="center"/>
          </w:tcPr>
          <w:p w14:paraId="086C7728" w14:textId="225C821E"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8"/>
                <w:szCs w:val="18"/>
                <w:highlight w:val="yellow"/>
                <w:lang w:eastAsia="el-GR"/>
              </w:rPr>
            </w:pPr>
            <w:r>
              <w:rPr>
                <w:rFonts w:ascii="Arial" w:eastAsia="Times New Roman" w:hAnsi="Arial" w:cs="Arial"/>
                <w:b/>
                <w:bCs/>
                <w:sz w:val="18"/>
                <w:szCs w:val="20"/>
                <w:lang w:eastAsia="el-GR"/>
              </w:rPr>
              <w:t>207</w:t>
            </w:r>
          </w:p>
        </w:tc>
        <w:tc>
          <w:tcPr>
            <w:tcW w:w="447" w:type="pct"/>
            <w:tcBorders>
              <w:top w:val="single" w:sz="4" w:space="0" w:color="808080" w:themeColor="background1" w:themeShade="80"/>
              <w:bottom w:val="single" w:sz="4" w:space="0" w:color="808080" w:themeColor="background1" w:themeShade="80"/>
            </w:tcBorders>
            <w:vAlign w:val="center"/>
          </w:tcPr>
          <w:p w14:paraId="2BB80584" w14:textId="23AF05E4" w:rsidR="00AB1F61" w:rsidRPr="00CB38F0"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lang w:eastAsia="el-GR"/>
              </w:rPr>
            </w:pPr>
            <w:r>
              <w:rPr>
                <w:rFonts w:ascii="Arial" w:eastAsia="Times New Roman" w:hAnsi="Arial" w:cs="Arial"/>
                <w:b/>
                <w:bCs/>
                <w:sz w:val="18"/>
                <w:szCs w:val="20"/>
                <w:lang w:eastAsia="el-GR"/>
              </w:rPr>
              <w:t>213</w:t>
            </w:r>
          </w:p>
        </w:tc>
        <w:tc>
          <w:tcPr>
            <w:tcW w:w="528" w:type="pct"/>
            <w:tcBorders>
              <w:top w:val="single" w:sz="4" w:space="0" w:color="808080" w:themeColor="background1" w:themeShade="80"/>
              <w:bottom w:val="single" w:sz="4" w:space="0" w:color="808080" w:themeColor="background1" w:themeShade="80"/>
            </w:tcBorders>
            <w:shd w:val="clear" w:color="auto" w:fill="auto"/>
            <w:vAlign w:val="center"/>
          </w:tcPr>
          <w:p w14:paraId="28189C97" w14:textId="0C81C8A2"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eastAsia="el-GR"/>
              </w:rPr>
            </w:pPr>
            <w:r>
              <w:rPr>
                <w:rFonts w:ascii="Arial" w:eastAsia="Times New Roman" w:hAnsi="Arial" w:cs="Arial"/>
                <w:b/>
                <w:bCs/>
                <w:sz w:val="18"/>
                <w:szCs w:val="20"/>
                <w:lang w:eastAsia="el-GR"/>
              </w:rPr>
              <w:t>-3%</w:t>
            </w:r>
          </w:p>
        </w:tc>
        <w:tc>
          <w:tcPr>
            <w:tcW w:w="441" w:type="pct"/>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3C12EA" w14:textId="69FAA94B"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val="el-GR" w:eastAsia="el-GR"/>
              </w:rPr>
            </w:pPr>
            <w:r>
              <w:rPr>
                <w:rFonts w:ascii="Arial" w:eastAsia="Times New Roman" w:hAnsi="Arial" w:cs="Arial"/>
                <w:b/>
                <w:bCs/>
                <w:sz w:val="18"/>
                <w:szCs w:val="20"/>
                <w:lang w:eastAsia="el-GR"/>
              </w:rPr>
              <w:t>17%</w:t>
            </w:r>
          </w:p>
        </w:tc>
      </w:tr>
      <w:tr w:rsidR="00AB1F61" w:rsidRPr="006B5511" w14:paraId="51877CB0" w14:textId="77777777" w:rsidTr="007B262A">
        <w:trPr>
          <w:trHeight w:val="249"/>
          <w:jc w:val="center"/>
        </w:trPr>
        <w:tc>
          <w:tcPr>
            <w:tcW w:w="1995" w:type="pct"/>
            <w:tcBorders>
              <w:top w:val="single" w:sz="4" w:space="0" w:color="808080" w:themeColor="background1" w:themeShade="80"/>
            </w:tcBorders>
            <w:vAlign w:val="center"/>
          </w:tcPr>
          <w:p w14:paraId="6DFD807E" w14:textId="68163A85" w:rsidR="00AB1F61" w:rsidRPr="00CB38F0" w:rsidRDefault="00AB1F61" w:rsidP="00AB1F61">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sz w:val="18"/>
                <w:szCs w:val="18"/>
                <w:lang w:val="el-GR" w:eastAsia="el-GR"/>
              </w:rPr>
            </w:pPr>
            <w:r w:rsidRPr="00CB38F0">
              <w:rPr>
                <w:rFonts w:ascii="Arial" w:hAnsi="Arial" w:cs="Arial"/>
                <w:color w:val="000000" w:themeColor="text1"/>
                <w:sz w:val="18"/>
                <w:szCs w:val="18"/>
                <w:lang w:val="el-GR"/>
              </w:rPr>
              <w:t>Καθαρά έσοδα από αμοιβές και προμήθειες</w:t>
            </w:r>
          </w:p>
        </w:tc>
        <w:tc>
          <w:tcPr>
            <w:tcW w:w="572" w:type="pct"/>
            <w:tcBorders>
              <w:top w:val="single" w:sz="4" w:space="0" w:color="808080" w:themeColor="background1" w:themeShade="80"/>
            </w:tcBorders>
            <w:vAlign w:val="center"/>
          </w:tcPr>
          <w:p w14:paraId="15109E1B" w14:textId="3FE03251" w:rsidR="00AB1F61" w:rsidRPr="00CB38F0"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val="el-GR" w:eastAsia="el-GR"/>
              </w:rPr>
            </w:pPr>
            <w:r>
              <w:rPr>
                <w:rFonts w:ascii="Arial" w:eastAsia="Times New Roman" w:hAnsi="Arial" w:cs="Arial"/>
                <w:sz w:val="18"/>
                <w:szCs w:val="20"/>
                <w:lang w:eastAsia="el-GR"/>
              </w:rPr>
              <w:t>86</w:t>
            </w:r>
          </w:p>
        </w:tc>
        <w:tc>
          <w:tcPr>
            <w:tcW w:w="572" w:type="pct"/>
            <w:tcBorders>
              <w:top w:val="single" w:sz="4" w:space="0" w:color="808080" w:themeColor="background1" w:themeShade="80"/>
            </w:tcBorders>
            <w:vAlign w:val="center"/>
          </w:tcPr>
          <w:p w14:paraId="313746DA" w14:textId="503D9629"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val="el-GR" w:eastAsia="el-GR"/>
              </w:rPr>
            </w:pPr>
            <w:r>
              <w:rPr>
                <w:rFonts w:ascii="Arial" w:eastAsia="Times New Roman" w:hAnsi="Arial" w:cs="Arial"/>
                <w:sz w:val="18"/>
                <w:szCs w:val="20"/>
                <w:lang w:eastAsia="el-GR"/>
              </w:rPr>
              <w:t>90</w:t>
            </w:r>
          </w:p>
        </w:tc>
        <w:tc>
          <w:tcPr>
            <w:tcW w:w="445" w:type="pct"/>
            <w:tcBorders>
              <w:top w:val="single" w:sz="4" w:space="0" w:color="808080" w:themeColor="background1" w:themeShade="80"/>
            </w:tcBorders>
            <w:vAlign w:val="center"/>
          </w:tcPr>
          <w:p w14:paraId="327EA96F" w14:textId="49F14741"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eastAsia="el-GR"/>
              </w:rPr>
            </w:pPr>
            <w:r>
              <w:rPr>
                <w:rFonts w:ascii="Arial" w:eastAsia="Times New Roman" w:hAnsi="Arial" w:cs="Arial"/>
                <w:sz w:val="18"/>
                <w:szCs w:val="20"/>
                <w:lang w:eastAsia="el-GR"/>
              </w:rPr>
              <w:t>44</w:t>
            </w:r>
          </w:p>
        </w:tc>
        <w:tc>
          <w:tcPr>
            <w:tcW w:w="447" w:type="pct"/>
            <w:tcBorders>
              <w:top w:val="single" w:sz="4" w:space="0" w:color="808080" w:themeColor="background1" w:themeShade="80"/>
            </w:tcBorders>
            <w:vAlign w:val="center"/>
          </w:tcPr>
          <w:p w14:paraId="3430546D" w14:textId="65B67CA8" w:rsidR="00AB1F61" w:rsidRPr="00CB38F0"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lang w:eastAsia="el-GR"/>
              </w:rPr>
            </w:pPr>
            <w:r>
              <w:rPr>
                <w:rFonts w:ascii="Arial" w:eastAsia="Times New Roman" w:hAnsi="Arial" w:cs="Arial"/>
                <w:sz w:val="18"/>
                <w:szCs w:val="20"/>
                <w:lang w:eastAsia="el-GR"/>
              </w:rPr>
              <w:t>42</w:t>
            </w:r>
          </w:p>
        </w:tc>
        <w:tc>
          <w:tcPr>
            <w:tcW w:w="528" w:type="pct"/>
            <w:tcBorders>
              <w:top w:val="single" w:sz="4" w:space="0" w:color="808080" w:themeColor="background1" w:themeShade="80"/>
            </w:tcBorders>
            <w:shd w:val="clear" w:color="auto" w:fill="auto"/>
            <w:vAlign w:val="center"/>
          </w:tcPr>
          <w:p w14:paraId="4E3875F9" w14:textId="24D92A1A"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eastAsia="el-GR"/>
              </w:rPr>
            </w:pPr>
            <w:r>
              <w:rPr>
                <w:rFonts w:ascii="Arial" w:eastAsia="Times New Roman" w:hAnsi="Arial" w:cs="Arial"/>
                <w:sz w:val="18"/>
                <w:szCs w:val="20"/>
                <w:lang w:eastAsia="el-GR"/>
              </w:rPr>
              <w:t>5%</w:t>
            </w:r>
          </w:p>
        </w:tc>
        <w:tc>
          <w:tcPr>
            <w:tcW w:w="441" w:type="pct"/>
            <w:tcBorders>
              <w:top w:val="single" w:sz="4" w:space="0" w:color="808080" w:themeColor="background1" w:themeShade="80"/>
            </w:tcBorders>
            <w:vAlign w:val="center"/>
          </w:tcPr>
          <w:p w14:paraId="6712A66C" w14:textId="3A30DE98"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eastAsia="el-GR"/>
              </w:rPr>
            </w:pPr>
            <w:r>
              <w:rPr>
                <w:rFonts w:ascii="Arial" w:eastAsia="Times New Roman" w:hAnsi="Arial" w:cs="Arial"/>
                <w:sz w:val="18"/>
                <w:szCs w:val="20"/>
                <w:lang w:eastAsia="el-GR"/>
              </w:rPr>
              <w:t>-4%</w:t>
            </w:r>
          </w:p>
        </w:tc>
      </w:tr>
      <w:tr w:rsidR="00AB1F61" w:rsidRPr="006B5511" w14:paraId="6BC593B6" w14:textId="77777777" w:rsidTr="007B262A">
        <w:trPr>
          <w:trHeight w:val="249"/>
          <w:jc w:val="center"/>
        </w:trPr>
        <w:tc>
          <w:tcPr>
            <w:tcW w:w="1995" w:type="pct"/>
            <w:vAlign w:val="center"/>
          </w:tcPr>
          <w:p w14:paraId="57215D72" w14:textId="4B022242" w:rsidR="00AB1F61" w:rsidRPr="00CB38F0" w:rsidRDefault="00AB1F61" w:rsidP="00AB1F61">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sz w:val="18"/>
                <w:szCs w:val="18"/>
                <w:lang w:val="el-GR" w:eastAsia="el-GR"/>
              </w:rPr>
            </w:pPr>
            <w:r w:rsidRPr="00CB38F0">
              <w:rPr>
                <w:rFonts w:ascii="Arial" w:hAnsi="Arial" w:cs="Arial"/>
                <w:sz w:val="18"/>
                <w:szCs w:val="18"/>
                <w:lang w:val="el-GR"/>
              </w:rPr>
              <w:t>Καθαρά κέρδη από διαπραγμάτευση συναλλάγματος και καθαρά κέρδη από χρηματοοικαονομικά μέσα</w:t>
            </w:r>
          </w:p>
        </w:tc>
        <w:tc>
          <w:tcPr>
            <w:tcW w:w="572" w:type="pct"/>
            <w:vAlign w:val="center"/>
          </w:tcPr>
          <w:p w14:paraId="1F611A5D" w14:textId="10745C16" w:rsidR="00AB1F61" w:rsidRPr="00CB38F0"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sz w:val="18"/>
                <w:szCs w:val="18"/>
                <w:highlight w:val="yellow"/>
                <w:lang w:val="el-GR" w:eastAsia="el-GR"/>
              </w:rPr>
            </w:pPr>
            <w:r>
              <w:rPr>
                <w:rFonts w:ascii="Arial" w:eastAsia="Times New Roman" w:hAnsi="Arial" w:cs="Arial"/>
                <w:sz w:val="18"/>
                <w:szCs w:val="20"/>
                <w:lang w:eastAsia="el-GR"/>
              </w:rPr>
              <w:t>13</w:t>
            </w:r>
          </w:p>
        </w:tc>
        <w:tc>
          <w:tcPr>
            <w:tcW w:w="572" w:type="pct"/>
            <w:vAlign w:val="center"/>
          </w:tcPr>
          <w:p w14:paraId="360AB8A1" w14:textId="7FD83B11"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sz w:val="18"/>
                <w:szCs w:val="18"/>
                <w:highlight w:val="yellow"/>
                <w:lang w:val="el-GR" w:eastAsia="el-GR"/>
              </w:rPr>
            </w:pPr>
            <w:r>
              <w:rPr>
                <w:rFonts w:ascii="Arial" w:eastAsia="Times New Roman" w:hAnsi="Arial" w:cs="Arial"/>
                <w:sz w:val="18"/>
                <w:szCs w:val="20"/>
                <w:lang w:eastAsia="el-GR"/>
              </w:rPr>
              <w:t>21</w:t>
            </w:r>
          </w:p>
        </w:tc>
        <w:tc>
          <w:tcPr>
            <w:tcW w:w="445" w:type="pct"/>
            <w:vAlign w:val="center"/>
          </w:tcPr>
          <w:p w14:paraId="10E2428B" w14:textId="796D1D5F"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sz w:val="18"/>
                <w:szCs w:val="18"/>
                <w:highlight w:val="yellow"/>
                <w:lang w:eastAsia="el-GR"/>
              </w:rPr>
            </w:pPr>
            <w:r>
              <w:rPr>
                <w:rFonts w:ascii="Arial" w:eastAsia="Times New Roman" w:hAnsi="Arial" w:cs="Arial"/>
                <w:sz w:val="18"/>
                <w:szCs w:val="20"/>
                <w:lang w:eastAsia="el-GR"/>
              </w:rPr>
              <w:t>6</w:t>
            </w:r>
          </w:p>
        </w:tc>
        <w:tc>
          <w:tcPr>
            <w:tcW w:w="447" w:type="pct"/>
            <w:vAlign w:val="center"/>
          </w:tcPr>
          <w:p w14:paraId="1A0A0B01" w14:textId="255EF0D1" w:rsidR="00AB1F61" w:rsidRPr="00CB38F0"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sz w:val="18"/>
                <w:szCs w:val="18"/>
                <w:lang w:eastAsia="el-GR"/>
              </w:rPr>
            </w:pPr>
            <w:r>
              <w:rPr>
                <w:rFonts w:ascii="Arial" w:eastAsia="Times New Roman" w:hAnsi="Arial" w:cs="Arial"/>
                <w:sz w:val="18"/>
                <w:szCs w:val="20"/>
                <w:lang w:eastAsia="el-GR"/>
              </w:rPr>
              <w:t>7</w:t>
            </w:r>
          </w:p>
        </w:tc>
        <w:tc>
          <w:tcPr>
            <w:tcW w:w="528" w:type="pct"/>
            <w:shd w:val="clear" w:color="auto" w:fill="auto"/>
            <w:vAlign w:val="center"/>
          </w:tcPr>
          <w:p w14:paraId="3E662DE2" w14:textId="46493C4B"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sz w:val="18"/>
                <w:szCs w:val="18"/>
                <w:highlight w:val="yellow"/>
                <w:lang w:eastAsia="el-GR"/>
              </w:rPr>
            </w:pPr>
            <w:r>
              <w:rPr>
                <w:rFonts w:ascii="Arial" w:eastAsia="Times New Roman" w:hAnsi="Arial" w:cs="Arial"/>
                <w:sz w:val="18"/>
                <w:szCs w:val="20"/>
                <w:lang w:eastAsia="el-GR"/>
              </w:rPr>
              <w:t>-20%</w:t>
            </w:r>
          </w:p>
        </w:tc>
        <w:tc>
          <w:tcPr>
            <w:tcW w:w="441" w:type="pct"/>
            <w:vAlign w:val="center"/>
          </w:tcPr>
          <w:p w14:paraId="70FB179B" w14:textId="029AF632"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sz w:val="18"/>
                <w:szCs w:val="18"/>
                <w:highlight w:val="yellow"/>
                <w:lang w:eastAsia="el-GR"/>
              </w:rPr>
            </w:pPr>
            <w:r>
              <w:rPr>
                <w:rFonts w:ascii="Arial" w:eastAsia="Times New Roman" w:hAnsi="Arial" w:cs="Arial"/>
                <w:sz w:val="18"/>
                <w:szCs w:val="20"/>
                <w:lang w:eastAsia="el-GR"/>
              </w:rPr>
              <w:t>-38%</w:t>
            </w:r>
          </w:p>
        </w:tc>
      </w:tr>
      <w:tr w:rsidR="00AB1F61" w:rsidRPr="006B5511" w14:paraId="17C950B2" w14:textId="77777777" w:rsidTr="007B262A">
        <w:trPr>
          <w:trHeight w:val="249"/>
          <w:jc w:val="center"/>
        </w:trPr>
        <w:tc>
          <w:tcPr>
            <w:tcW w:w="1995" w:type="pct"/>
            <w:vAlign w:val="center"/>
          </w:tcPr>
          <w:p w14:paraId="28299CE3" w14:textId="02E98DB2" w:rsidR="00AB1F61" w:rsidRPr="00CB38F0" w:rsidRDefault="00AB1F61" w:rsidP="00AB1F61">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sz w:val="18"/>
                <w:szCs w:val="18"/>
                <w:lang w:val="el-GR" w:eastAsia="el-GR"/>
              </w:rPr>
            </w:pPr>
            <w:bookmarkStart w:id="14" w:name="_Hlk118375782"/>
            <w:r w:rsidRPr="00CB38F0">
              <w:rPr>
                <w:rFonts w:ascii="Arial" w:hAnsi="Arial" w:cs="Arial"/>
                <w:sz w:val="18"/>
                <w:szCs w:val="18"/>
                <w:lang w:val="el-GR"/>
              </w:rPr>
              <w:t>Καθαρό αποτέλεσμα από ασφαλιστικές εργασίες</w:t>
            </w:r>
            <w:bookmarkEnd w:id="14"/>
          </w:p>
        </w:tc>
        <w:tc>
          <w:tcPr>
            <w:tcW w:w="572" w:type="pct"/>
            <w:vAlign w:val="center"/>
          </w:tcPr>
          <w:p w14:paraId="237C24F6" w14:textId="60DD9DD2" w:rsidR="00AB1F61" w:rsidRPr="00CB38F0"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val="el-GR" w:eastAsia="el-GR"/>
              </w:rPr>
            </w:pPr>
            <w:r>
              <w:rPr>
                <w:rFonts w:ascii="Arial" w:eastAsia="Times New Roman" w:hAnsi="Arial" w:cs="Arial"/>
                <w:sz w:val="18"/>
                <w:szCs w:val="20"/>
                <w:lang w:eastAsia="el-GR"/>
              </w:rPr>
              <w:t>23</w:t>
            </w:r>
          </w:p>
        </w:tc>
        <w:tc>
          <w:tcPr>
            <w:tcW w:w="572" w:type="pct"/>
            <w:vAlign w:val="center"/>
          </w:tcPr>
          <w:p w14:paraId="5F747519" w14:textId="2D8E8D33"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val="el-GR" w:eastAsia="el-GR"/>
              </w:rPr>
            </w:pPr>
            <w:r w:rsidRPr="00AA1DCA">
              <w:rPr>
                <w:rFonts w:ascii="Arial" w:eastAsia="Times New Roman" w:hAnsi="Arial" w:cs="Arial"/>
                <w:sz w:val="18"/>
                <w:szCs w:val="20"/>
                <w:lang w:eastAsia="el-GR"/>
              </w:rPr>
              <w:t>25</w:t>
            </w:r>
          </w:p>
        </w:tc>
        <w:tc>
          <w:tcPr>
            <w:tcW w:w="445" w:type="pct"/>
            <w:vAlign w:val="center"/>
          </w:tcPr>
          <w:p w14:paraId="792C11C0" w14:textId="0AB7B5A1"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eastAsia="el-GR"/>
              </w:rPr>
            </w:pPr>
            <w:r>
              <w:rPr>
                <w:rFonts w:ascii="Arial" w:eastAsia="Times New Roman" w:hAnsi="Arial" w:cs="Arial"/>
                <w:sz w:val="18"/>
                <w:szCs w:val="20"/>
                <w:lang w:eastAsia="el-GR"/>
              </w:rPr>
              <w:t>13</w:t>
            </w:r>
          </w:p>
        </w:tc>
        <w:tc>
          <w:tcPr>
            <w:tcW w:w="447" w:type="pct"/>
            <w:vAlign w:val="center"/>
          </w:tcPr>
          <w:p w14:paraId="6B625B7F" w14:textId="50CBB9B0" w:rsidR="00AB1F61" w:rsidRPr="00CB38F0"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lang w:eastAsia="el-GR"/>
              </w:rPr>
            </w:pPr>
            <w:r>
              <w:rPr>
                <w:rFonts w:ascii="Arial" w:eastAsia="Times New Roman" w:hAnsi="Arial" w:cs="Arial"/>
                <w:sz w:val="18"/>
                <w:szCs w:val="20"/>
                <w:lang w:eastAsia="el-GR"/>
              </w:rPr>
              <w:t>10</w:t>
            </w:r>
          </w:p>
        </w:tc>
        <w:tc>
          <w:tcPr>
            <w:tcW w:w="528" w:type="pct"/>
            <w:shd w:val="clear" w:color="auto" w:fill="auto"/>
            <w:vAlign w:val="center"/>
          </w:tcPr>
          <w:p w14:paraId="406E35BE" w14:textId="329F7ED0"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eastAsia="el-GR"/>
              </w:rPr>
            </w:pPr>
            <w:r>
              <w:rPr>
                <w:rFonts w:ascii="Arial" w:eastAsia="Times New Roman" w:hAnsi="Arial" w:cs="Arial"/>
                <w:sz w:val="18"/>
                <w:szCs w:val="20"/>
                <w:lang w:eastAsia="el-GR"/>
              </w:rPr>
              <w:t>30%</w:t>
            </w:r>
          </w:p>
        </w:tc>
        <w:tc>
          <w:tcPr>
            <w:tcW w:w="441" w:type="pct"/>
            <w:vAlign w:val="center"/>
          </w:tcPr>
          <w:p w14:paraId="5F1084F3" w14:textId="2BD0BE4A"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eastAsia="el-GR"/>
              </w:rPr>
            </w:pPr>
            <w:r>
              <w:rPr>
                <w:rFonts w:ascii="Arial" w:eastAsia="Times New Roman" w:hAnsi="Arial" w:cs="Arial"/>
                <w:sz w:val="18"/>
                <w:szCs w:val="20"/>
                <w:lang w:eastAsia="el-GR"/>
              </w:rPr>
              <w:t>-7%</w:t>
            </w:r>
          </w:p>
        </w:tc>
      </w:tr>
      <w:tr w:rsidR="00AB1F61" w:rsidRPr="006B5511" w14:paraId="1C0CB307" w14:textId="77777777" w:rsidTr="007B262A">
        <w:trPr>
          <w:trHeight w:val="249"/>
          <w:jc w:val="center"/>
        </w:trPr>
        <w:tc>
          <w:tcPr>
            <w:tcW w:w="1995" w:type="pct"/>
            <w:vAlign w:val="center"/>
          </w:tcPr>
          <w:p w14:paraId="62032238" w14:textId="620B8376" w:rsidR="00AB1F61" w:rsidRPr="00CB38F0" w:rsidRDefault="00AB1F61" w:rsidP="00AB1F61">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sz w:val="18"/>
                <w:szCs w:val="18"/>
                <w:lang w:val="el-GR" w:eastAsia="el-GR"/>
              </w:rPr>
            </w:pPr>
            <w:r w:rsidRPr="00CB38F0">
              <w:rPr>
                <w:rFonts w:ascii="Arial" w:hAnsi="Arial" w:cs="Arial"/>
                <w:sz w:val="18"/>
                <w:szCs w:val="18"/>
                <w:lang w:val="el-GR"/>
              </w:rPr>
              <w:t>Καθαρά κέρδη/(ζημιές) από επανεκτίμηση και πώληση επενδύσεων σε ακίνητα και από πώληση αποθεμάτων ακινήτων</w:t>
            </w:r>
          </w:p>
        </w:tc>
        <w:tc>
          <w:tcPr>
            <w:tcW w:w="572" w:type="pct"/>
            <w:vAlign w:val="center"/>
          </w:tcPr>
          <w:p w14:paraId="36A643A0" w14:textId="6903E3B0" w:rsidR="00AB1F61" w:rsidRPr="00CB38F0"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val="el-GR" w:eastAsia="el-GR"/>
              </w:rPr>
            </w:pPr>
            <w:r>
              <w:rPr>
                <w:rFonts w:ascii="Arial" w:eastAsia="Times New Roman" w:hAnsi="Arial" w:cs="Arial"/>
                <w:sz w:val="18"/>
                <w:szCs w:val="20"/>
                <w:lang w:eastAsia="el-GR"/>
              </w:rPr>
              <w:t>2</w:t>
            </w:r>
          </w:p>
        </w:tc>
        <w:tc>
          <w:tcPr>
            <w:tcW w:w="572" w:type="pct"/>
            <w:vAlign w:val="center"/>
          </w:tcPr>
          <w:p w14:paraId="2D44AA18" w14:textId="0220F6BA"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val="el-GR" w:eastAsia="el-GR"/>
              </w:rPr>
            </w:pPr>
            <w:r w:rsidRPr="00AA1DCA">
              <w:rPr>
                <w:rFonts w:ascii="Arial" w:eastAsia="Times New Roman" w:hAnsi="Arial" w:cs="Arial"/>
                <w:sz w:val="18"/>
                <w:szCs w:val="20"/>
                <w:lang w:eastAsia="el-GR"/>
              </w:rPr>
              <w:t>5</w:t>
            </w:r>
          </w:p>
        </w:tc>
        <w:tc>
          <w:tcPr>
            <w:tcW w:w="445" w:type="pct"/>
            <w:vAlign w:val="center"/>
          </w:tcPr>
          <w:p w14:paraId="04A33058" w14:textId="2943A4A5"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eastAsia="el-GR"/>
              </w:rPr>
            </w:pPr>
            <w:r>
              <w:rPr>
                <w:rFonts w:ascii="Arial" w:eastAsia="Times New Roman" w:hAnsi="Arial" w:cs="Arial"/>
                <w:sz w:val="18"/>
                <w:szCs w:val="20"/>
                <w:lang w:eastAsia="el-GR"/>
              </w:rPr>
              <w:t>1</w:t>
            </w:r>
          </w:p>
        </w:tc>
        <w:tc>
          <w:tcPr>
            <w:tcW w:w="447" w:type="pct"/>
            <w:vAlign w:val="center"/>
          </w:tcPr>
          <w:p w14:paraId="04AF2BE6" w14:textId="45A5E8E1" w:rsidR="00AB1F61" w:rsidRPr="00CB38F0"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lang w:eastAsia="el-GR"/>
              </w:rPr>
            </w:pPr>
            <w:r>
              <w:rPr>
                <w:rFonts w:ascii="Arial" w:eastAsia="Times New Roman" w:hAnsi="Arial" w:cs="Arial"/>
                <w:sz w:val="18"/>
                <w:szCs w:val="20"/>
                <w:lang w:eastAsia="el-GR"/>
              </w:rPr>
              <w:t>1</w:t>
            </w:r>
          </w:p>
        </w:tc>
        <w:tc>
          <w:tcPr>
            <w:tcW w:w="528" w:type="pct"/>
            <w:shd w:val="clear" w:color="auto" w:fill="auto"/>
            <w:vAlign w:val="center"/>
          </w:tcPr>
          <w:p w14:paraId="0664CCFC" w14:textId="08E3D922"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eastAsia="el-GR"/>
              </w:rPr>
            </w:pPr>
            <w:r>
              <w:rPr>
                <w:rFonts w:ascii="Arial" w:eastAsia="Times New Roman" w:hAnsi="Arial" w:cs="Arial"/>
                <w:sz w:val="18"/>
                <w:szCs w:val="20"/>
                <w:lang w:eastAsia="el-GR"/>
              </w:rPr>
              <w:t>39%</w:t>
            </w:r>
          </w:p>
        </w:tc>
        <w:tc>
          <w:tcPr>
            <w:tcW w:w="441" w:type="pct"/>
            <w:vAlign w:val="center"/>
          </w:tcPr>
          <w:p w14:paraId="64188755" w14:textId="280DAC38"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eastAsia="el-GR"/>
              </w:rPr>
            </w:pPr>
            <w:r>
              <w:rPr>
                <w:rFonts w:ascii="Arial" w:eastAsia="Times New Roman" w:hAnsi="Arial" w:cs="Arial"/>
                <w:sz w:val="18"/>
                <w:szCs w:val="20"/>
                <w:lang w:eastAsia="el-GR"/>
              </w:rPr>
              <w:t>-72%</w:t>
            </w:r>
          </w:p>
        </w:tc>
      </w:tr>
      <w:tr w:rsidR="00AB1F61" w:rsidRPr="006B5511" w14:paraId="42FD57E1" w14:textId="77777777" w:rsidTr="007B262A">
        <w:trPr>
          <w:trHeight w:val="249"/>
          <w:jc w:val="center"/>
        </w:trPr>
        <w:tc>
          <w:tcPr>
            <w:tcW w:w="1995" w:type="pct"/>
            <w:tcBorders>
              <w:bottom w:val="single" w:sz="4" w:space="0" w:color="808080" w:themeColor="background1" w:themeShade="80"/>
            </w:tcBorders>
            <w:vAlign w:val="center"/>
          </w:tcPr>
          <w:p w14:paraId="69D7B43A" w14:textId="0B1A32CD" w:rsidR="00AB1F61" w:rsidRPr="00CB38F0" w:rsidRDefault="00AB1F61" w:rsidP="00AB1F61">
            <w:pPr>
              <w:tabs>
                <w:tab w:val="left" w:pos="-43"/>
                <w:tab w:val="left" w:pos="1416"/>
                <w:tab w:val="decimal" w:pos="4962"/>
                <w:tab w:val="decimal" w:pos="6521"/>
                <w:tab w:val="right" w:pos="7560"/>
                <w:tab w:val="decimal" w:pos="8220"/>
                <w:tab w:val="left" w:pos="8640"/>
                <w:tab w:val="right" w:pos="9000"/>
              </w:tabs>
              <w:suppressAutoHyphens/>
              <w:spacing w:after="0" w:line="240" w:lineRule="auto"/>
              <w:ind w:left="-93" w:right="20" w:firstLine="93"/>
              <w:rPr>
                <w:rFonts w:ascii="Arial" w:eastAsia="Times New Roman" w:hAnsi="Arial" w:cs="Arial"/>
                <w:sz w:val="18"/>
                <w:szCs w:val="18"/>
                <w:lang w:eastAsia="el-GR"/>
              </w:rPr>
            </w:pPr>
            <w:r w:rsidRPr="00CB38F0">
              <w:rPr>
                <w:rFonts w:ascii="Arial" w:hAnsi="Arial" w:cs="Arial"/>
                <w:color w:val="000000" w:themeColor="text1"/>
                <w:sz w:val="18"/>
                <w:szCs w:val="18"/>
              </w:rPr>
              <w:t>Λοιπά έσοδα</w:t>
            </w:r>
          </w:p>
        </w:tc>
        <w:tc>
          <w:tcPr>
            <w:tcW w:w="572" w:type="pct"/>
            <w:tcBorders>
              <w:bottom w:val="single" w:sz="4" w:space="0" w:color="808080" w:themeColor="background1" w:themeShade="80"/>
            </w:tcBorders>
            <w:vAlign w:val="center"/>
          </w:tcPr>
          <w:p w14:paraId="11623460" w14:textId="7EA868EB"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eastAsia="el-GR"/>
              </w:rPr>
            </w:pPr>
            <w:r>
              <w:rPr>
                <w:rFonts w:ascii="Arial" w:eastAsia="Times New Roman" w:hAnsi="Arial" w:cs="Arial"/>
                <w:sz w:val="18"/>
                <w:szCs w:val="20"/>
                <w:lang w:eastAsia="el-GR"/>
              </w:rPr>
              <w:t>5</w:t>
            </w:r>
          </w:p>
        </w:tc>
        <w:tc>
          <w:tcPr>
            <w:tcW w:w="572" w:type="pct"/>
            <w:tcBorders>
              <w:bottom w:val="single" w:sz="4" w:space="0" w:color="808080" w:themeColor="background1" w:themeShade="80"/>
            </w:tcBorders>
            <w:vAlign w:val="center"/>
          </w:tcPr>
          <w:p w14:paraId="132A0B9C" w14:textId="2F94A308"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eastAsia="el-GR"/>
              </w:rPr>
            </w:pPr>
            <w:r w:rsidRPr="00AA1DCA">
              <w:rPr>
                <w:rFonts w:ascii="Arial" w:eastAsia="Times New Roman" w:hAnsi="Arial" w:cs="Arial"/>
                <w:sz w:val="18"/>
                <w:szCs w:val="20"/>
                <w:lang w:eastAsia="el-GR"/>
              </w:rPr>
              <w:t>12</w:t>
            </w:r>
          </w:p>
        </w:tc>
        <w:tc>
          <w:tcPr>
            <w:tcW w:w="445" w:type="pct"/>
            <w:tcBorders>
              <w:bottom w:val="single" w:sz="4" w:space="0" w:color="808080" w:themeColor="background1" w:themeShade="80"/>
            </w:tcBorders>
            <w:vAlign w:val="center"/>
          </w:tcPr>
          <w:p w14:paraId="39F8EBE3" w14:textId="49EAEBA0"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eastAsia="el-GR"/>
              </w:rPr>
            </w:pPr>
            <w:r>
              <w:rPr>
                <w:rFonts w:ascii="Arial" w:eastAsia="Times New Roman" w:hAnsi="Arial" w:cs="Arial"/>
                <w:sz w:val="18"/>
                <w:szCs w:val="20"/>
                <w:lang w:eastAsia="el-GR"/>
              </w:rPr>
              <w:t>2</w:t>
            </w:r>
          </w:p>
        </w:tc>
        <w:tc>
          <w:tcPr>
            <w:tcW w:w="447" w:type="pct"/>
            <w:tcBorders>
              <w:bottom w:val="single" w:sz="4" w:space="0" w:color="808080" w:themeColor="background1" w:themeShade="80"/>
            </w:tcBorders>
            <w:vAlign w:val="center"/>
          </w:tcPr>
          <w:p w14:paraId="0ECC5E40" w14:textId="743F36B4" w:rsidR="00AB1F61" w:rsidRPr="00CB38F0"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lang w:eastAsia="el-GR"/>
              </w:rPr>
            </w:pPr>
            <w:r>
              <w:rPr>
                <w:rFonts w:ascii="Arial" w:eastAsia="Times New Roman" w:hAnsi="Arial" w:cs="Arial"/>
                <w:sz w:val="18"/>
                <w:szCs w:val="20"/>
                <w:lang w:eastAsia="el-GR"/>
              </w:rPr>
              <w:t>3</w:t>
            </w:r>
          </w:p>
        </w:tc>
        <w:tc>
          <w:tcPr>
            <w:tcW w:w="528" w:type="pct"/>
            <w:tcBorders>
              <w:bottom w:val="single" w:sz="4" w:space="0" w:color="808080" w:themeColor="background1" w:themeShade="80"/>
            </w:tcBorders>
            <w:shd w:val="clear" w:color="auto" w:fill="auto"/>
            <w:vAlign w:val="center"/>
          </w:tcPr>
          <w:p w14:paraId="3DDBEBD0" w14:textId="38229E90"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eastAsia="el-GR"/>
              </w:rPr>
            </w:pPr>
            <w:r>
              <w:rPr>
                <w:rFonts w:ascii="Arial" w:eastAsia="Times New Roman" w:hAnsi="Arial" w:cs="Arial"/>
                <w:sz w:val="18"/>
                <w:szCs w:val="20"/>
                <w:lang w:eastAsia="el-GR"/>
              </w:rPr>
              <w:t>-22%</w:t>
            </w:r>
          </w:p>
        </w:tc>
        <w:tc>
          <w:tcPr>
            <w:tcW w:w="441" w:type="pct"/>
            <w:tcBorders>
              <w:bottom w:val="single" w:sz="4" w:space="0" w:color="808080" w:themeColor="background1" w:themeShade="80"/>
            </w:tcBorders>
            <w:vAlign w:val="center"/>
          </w:tcPr>
          <w:p w14:paraId="38F2503F" w14:textId="2329C7DE"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eastAsia="el-GR"/>
              </w:rPr>
            </w:pPr>
            <w:r>
              <w:rPr>
                <w:rFonts w:ascii="Arial" w:eastAsia="Times New Roman" w:hAnsi="Arial" w:cs="Arial"/>
                <w:sz w:val="18"/>
                <w:szCs w:val="20"/>
                <w:lang w:eastAsia="el-GR"/>
              </w:rPr>
              <w:t>-57%</w:t>
            </w:r>
          </w:p>
        </w:tc>
      </w:tr>
      <w:tr w:rsidR="00AB1F61" w:rsidRPr="006B5511" w14:paraId="5018D17F" w14:textId="77777777" w:rsidTr="007B262A">
        <w:trPr>
          <w:trHeight w:val="249"/>
          <w:jc w:val="center"/>
        </w:trPr>
        <w:tc>
          <w:tcPr>
            <w:tcW w:w="1995" w:type="pct"/>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690C3EAD" w14:textId="1447F495" w:rsidR="00AB1F61" w:rsidRPr="00CB38F0" w:rsidRDefault="00AB1F61" w:rsidP="00AB1F61">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b/>
                <w:bCs/>
                <w:sz w:val="18"/>
                <w:szCs w:val="18"/>
                <w:lang w:eastAsia="el-GR"/>
              </w:rPr>
            </w:pPr>
            <w:r w:rsidRPr="00CB38F0">
              <w:rPr>
                <w:rFonts w:ascii="Arial" w:hAnsi="Arial" w:cs="Arial"/>
                <w:b/>
                <w:bCs/>
                <w:color w:val="000000" w:themeColor="text1"/>
                <w:sz w:val="18"/>
                <w:szCs w:val="18"/>
              </w:rPr>
              <w:t>Μη επιτοκιακά έσοδα</w:t>
            </w:r>
          </w:p>
        </w:tc>
        <w:tc>
          <w:tcPr>
            <w:tcW w:w="572" w:type="pct"/>
            <w:tcBorders>
              <w:top w:val="single" w:sz="4" w:space="0" w:color="808080" w:themeColor="background1" w:themeShade="80"/>
              <w:bottom w:val="single" w:sz="4" w:space="0" w:color="808080" w:themeColor="background1" w:themeShade="80"/>
            </w:tcBorders>
            <w:vAlign w:val="center"/>
          </w:tcPr>
          <w:p w14:paraId="6BFEDD01" w14:textId="694A5D4E"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8"/>
                <w:szCs w:val="18"/>
                <w:highlight w:val="yellow"/>
                <w:lang w:eastAsia="el-GR"/>
              </w:rPr>
            </w:pPr>
            <w:r>
              <w:rPr>
                <w:rFonts w:ascii="Arial" w:eastAsia="Times New Roman" w:hAnsi="Arial" w:cs="Arial"/>
                <w:b/>
                <w:bCs/>
                <w:sz w:val="18"/>
                <w:szCs w:val="20"/>
                <w:lang w:eastAsia="el-GR"/>
              </w:rPr>
              <w:t>129</w:t>
            </w:r>
          </w:p>
        </w:tc>
        <w:tc>
          <w:tcPr>
            <w:tcW w:w="572" w:type="pct"/>
            <w:tcBorders>
              <w:top w:val="single" w:sz="4" w:space="0" w:color="808080" w:themeColor="background1" w:themeShade="80"/>
              <w:bottom w:val="single" w:sz="4" w:space="0" w:color="808080" w:themeColor="background1" w:themeShade="80"/>
            </w:tcBorders>
            <w:vAlign w:val="center"/>
          </w:tcPr>
          <w:p w14:paraId="15CD5C80" w14:textId="14E5430D"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8"/>
                <w:szCs w:val="18"/>
                <w:highlight w:val="yellow"/>
                <w:lang w:eastAsia="el-GR"/>
              </w:rPr>
            </w:pPr>
            <w:r w:rsidRPr="00AA1DCA">
              <w:rPr>
                <w:rFonts w:ascii="Arial" w:eastAsia="Times New Roman" w:hAnsi="Arial" w:cs="Arial"/>
                <w:b/>
                <w:bCs/>
                <w:sz w:val="18"/>
                <w:szCs w:val="20"/>
                <w:lang w:eastAsia="el-GR"/>
              </w:rPr>
              <w:t>153</w:t>
            </w:r>
          </w:p>
        </w:tc>
        <w:tc>
          <w:tcPr>
            <w:tcW w:w="445" w:type="pct"/>
            <w:tcBorders>
              <w:top w:val="single" w:sz="4" w:space="0" w:color="808080" w:themeColor="background1" w:themeShade="80"/>
              <w:bottom w:val="single" w:sz="4" w:space="0" w:color="808080" w:themeColor="background1" w:themeShade="80"/>
            </w:tcBorders>
            <w:vAlign w:val="center"/>
          </w:tcPr>
          <w:p w14:paraId="0FF14047" w14:textId="27ECEB72"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8"/>
                <w:szCs w:val="18"/>
                <w:highlight w:val="yellow"/>
                <w:lang w:eastAsia="el-GR"/>
              </w:rPr>
            </w:pPr>
            <w:r>
              <w:rPr>
                <w:rFonts w:ascii="Arial" w:eastAsia="Times New Roman" w:hAnsi="Arial" w:cs="Arial"/>
                <w:b/>
                <w:bCs/>
                <w:sz w:val="18"/>
                <w:szCs w:val="20"/>
                <w:lang w:eastAsia="el-GR"/>
              </w:rPr>
              <w:t>66</w:t>
            </w:r>
          </w:p>
        </w:tc>
        <w:tc>
          <w:tcPr>
            <w:tcW w:w="447" w:type="pct"/>
            <w:tcBorders>
              <w:top w:val="single" w:sz="4" w:space="0" w:color="808080" w:themeColor="background1" w:themeShade="80"/>
              <w:bottom w:val="single" w:sz="4" w:space="0" w:color="808080" w:themeColor="background1" w:themeShade="80"/>
            </w:tcBorders>
            <w:vAlign w:val="center"/>
          </w:tcPr>
          <w:p w14:paraId="611118A6" w14:textId="3A4A146D" w:rsidR="00AB1F61" w:rsidRPr="00CB38F0"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8"/>
                <w:szCs w:val="18"/>
                <w:lang w:eastAsia="el-GR"/>
              </w:rPr>
            </w:pPr>
            <w:r>
              <w:rPr>
                <w:rFonts w:ascii="Arial" w:eastAsia="Times New Roman" w:hAnsi="Arial" w:cs="Arial"/>
                <w:b/>
                <w:bCs/>
                <w:sz w:val="18"/>
                <w:szCs w:val="20"/>
                <w:lang w:eastAsia="el-GR"/>
              </w:rPr>
              <w:t>63</w:t>
            </w:r>
          </w:p>
        </w:tc>
        <w:tc>
          <w:tcPr>
            <w:tcW w:w="528" w:type="pct"/>
            <w:tcBorders>
              <w:top w:val="single" w:sz="4" w:space="0" w:color="808080" w:themeColor="background1" w:themeShade="80"/>
              <w:bottom w:val="single" w:sz="4" w:space="0" w:color="808080" w:themeColor="background1" w:themeShade="80"/>
            </w:tcBorders>
            <w:shd w:val="clear" w:color="auto" w:fill="auto"/>
            <w:vAlign w:val="center"/>
          </w:tcPr>
          <w:p w14:paraId="540F55D3" w14:textId="46FE771C"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eastAsia="el-GR"/>
              </w:rPr>
            </w:pPr>
            <w:r>
              <w:rPr>
                <w:rFonts w:ascii="Arial" w:eastAsia="Times New Roman" w:hAnsi="Arial" w:cs="Arial"/>
                <w:b/>
                <w:bCs/>
                <w:sz w:val="18"/>
                <w:szCs w:val="20"/>
                <w:lang w:eastAsia="el-GR"/>
              </w:rPr>
              <w:t>5%</w:t>
            </w:r>
          </w:p>
        </w:tc>
        <w:tc>
          <w:tcPr>
            <w:tcW w:w="441" w:type="pct"/>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5C543E" w14:textId="2B2C3B06"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eastAsia="el-GR"/>
              </w:rPr>
            </w:pPr>
            <w:r>
              <w:rPr>
                <w:rFonts w:ascii="Arial" w:eastAsia="Times New Roman" w:hAnsi="Arial" w:cs="Arial"/>
                <w:b/>
                <w:bCs/>
                <w:sz w:val="18"/>
                <w:szCs w:val="20"/>
                <w:lang w:eastAsia="el-GR"/>
              </w:rPr>
              <w:t>-16%</w:t>
            </w:r>
          </w:p>
        </w:tc>
      </w:tr>
      <w:tr w:rsidR="00AB1F61" w:rsidRPr="006B5511" w14:paraId="287F20C3" w14:textId="77777777" w:rsidTr="007B262A">
        <w:trPr>
          <w:trHeight w:val="249"/>
          <w:jc w:val="center"/>
        </w:trPr>
        <w:tc>
          <w:tcPr>
            <w:tcW w:w="1995" w:type="pct"/>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19410B34" w14:textId="78A33796" w:rsidR="00AB1F61" w:rsidRPr="00CB38F0" w:rsidRDefault="00AB1F61" w:rsidP="00AB1F61">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b/>
                <w:bCs/>
                <w:sz w:val="18"/>
                <w:szCs w:val="18"/>
                <w:lang w:eastAsia="el-GR"/>
              </w:rPr>
            </w:pPr>
            <w:r w:rsidRPr="00CB38F0">
              <w:rPr>
                <w:rFonts w:ascii="Arial" w:hAnsi="Arial" w:cs="Arial"/>
                <w:b/>
                <w:bCs/>
                <w:color w:val="000000" w:themeColor="text1"/>
                <w:sz w:val="18"/>
                <w:szCs w:val="18"/>
              </w:rPr>
              <w:t>Σύνολο εσόδων</w:t>
            </w:r>
          </w:p>
        </w:tc>
        <w:tc>
          <w:tcPr>
            <w:tcW w:w="572" w:type="pct"/>
            <w:tcBorders>
              <w:top w:val="single" w:sz="4" w:space="0" w:color="808080" w:themeColor="background1" w:themeShade="80"/>
              <w:bottom w:val="single" w:sz="4" w:space="0" w:color="808080" w:themeColor="background1" w:themeShade="80"/>
            </w:tcBorders>
            <w:vAlign w:val="center"/>
          </w:tcPr>
          <w:p w14:paraId="353194B5" w14:textId="7F424653"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8"/>
                <w:szCs w:val="18"/>
                <w:highlight w:val="yellow"/>
                <w:lang w:eastAsia="el-GR"/>
              </w:rPr>
            </w:pPr>
            <w:r>
              <w:rPr>
                <w:rFonts w:ascii="Arial" w:eastAsia="Times New Roman" w:hAnsi="Arial" w:cs="Arial"/>
                <w:b/>
                <w:bCs/>
                <w:sz w:val="18"/>
                <w:szCs w:val="20"/>
                <w:lang w:eastAsia="el-GR"/>
              </w:rPr>
              <w:t>549</w:t>
            </w:r>
          </w:p>
        </w:tc>
        <w:tc>
          <w:tcPr>
            <w:tcW w:w="572" w:type="pct"/>
            <w:tcBorders>
              <w:top w:val="single" w:sz="4" w:space="0" w:color="808080" w:themeColor="background1" w:themeShade="80"/>
              <w:bottom w:val="single" w:sz="4" w:space="0" w:color="808080" w:themeColor="background1" w:themeShade="80"/>
            </w:tcBorders>
            <w:vAlign w:val="center"/>
          </w:tcPr>
          <w:p w14:paraId="6F579ABC" w14:textId="5AE12474"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8"/>
                <w:szCs w:val="18"/>
                <w:highlight w:val="yellow"/>
                <w:lang w:eastAsia="el-GR"/>
              </w:rPr>
            </w:pPr>
            <w:r w:rsidRPr="00AA1DCA">
              <w:rPr>
                <w:rFonts w:ascii="Arial" w:eastAsia="Times New Roman" w:hAnsi="Arial" w:cs="Arial"/>
                <w:b/>
                <w:bCs/>
                <w:sz w:val="18"/>
                <w:szCs w:val="20"/>
                <w:lang w:eastAsia="el-GR"/>
              </w:rPr>
              <w:t>511</w:t>
            </w:r>
          </w:p>
        </w:tc>
        <w:tc>
          <w:tcPr>
            <w:tcW w:w="445" w:type="pct"/>
            <w:tcBorders>
              <w:top w:val="single" w:sz="4" w:space="0" w:color="808080" w:themeColor="background1" w:themeShade="80"/>
              <w:bottom w:val="single" w:sz="4" w:space="0" w:color="808080" w:themeColor="background1" w:themeShade="80"/>
            </w:tcBorders>
            <w:vAlign w:val="center"/>
          </w:tcPr>
          <w:p w14:paraId="4A915EF4" w14:textId="3B688CA7"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8"/>
                <w:szCs w:val="18"/>
                <w:highlight w:val="yellow"/>
                <w:lang w:eastAsia="el-GR"/>
              </w:rPr>
            </w:pPr>
            <w:r>
              <w:rPr>
                <w:rFonts w:ascii="Arial" w:eastAsia="Times New Roman" w:hAnsi="Arial" w:cs="Arial"/>
                <w:b/>
                <w:bCs/>
                <w:sz w:val="18"/>
                <w:szCs w:val="20"/>
                <w:lang w:eastAsia="el-GR"/>
              </w:rPr>
              <w:t>273</w:t>
            </w:r>
          </w:p>
        </w:tc>
        <w:tc>
          <w:tcPr>
            <w:tcW w:w="447" w:type="pct"/>
            <w:tcBorders>
              <w:top w:val="single" w:sz="4" w:space="0" w:color="808080" w:themeColor="background1" w:themeShade="80"/>
              <w:bottom w:val="single" w:sz="4" w:space="0" w:color="808080" w:themeColor="background1" w:themeShade="80"/>
            </w:tcBorders>
            <w:vAlign w:val="center"/>
          </w:tcPr>
          <w:p w14:paraId="51020A88" w14:textId="0A4056BA" w:rsidR="00AB1F61" w:rsidRPr="00CB38F0"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8"/>
                <w:szCs w:val="18"/>
                <w:lang w:eastAsia="el-GR"/>
              </w:rPr>
            </w:pPr>
            <w:r>
              <w:rPr>
                <w:rFonts w:ascii="Arial" w:eastAsia="Times New Roman" w:hAnsi="Arial" w:cs="Arial"/>
                <w:b/>
                <w:bCs/>
                <w:sz w:val="18"/>
                <w:szCs w:val="20"/>
                <w:lang w:eastAsia="el-GR"/>
              </w:rPr>
              <w:t>276</w:t>
            </w:r>
          </w:p>
        </w:tc>
        <w:tc>
          <w:tcPr>
            <w:tcW w:w="528" w:type="pct"/>
            <w:tcBorders>
              <w:top w:val="single" w:sz="4" w:space="0" w:color="808080" w:themeColor="background1" w:themeShade="80"/>
              <w:bottom w:val="single" w:sz="4" w:space="0" w:color="808080" w:themeColor="background1" w:themeShade="80"/>
            </w:tcBorders>
            <w:shd w:val="clear" w:color="auto" w:fill="auto"/>
            <w:vAlign w:val="center"/>
          </w:tcPr>
          <w:p w14:paraId="262EADAA" w14:textId="614BD637"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eastAsia="el-GR"/>
              </w:rPr>
            </w:pPr>
            <w:r>
              <w:rPr>
                <w:rFonts w:ascii="Arial" w:eastAsia="Times New Roman" w:hAnsi="Arial" w:cs="Arial"/>
                <w:b/>
                <w:bCs/>
                <w:sz w:val="18"/>
                <w:szCs w:val="20"/>
                <w:lang w:eastAsia="el-GR"/>
              </w:rPr>
              <w:t>-1%</w:t>
            </w:r>
          </w:p>
        </w:tc>
        <w:tc>
          <w:tcPr>
            <w:tcW w:w="441" w:type="pct"/>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C916DE" w14:textId="3565E21C"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eastAsia="el-GR"/>
              </w:rPr>
            </w:pPr>
            <w:r>
              <w:rPr>
                <w:rFonts w:ascii="Arial" w:eastAsia="Times New Roman" w:hAnsi="Arial" w:cs="Arial"/>
                <w:b/>
                <w:bCs/>
                <w:sz w:val="18"/>
                <w:szCs w:val="20"/>
                <w:lang w:eastAsia="el-GR"/>
              </w:rPr>
              <w:t>7%</w:t>
            </w:r>
          </w:p>
        </w:tc>
      </w:tr>
      <w:tr w:rsidR="00AB1F61" w:rsidRPr="006B5511" w14:paraId="16A608F2" w14:textId="77777777" w:rsidTr="007B262A">
        <w:trPr>
          <w:trHeight w:val="249"/>
          <w:jc w:val="center"/>
        </w:trPr>
        <w:tc>
          <w:tcPr>
            <w:tcW w:w="1995" w:type="pct"/>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5480CFC8" w14:textId="152BAA63" w:rsidR="00AB1F61" w:rsidRPr="00CB38F0" w:rsidRDefault="00AB1F61" w:rsidP="00AB1F61">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b/>
                <w:bCs/>
                <w:sz w:val="18"/>
                <w:szCs w:val="18"/>
                <w:lang w:val="el-GR" w:eastAsia="el-GR"/>
              </w:rPr>
            </w:pPr>
            <w:r w:rsidRPr="00CB38F0">
              <w:rPr>
                <w:rFonts w:ascii="Arial" w:hAnsi="Arial" w:cs="Arial"/>
                <w:color w:val="000000" w:themeColor="text1"/>
                <w:sz w:val="18"/>
                <w:szCs w:val="18"/>
                <w:lang w:val="el-GR"/>
              </w:rPr>
              <w:t>Καθαρό επιτοκιακό περιθώριο (ετησιοποιημένη βάση)</w:t>
            </w:r>
          </w:p>
        </w:tc>
        <w:tc>
          <w:tcPr>
            <w:tcW w:w="572" w:type="pct"/>
            <w:tcBorders>
              <w:top w:val="single" w:sz="4" w:space="0" w:color="808080" w:themeColor="background1" w:themeShade="80"/>
              <w:bottom w:val="single" w:sz="4" w:space="0" w:color="808080" w:themeColor="background1" w:themeShade="80"/>
            </w:tcBorders>
            <w:vAlign w:val="center"/>
          </w:tcPr>
          <w:p w14:paraId="2E8607C9" w14:textId="71F67BE3" w:rsidR="00AB1F61" w:rsidRPr="00CB38F0"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val="el-GR" w:eastAsia="el-GR"/>
              </w:rPr>
            </w:pPr>
            <w:r w:rsidRPr="00E96431">
              <w:rPr>
                <w:rFonts w:ascii="Arial" w:eastAsia="Times New Roman" w:hAnsi="Arial" w:cs="Arial"/>
                <w:sz w:val="18"/>
                <w:szCs w:val="20"/>
                <w:lang w:eastAsia="el-GR"/>
              </w:rPr>
              <w:t>3.66%</w:t>
            </w:r>
          </w:p>
        </w:tc>
        <w:tc>
          <w:tcPr>
            <w:tcW w:w="572" w:type="pct"/>
            <w:tcBorders>
              <w:top w:val="single" w:sz="4" w:space="0" w:color="808080" w:themeColor="background1" w:themeShade="80"/>
              <w:bottom w:val="single" w:sz="4" w:space="0" w:color="808080" w:themeColor="background1" w:themeShade="80"/>
            </w:tcBorders>
            <w:vAlign w:val="center"/>
          </w:tcPr>
          <w:p w14:paraId="6CB00665" w14:textId="20A015C1"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8"/>
                <w:szCs w:val="18"/>
                <w:highlight w:val="yellow"/>
                <w:lang w:val="el-GR" w:eastAsia="el-GR"/>
              </w:rPr>
            </w:pPr>
            <w:r w:rsidRPr="00E96431">
              <w:rPr>
                <w:rFonts w:ascii="Arial" w:hAnsi="Arial" w:cs="Arial"/>
                <w:sz w:val="18"/>
                <w:szCs w:val="18"/>
              </w:rPr>
              <w:t>3.17%</w:t>
            </w:r>
          </w:p>
        </w:tc>
        <w:tc>
          <w:tcPr>
            <w:tcW w:w="445" w:type="pct"/>
            <w:tcBorders>
              <w:top w:val="single" w:sz="4" w:space="0" w:color="808080" w:themeColor="background1" w:themeShade="80"/>
              <w:bottom w:val="single" w:sz="4" w:space="0" w:color="808080" w:themeColor="background1" w:themeShade="80"/>
            </w:tcBorders>
            <w:vAlign w:val="center"/>
          </w:tcPr>
          <w:p w14:paraId="526BAF73" w14:textId="345BE547"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hAnsi="Arial" w:cs="Arial"/>
                <w:sz w:val="18"/>
                <w:szCs w:val="18"/>
                <w:highlight w:val="yellow"/>
              </w:rPr>
            </w:pPr>
            <w:r w:rsidRPr="00E96431">
              <w:rPr>
                <w:rFonts w:ascii="Arial" w:eastAsia="Times New Roman" w:hAnsi="Arial" w:cs="Arial"/>
                <w:sz w:val="18"/>
                <w:szCs w:val="20"/>
                <w:lang w:eastAsia="el-GR"/>
              </w:rPr>
              <w:t>3.6</w:t>
            </w:r>
            <w:r>
              <w:rPr>
                <w:rFonts w:ascii="Arial" w:eastAsia="Times New Roman" w:hAnsi="Arial" w:cs="Arial"/>
                <w:sz w:val="18"/>
                <w:szCs w:val="20"/>
                <w:lang w:eastAsia="el-GR"/>
              </w:rPr>
              <w:t>8</w:t>
            </w:r>
            <w:r w:rsidRPr="00E96431">
              <w:rPr>
                <w:rFonts w:ascii="Arial" w:eastAsia="Times New Roman" w:hAnsi="Arial" w:cs="Arial"/>
                <w:sz w:val="18"/>
                <w:szCs w:val="20"/>
                <w:lang w:eastAsia="el-GR"/>
              </w:rPr>
              <w:t>%</w:t>
            </w:r>
          </w:p>
        </w:tc>
        <w:tc>
          <w:tcPr>
            <w:tcW w:w="447" w:type="pct"/>
            <w:tcBorders>
              <w:top w:val="single" w:sz="4" w:space="0" w:color="808080" w:themeColor="background1" w:themeShade="80"/>
              <w:bottom w:val="single" w:sz="4" w:space="0" w:color="808080" w:themeColor="background1" w:themeShade="80"/>
            </w:tcBorders>
            <w:vAlign w:val="center"/>
          </w:tcPr>
          <w:p w14:paraId="78539B22" w14:textId="386F4ED4" w:rsidR="00AB1F61" w:rsidRPr="00CB38F0"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hAnsi="Arial" w:cs="Arial"/>
                <w:sz w:val="18"/>
                <w:szCs w:val="18"/>
              </w:rPr>
            </w:pPr>
            <w:r w:rsidRPr="00E96431">
              <w:rPr>
                <w:rFonts w:ascii="Arial" w:eastAsia="Times New Roman" w:hAnsi="Arial" w:cs="Arial"/>
                <w:sz w:val="18"/>
                <w:szCs w:val="20"/>
                <w:lang w:eastAsia="el-GR"/>
              </w:rPr>
              <w:t>3.70%</w:t>
            </w:r>
          </w:p>
        </w:tc>
        <w:tc>
          <w:tcPr>
            <w:tcW w:w="528" w:type="pct"/>
            <w:tcBorders>
              <w:top w:val="single" w:sz="4" w:space="0" w:color="808080" w:themeColor="background1" w:themeShade="80"/>
              <w:bottom w:val="single" w:sz="4" w:space="0" w:color="808080" w:themeColor="background1" w:themeShade="80"/>
            </w:tcBorders>
            <w:shd w:val="clear" w:color="auto" w:fill="auto"/>
            <w:vAlign w:val="center"/>
          </w:tcPr>
          <w:p w14:paraId="5B9D2DD1" w14:textId="43C955A9"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val="el-GR" w:eastAsia="el-GR"/>
              </w:rPr>
            </w:pPr>
            <w:r w:rsidRPr="00E96431">
              <w:rPr>
                <w:rFonts w:ascii="Arial" w:eastAsia="Times New Roman" w:hAnsi="Arial" w:cs="Arial"/>
                <w:sz w:val="18"/>
                <w:szCs w:val="20"/>
                <w:lang w:eastAsia="el-GR"/>
              </w:rPr>
              <w:t>-</w:t>
            </w:r>
            <w:r>
              <w:rPr>
                <w:rFonts w:ascii="Arial" w:eastAsia="Times New Roman" w:hAnsi="Arial" w:cs="Arial"/>
                <w:sz w:val="18"/>
                <w:szCs w:val="20"/>
                <w:lang w:eastAsia="el-GR"/>
              </w:rPr>
              <w:t>2</w:t>
            </w:r>
            <w:r w:rsidRPr="00E96431">
              <w:rPr>
                <w:rFonts w:ascii="Arial" w:eastAsia="Times New Roman" w:hAnsi="Arial" w:cs="Arial"/>
                <w:sz w:val="18"/>
                <w:szCs w:val="20"/>
                <w:lang w:eastAsia="el-GR"/>
              </w:rPr>
              <w:t xml:space="preserve"> </w:t>
            </w:r>
            <w:r>
              <w:rPr>
                <w:rFonts w:ascii="Arial" w:eastAsia="Times New Roman" w:hAnsi="Arial" w:cs="Arial"/>
                <w:sz w:val="18"/>
                <w:szCs w:val="20"/>
                <w:lang w:val="el-GR" w:eastAsia="el-GR"/>
              </w:rPr>
              <w:t>μ.β.</w:t>
            </w:r>
          </w:p>
        </w:tc>
        <w:tc>
          <w:tcPr>
            <w:tcW w:w="441" w:type="pct"/>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F394F3" w14:textId="67E4A315"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val="el-GR" w:eastAsia="el-GR"/>
              </w:rPr>
            </w:pPr>
            <w:r w:rsidRPr="00E96431">
              <w:rPr>
                <w:rFonts w:ascii="Arial" w:eastAsia="Times New Roman" w:hAnsi="Arial" w:cs="Arial"/>
                <w:sz w:val="18"/>
                <w:szCs w:val="20"/>
                <w:lang w:eastAsia="el-GR"/>
              </w:rPr>
              <w:t xml:space="preserve">49 </w:t>
            </w:r>
            <w:r>
              <w:rPr>
                <w:rFonts w:ascii="Arial" w:eastAsia="Times New Roman" w:hAnsi="Arial" w:cs="Arial"/>
                <w:sz w:val="18"/>
                <w:szCs w:val="20"/>
                <w:lang w:val="el-GR" w:eastAsia="el-GR"/>
              </w:rPr>
              <w:t>μ.β.</w:t>
            </w:r>
          </w:p>
        </w:tc>
      </w:tr>
      <w:tr w:rsidR="00AB1F61" w:rsidRPr="006B5511" w14:paraId="4277C680" w14:textId="77777777" w:rsidTr="007B262A">
        <w:trPr>
          <w:trHeight w:val="31"/>
          <w:jc w:val="center"/>
        </w:trPr>
        <w:tc>
          <w:tcPr>
            <w:tcW w:w="1995" w:type="pct"/>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0594B368" w14:textId="77777777" w:rsidR="00AB1F61" w:rsidRPr="00CB38F0" w:rsidRDefault="00AB1F61" w:rsidP="00AB1F61">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hAnsi="Arial" w:cs="Arial"/>
                <w:color w:val="000000" w:themeColor="text1"/>
                <w:sz w:val="18"/>
                <w:szCs w:val="18"/>
                <w:lang w:val="el-GR"/>
              </w:rPr>
            </w:pPr>
            <w:r w:rsidRPr="00CB38F0">
              <w:rPr>
                <w:rFonts w:ascii="Arial" w:hAnsi="Arial" w:cs="Arial"/>
                <w:color w:val="000000" w:themeColor="text1"/>
                <w:sz w:val="18"/>
                <w:szCs w:val="18"/>
                <w:lang w:val="el-GR"/>
              </w:rPr>
              <w:t xml:space="preserve">Μέσος όρος των τοκοφόρων περιουσιακών στοιχείων </w:t>
            </w:r>
          </w:p>
          <w:p w14:paraId="01D060C1" w14:textId="1B96A88A" w:rsidR="00AB1F61" w:rsidRPr="00CB38F0" w:rsidRDefault="00AB1F61" w:rsidP="00AB1F61">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b/>
                <w:bCs/>
                <w:sz w:val="18"/>
                <w:szCs w:val="18"/>
                <w:lang w:eastAsia="el-GR"/>
              </w:rPr>
            </w:pPr>
            <w:r w:rsidRPr="00CB38F0">
              <w:rPr>
                <w:rFonts w:ascii="Arial" w:hAnsi="Arial" w:cs="Arial"/>
                <w:color w:val="000000" w:themeColor="text1"/>
                <w:sz w:val="18"/>
                <w:szCs w:val="18"/>
                <w:lang w:val="el-GR"/>
              </w:rPr>
              <w:t>(€ εκατ.)</w:t>
            </w:r>
          </w:p>
        </w:tc>
        <w:tc>
          <w:tcPr>
            <w:tcW w:w="572" w:type="pct"/>
            <w:tcBorders>
              <w:top w:val="single" w:sz="4" w:space="0" w:color="808080" w:themeColor="background1" w:themeShade="80"/>
              <w:bottom w:val="single" w:sz="4" w:space="0" w:color="808080" w:themeColor="background1" w:themeShade="80"/>
            </w:tcBorders>
            <w:vAlign w:val="center"/>
          </w:tcPr>
          <w:p w14:paraId="0AE9E429" w14:textId="23937276"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eastAsia="el-GR"/>
              </w:rPr>
            </w:pPr>
            <w:r w:rsidRPr="00FF5B40">
              <w:rPr>
                <w:rFonts w:ascii="Arial" w:eastAsia="Times New Roman" w:hAnsi="Arial" w:cs="Arial"/>
                <w:sz w:val="18"/>
                <w:szCs w:val="20"/>
                <w:lang w:eastAsia="el-GR"/>
              </w:rPr>
              <w:t>23,064</w:t>
            </w:r>
          </w:p>
        </w:tc>
        <w:tc>
          <w:tcPr>
            <w:tcW w:w="572" w:type="pct"/>
            <w:tcBorders>
              <w:top w:val="single" w:sz="4" w:space="0" w:color="808080" w:themeColor="background1" w:themeShade="80"/>
              <w:bottom w:val="single" w:sz="4" w:space="0" w:color="808080" w:themeColor="background1" w:themeShade="80"/>
            </w:tcBorders>
            <w:vAlign w:val="center"/>
          </w:tcPr>
          <w:p w14:paraId="321C74E0" w14:textId="49514D05"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8"/>
                <w:szCs w:val="18"/>
                <w:highlight w:val="yellow"/>
                <w:lang w:eastAsia="el-GR"/>
              </w:rPr>
            </w:pPr>
            <w:r w:rsidRPr="00FF5B40">
              <w:rPr>
                <w:rFonts w:ascii="Arial" w:eastAsia="Times New Roman" w:hAnsi="Arial" w:cs="Arial"/>
                <w:sz w:val="18"/>
                <w:szCs w:val="20"/>
                <w:lang w:eastAsia="el-GR"/>
              </w:rPr>
              <w:t>22,781</w:t>
            </w:r>
          </w:p>
        </w:tc>
        <w:tc>
          <w:tcPr>
            <w:tcW w:w="445" w:type="pct"/>
            <w:tcBorders>
              <w:top w:val="single" w:sz="4" w:space="0" w:color="808080" w:themeColor="background1" w:themeShade="80"/>
              <w:bottom w:val="single" w:sz="4" w:space="0" w:color="808080" w:themeColor="background1" w:themeShade="80"/>
            </w:tcBorders>
            <w:vAlign w:val="center"/>
          </w:tcPr>
          <w:p w14:paraId="354B576C" w14:textId="5FE13A8E"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eastAsia="el-GR"/>
              </w:rPr>
            </w:pPr>
            <w:r w:rsidRPr="00FF5B40">
              <w:rPr>
                <w:rFonts w:ascii="Arial" w:eastAsia="Times New Roman" w:hAnsi="Arial" w:cs="Arial"/>
                <w:sz w:val="18"/>
                <w:szCs w:val="20"/>
                <w:lang w:eastAsia="el-GR"/>
              </w:rPr>
              <w:t>22,588</w:t>
            </w:r>
          </w:p>
        </w:tc>
        <w:tc>
          <w:tcPr>
            <w:tcW w:w="447" w:type="pct"/>
            <w:tcBorders>
              <w:top w:val="single" w:sz="4" w:space="0" w:color="808080" w:themeColor="background1" w:themeShade="80"/>
              <w:bottom w:val="single" w:sz="4" w:space="0" w:color="808080" w:themeColor="background1" w:themeShade="80"/>
            </w:tcBorders>
            <w:vAlign w:val="center"/>
          </w:tcPr>
          <w:p w14:paraId="74958F94" w14:textId="4F04A457" w:rsidR="00AB1F61" w:rsidRPr="00CB38F0"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lang w:eastAsia="el-GR"/>
              </w:rPr>
            </w:pPr>
            <w:r w:rsidRPr="00FF5B40">
              <w:rPr>
                <w:rFonts w:ascii="Arial" w:eastAsia="Times New Roman" w:hAnsi="Arial" w:cs="Arial"/>
                <w:sz w:val="18"/>
                <w:szCs w:val="20"/>
                <w:lang w:eastAsia="el-GR"/>
              </w:rPr>
              <w:t>23,171</w:t>
            </w:r>
          </w:p>
        </w:tc>
        <w:tc>
          <w:tcPr>
            <w:tcW w:w="528" w:type="pct"/>
            <w:tcBorders>
              <w:top w:val="single" w:sz="4" w:space="0" w:color="808080" w:themeColor="background1" w:themeShade="80"/>
              <w:bottom w:val="single" w:sz="4" w:space="0" w:color="808080" w:themeColor="background1" w:themeShade="80"/>
            </w:tcBorders>
            <w:shd w:val="clear" w:color="auto" w:fill="auto"/>
            <w:vAlign w:val="center"/>
          </w:tcPr>
          <w:p w14:paraId="7DB05CD9" w14:textId="00216A30"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eastAsia="el-GR"/>
              </w:rPr>
            </w:pPr>
            <w:r w:rsidRPr="00FF5B40">
              <w:rPr>
                <w:rFonts w:ascii="Arial" w:eastAsia="Times New Roman" w:hAnsi="Arial" w:cs="Arial"/>
                <w:sz w:val="18"/>
                <w:szCs w:val="20"/>
                <w:lang w:eastAsia="el-GR"/>
              </w:rPr>
              <w:t>-3%</w:t>
            </w:r>
          </w:p>
        </w:tc>
        <w:tc>
          <w:tcPr>
            <w:tcW w:w="441" w:type="pct"/>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E6E8A4" w14:textId="1CF358FB" w:rsidR="00AB1F61" w:rsidRPr="006B5511" w:rsidRDefault="00AB1F61" w:rsidP="00AB1F6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18"/>
                <w:highlight w:val="yellow"/>
                <w:lang w:eastAsia="el-GR"/>
              </w:rPr>
            </w:pPr>
            <w:r w:rsidRPr="00FF5B40">
              <w:rPr>
                <w:rFonts w:ascii="Arial" w:eastAsia="Times New Roman" w:hAnsi="Arial" w:cs="Arial"/>
                <w:sz w:val="18"/>
                <w:szCs w:val="20"/>
                <w:lang w:eastAsia="el-GR"/>
              </w:rPr>
              <w:t>1%</w:t>
            </w:r>
          </w:p>
        </w:tc>
      </w:tr>
      <w:tr w:rsidR="004D4F4D" w:rsidRPr="00CF1753" w14:paraId="74C93437" w14:textId="77777777" w:rsidTr="007B262A">
        <w:trPr>
          <w:trHeight w:val="236"/>
          <w:jc w:val="center"/>
        </w:trPr>
        <w:tc>
          <w:tcPr>
            <w:tcW w:w="5000"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B52E97" w14:textId="49E2C0AD" w:rsidR="004D4F4D" w:rsidRPr="00CB38F0" w:rsidRDefault="004D4F4D" w:rsidP="004D4F4D">
            <w:pPr>
              <w:pStyle w:val="BodyText3"/>
              <w:tabs>
                <w:tab w:val="left" w:pos="142"/>
              </w:tabs>
              <w:ind w:right="20"/>
              <w:jc w:val="left"/>
              <w:rPr>
                <w:rFonts w:ascii="Arial" w:hAnsi="Arial" w:cs="Arial"/>
                <w:sz w:val="18"/>
                <w:szCs w:val="18"/>
                <w:lang w:val="el-GR"/>
              </w:rPr>
            </w:pPr>
            <w:r w:rsidRPr="00CB38F0">
              <w:rPr>
                <w:rFonts w:ascii="Arial" w:hAnsi="Arial" w:cs="Arial"/>
                <w:color w:val="000000" w:themeColor="text1"/>
                <w:sz w:val="14"/>
                <w:szCs w:val="14"/>
                <w:lang w:val="el-GR"/>
              </w:rPr>
              <w:t>Ε.μ. = εκατοστιαίες μονάδες, μ.β.= μονάδες βάσης, 100 μονάδες βάσης = 1 εκατοστιαία μονάδα</w:t>
            </w:r>
          </w:p>
        </w:tc>
      </w:tr>
    </w:tbl>
    <w:p w14:paraId="2AD7CE38" w14:textId="77777777" w:rsidR="00942E68" w:rsidRPr="006B5511" w:rsidRDefault="00942E68" w:rsidP="00352599">
      <w:pPr>
        <w:pStyle w:val="BodyText3"/>
        <w:jc w:val="both"/>
        <w:rPr>
          <w:rFonts w:ascii="Arial" w:hAnsi="Arial" w:cs="Arial"/>
          <w:b/>
          <w:bCs/>
          <w:sz w:val="18"/>
          <w:szCs w:val="18"/>
          <w:highlight w:val="yellow"/>
          <w:lang w:val="el-GR"/>
        </w:rPr>
      </w:pPr>
    </w:p>
    <w:p w14:paraId="268F8803" w14:textId="120974E9" w:rsidR="00C15945" w:rsidRPr="00CB38F0" w:rsidRDefault="00352599" w:rsidP="00A34C6F">
      <w:pPr>
        <w:pStyle w:val="BodyText3"/>
        <w:jc w:val="both"/>
        <w:rPr>
          <w:rFonts w:ascii="Arial" w:hAnsi="Arial" w:cs="Arial"/>
          <w:sz w:val="18"/>
          <w:szCs w:val="18"/>
          <w:lang w:val="el-GR"/>
        </w:rPr>
      </w:pPr>
      <w:r w:rsidRPr="00CB38F0">
        <w:rPr>
          <w:rFonts w:ascii="Arial" w:hAnsi="Arial" w:cs="Arial"/>
          <w:b/>
          <w:bCs/>
          <w:sz w:val="18"/>
          <w:szCs w:val="18"/>
          <w:lang w:val="el-GR"/>
        </w:rPr>
        <w:t>Τα καθαρά έσοδα από τόκους</w:t>
      </w:r>
      <w:r w:rsidRPr="00CB38F0">
        <w:rPr>
          <w:rFonts w:ascii="Arial" w:hAnsi="Arial" w:cs="Arial"/>
          <w:sz w:val="18"/>
          <w:szCs w:val="18"/>
          <w:lang w:val="el-GR"/>
        </w:rPr>
        <w:t xml:space="preserve"> για το</w:t>
      </w:r>
      <w:r w:rsidR="00C15945" w:rsidRPr="00CB38F0">
        <w:rPr>
          <w:rFonts w:ascii="Arial" w:hAnsi="Arial" w:cs="Arial"/>
          <w:sz w:val="18"/>
          <w:szCs w:val="18"/>
          <w:lang w:val="el-GR"/>
        </w:rPr>
        <w:t xml:space="preserve"> α’ εξάμηνο 2024 ανήλθαν σε €</w:t>
      </w:r>
      <w:r w:rsidR="00316A30" w:rsidRPr="006A1797">
        <w:rPr>
          <w:rFonts w:ascii="Arial" w:hAnsi="Arial" w:cs="Arial"/>
          <w:sz w:val="18"/>
          <w:szCs w:val="18"/>
          <w:lang w:val="el-GR"/>
        </w:rPr>
        <w:t>420</w:t>
      </w:r>
      <w:r w:rsidR="00316A30">
        <w:rPr>
          <w:rFonts w:ascii="Arial" w:hAnsi="Arial" w:cs="Arial"/>
          <w:sz w:val="18"/>
          <w:szCs w:val="18"/>
          <w:lang w:val="el-GR"/>
        </w:rPr>
        <w:t xml:space="preserve"> </w:t>
      </w:r>
      <w:r w:rsidR="00C15945" w:rsidRPr="00CB38F0">
        <w:rPr>
          <w:rFonts w:ascii="Arial" w:hAnsi="Arial" w:cs="Arial"/>
          <w:sz w:val="18"/>
          <w:szCs w:val="18"/>
          <w:lang w:val="el-GR"/>
        </w:rPr>
        <w:t>εκατ</w:t>
      </w:r>
      <w:r w:rsidR="00D41198">
        <w:rPr>
          <w:rFonts w:ascii="Arial" w:hAnsi="Arial" w:cs="Arial"/>
          <w:sz w:val="18"/>
          <w:szCs w:val="18"/>
          <w:lang w:val="el-GR"/>
        </w:rPr>
        <w:t>.,</w:t>
      </w:r>
      <w:r w:rsidR="00C15945" w:rsidRPr="00CB38F0">
        <w:rPr>
          <w:rFonts w:ascii="Arial" w:hAnsi="Arial" w:cs="Arial"/>
          <w:sz w:val="18"/>
          <w:szCs w:val="18"/>
          <w:lang w:val="el-GR"/>
        </w:rPr>
        <w:t xml:space="preserve"> σε σύγκριση με €358</w:t>
      </w:r>
      <w:r w:rsidR="00C15945" w:rsidRPr="00C15945">
        <w:rPr>
          <w:rFonts w:ascii="Arial" w:hAnsi="Arial" w:cs="Arial"/>
          <w:sz w:val="18"/>
          <w:szCs w:val="18"/>
          <w:lang w:val="el-GR"/>
        </w:rPr>
        <w:t xml:space="preserve"> εκατ. για το α’ εξάμηνο 2023</w:t>
      </w:r>
      <w:r w:rsidR="00C15945">
        <w:rPr>
          <w:rFonts w:ascii="Arial" w:hAnsi="Arial" w:cs="Arial"/>
          <w:sz w:val="18"/>
          <w:szCs w:val="18"/>
          <w:lang w:val="el-GR"/>
        </w:rPr>
        <w:t xml:space="preserve">, αυξημένα κατά </w:t>
      </w:r>
      <w:r w:rsidR="00316A30" w:rsidRPr="006A1797">
        <w:rPr>
          <w:rFonts w:ascii="Arial" w:hAnsi="Arial" w:cs="Arial"/>
          <w:sz w:val="18"/>
          <w:szCs w:val="18"/>
          <w:lang w:val="el-GR"/>
        </w:rPr>
        <w:t>17</w:t>
      </w:r>
      <w:r w:rsidR="00C15945">
        <w:rPr>
          <w:rFonts w:ascii="Arial" w:hAnsi="Arial" w:cs="Arial"/>
          <w:sz w:val="18"/>
          <w:szCs w:val="18"/>
          <w:lang w:val="el-GR"/>
        </w:rPr>
        <w:t xml:space="preserve">% σε ετήσια βάση. Η </w:t>
      </w:r>
      <w:r w:rsidR="00316A30">
        <w:rPr>
          <w:rFonts w:ascii="Arial" w:hAnsi="Arial" w:cs="Arial"/>
          <w:sz w:val="18"/>
          <w:szCs w:val="18"/>
          <w:lang w:val="el-GR"/>
        </w:rPr>
        <w:t xml:space="preserve">ετήσια </w:t>
      </w:r>
      <w:r w:rsidR="00C15945">
        <w:rPr>
          <w:rFonts w:ascii="Arial" w:hAnsi="Arial" w:cs="Arial"/>
          <w:sz w:val="18"/>
          <w:szCs w:val="18"/>
          <w:lang w:val="el-GR"/>
        </w:rPr>
        <w:t>αύξηση οφείλεται κυρί</w:t>
      </w:r>
      <w:r w:rsidR="00C15945" w:rsidRPr="00D41198">
        <w:rPr>
          <w:rFonts w:ascii="Arial" w:hAnsi="Arial" w:cs="Arial"/>
          <w:sz w:val="18"/>
          <w:szCs w:val="18"/>
          <w:lang w:val="el-GR"/>
        </w:rPr>
        <w:t>ως στην</w:t>
      </w:r>
      <w:r w:rsidR="00D41198" w:rsidRPr="00D41198">
        <w:rPr>
          <w:rFonts w:ascii="Arial" w:hAnsi="Arial" w:cs="Arial"/>
          <w:sz w:val="18"/>
          <w:szCs w:val="18"/>
          <w:lang w:val="el-GR"/>
        </w:rPr>
        <w:t xml:space="preserve"> </w:t>
      </w:r>
      <w:r w:rsidR="00C15945" w:rsidRPr="00CB38F0">
        <w:rPr>
          <w:rFonts w:ascii="Arial" w:hAnsi="Arial" w:cs="Arial"/>
          <w:sz w:val="18"/>
          <w:szCs w:val="18"/>
          <w:lang w:val="el-GR"/>
        </w:rPr>
        <w:t xml:space="preserve">αύξηση των επιτοκίων των ρευστών διαθέσιμων περιουσιακών στοιχείων και των δανείων, τα οποία εν μέρη αντισταθμίστηκαν από την χαμηλή </w:t>
      </w:r>
      <w:r w:rsidR="00D41198" w:rsidRPr="00CB38F0">
        <w:rPr>
          <w:rFonts w:ascii="Arial" w:hAnsi="Arial" w:cs="Arial"/>
          <w:sz w:val="18"/>
          <w:szCs w:val="18"/>
          <w:lang w:val="el-GR"/>
        </w:rPr>
        <w:t>αύξηση στο κόστος των εμπρόθεσμων καταθέσεων</w:t>
      </w:r>
      <w:r w:rsidR="00195DBC" w:rsidRPr="00195DBC">
        <w:rPr>
          <w:rFonts w:ascii="Arial" w:hAnsi="Arial" w:cs="Arial"/>
          <w:sz w:val="18"/>
          <w:szCs w:val="18"/>
          <w:lang w:val="el-GR"/>
        </w:rPr>
        <w:t xml:space="preserve"> </w:t>
      </w:r>
      <w:r w:rsidR="00195DBC">
        <w:rPr>
          <w:rFonts w:ascii="Arial" w:hAnsi="Arial" w:cs="Arial"/>
          <w:sz w:val="18"/>
          <w:szCs w:val="18"/>
          <w:lang w:val="el-GR"/>
        </w:rPr>
        <w:t>και</w:t>
      </w:r>
      <w:r w:rsidR="00C15945" w:rsidRPr="00CB38F0">
        <w:rPr>
          <w:rFonts w:ascii="Arial" w:hAnsi="Arial" w:cs="Arial"/>
          <w:sz w:val="18"/>
          <w:szCs w:val="18"/>
          <w:lang w:val="el-GR"/>
        </w:rPr>
        <w:t xml:space="preserve"> </w:t>
      </w:r>
      <w:r w:rsidR="00195DBC">
        <w:rPr>
          <w:rFonts w:ascii="Arial" w:hAnsi="Arial" w:cs="Arial"/>
          <w:sz w:val="18"/>
          <w:szCs w:val="18"/>
          <w:lang w:val="el-GR"/>
        </w:rPr>
        <w:t>σ</w:t>
      </w:r>
      <w:r w:rsidR="00C15945" w:rsidRPr="00CB38F0">
        <w:rPr>
          <w:rFonts w:ascii="Arial" w:hAnsi="Arial" w:cs="Arial"/>
          <w:sz w:val="18"/>
          <w:szCs w:val="18"/>
          <w:lang w:val="el-GR"/>
        </w:rPr>
        <w:t>το κόστος χρηματοδότησης</w:t>
      </w:r>
      <w:r w:rsidR="0059202E">
        <w:rPr>
          <w:rFonts w:ascii="Arial" w:hAnsi="Arial" w:cs="Arial"/>
          <w:sz w:val="18"/>
          <w:szCs w:val="18"/>
          <w:lang w:val="el-GR"/>
        </w:rPr>
        <w:t xml:space="preserve"> καθώς και από το</w:t>
      </w:r>
      <w:r w:rsidR="00195DBC">
        <w:rPr>
          <w:rFonts w:ascii="Arial" w:hAnsi="Arial" w:cs="Arial"/>
          <w:sz w:val="18"/>
          <w:szCs w:val="18"/>
          <w:lang w:val="el-GR"/>
        </w:rPr>
        <w:t xml:space="preserve"> αυξημένο</w:t>
      </w:r>
      <w:r w:rsidR="0059202E">
        <w:rPr>
          <w:rFonts w:ascii="Arial" w:hAnsi="Arial" w:cs="Arial"/>
          <w:sz w:val="18"/>
          <w:szCs w:val="18"/>
          <w:lang w:val="el-GR"/>
        </w:rPr>
        <w:t xml:space="preserve"> κόστος που προκύπτει από τις ενέργειας αντιστάθμισης </w:t>
      </w:r>
      <w:r w:rsidR="0059202E" w:rsidRPr="00CB38F0">
        <w:rPr>
          <w:rFonts w:ascii="Arial" w:hAnsi="Arial" w:cs="Arial"/>
          <w:sz w:val="18"/>
          <w:szCs w:val="18"/>
          <w:lang w:val="el-GR"/>
        </w:rPr>
        <w:t>(‘hedging’)</w:t>
      </w:r>
      <w:r w:rsidR="0059202E">
        <w:rPr>
          <w:rFonts w:ascii="Arial" w:hAnsi="Arial" w:cs="Arial"/>
          <w:sz w:val="18"/>
          <w:szCs w:val="18"/>
          <w:lang w:val="el-GR"/>
        </w:rPr>
        <w:t>.</w:t>
      </w:r>
    </w:p>
    <w:p w14:paraId="4DC9C0A9" w14:textId="77777777" w:rsidR="00C15945" w:rsidRPr="00CB38F0" w:rsidRDefault="00C15945" w:rsidP="00A34C6F">
      <w:pPr>
        <w:pStyle w:val="BodyText3"/>
        <w:jc w:val="both"/>
        <w:rPr>
          <w:rFonts w:ascii="Arial" w:hAnsi="Arial" w:cs="Arial"/>
          <w:sz w:val="18"/>
          <w:szCs w:val="18"/>
          <w:lang w:val="el-GR"/>
        </w:rPr>
      </w:pPr>
    </w:p>
    <w:p w14:paraId="4DF4DC71" w14:textId="7C41701F" w:rsidR="00D41198" w:rsidRPr="00A30D62" w:rsidRDefault="00D41198" w:rsidP="00D41198">
      <w:pPr>
        <w:pStyle w:val="BodyText3"/>
        <w:jc w:val="both"/>
        <w:rPr>
          <w:rFonts w:ascii="Arial" w:hAnsi="Arial" w:cs="Arial"/>
          <w:b/>
          <w:bCs/>
          <w:sz w:val="18"/>
          <w:szCs w:val="18"/>
          <w:lang w:val="el-GR"/>
        </w:rPr>
      </w:pPr>
      <w:r w:rsidRPr="00D41198">
        <w:rPr>
          <w:rFonts w:ascii="Arial" w:hAnsi="Arial" w:cs="Arial"/>
          <w:b/>
          <w:bCs/>
          <w:sz w:val="18"/>
          <w:szCs w:val="18"/>
          <w:lang w:val="el-GR"/>
        </w:rPr>
        <w:t xml:space="preserve">Τα καθαρά έσοδα από τόκους για το β’ τρίμηνο 2024 ανήλθαν σε </w:t>
      </w:r>
      <w:r w:rsidRPr="00D41198">
        <w:rPr>
          <w:rFonts w:ascii="Arial" w:hAnsi="Arial" w:cs="Arial"/>
          <w:sz w:val="18"/>
          <w:szCs w:val="18"/>
          <w:lang w:val="el-GR"/>
        </w:rPr>
        <w:t>€</w:t>
      </w:r>
      <w:r w:rsidR="00DC0009" w:rsidRPr="006A1797">
        <w:rPr>
          <w:rFonts w:ascii="Arial" w:hAnsi="Arial" w:cs="Arial"/>
          <w:sz w:val="18"/>
          <w:szCs w:val="18"/>
          <w:lang w:val="el-GR"/>
        </w:rPr>
        <w:t>207</w:t>
      </w:r>
      <w:r w:rsidR="00DC0009">
        <w:rPr>
          <w:rFonts w:ascii="Arial" w:hAnsi="Arial" w:cs="Arial"/>
          <w:sz w:val="18"/>
          <w:szCs w:val="18"/>
          <w:lang w:val="el-GR"/>
        </w:rPr>
        <w:t xml:space="preserve"> </w:t>
      </w:r>
      <w:r w:rsidRPr="00D41198">
        <w:rPr>
          <w:rFonts w:ascii="Arial" w:hAnsi="Arial" w:cs="Arial"/>
          <w:sz w:val="18"/>
          <w:szCs w:val="18"/>
          <w:lang w:val="el-GR"/>
        </w:rPr>
        <w:t xml:space="preserve">εκατ., σε σύγκριση με </w:t>
      </w:r>
      <w:r w:rsidRPr="00CB38F0">
        <w:rPr>
          <w:rFonts w:ascii="Arial" w:hAnsi="Arial" w:cs="Arial"/>
          <w:sz w:val="18"/>
          <w:szCs w:val="18"/>
          <w:lang w:val="el-GR"/>
        </w:rPr>
        <w:t>€213 εκατ.</w:t>
      </w:r>
      <w:r w:rsidRPr="00D41198">
        <w:rPr>
          <w:rFonts w:ascii="Arial" w:hAnsi="Arial" w:cs="Arial"/>
          <w:sz w:val="18"/>
          <w:szCs w:val="18"/>
          <w:lang w:val="el-GR"/>
        </w:rPr>
        <w:t xml:space="preserve"> για το α’ τρίμηνο 2024, μειωμένα κατά </w:t>
      </w:r>
      <w:r w:rsidR="00DC0009" w:rsidRPr="006A1797">
        <w:rPr>
          <w:rFonts w:ascii="Arial" w:hAnsi="Arial" w:cs="Arial"/>
          <w:sz w:val="18"/>
          <w:szCs w:val="18"/>
          <w:lang w:val="el-GR"/>
        </w:rPr>
        <w:t>3</w:t>
      </w:r>
      <w:r w:rsidRPr="00D41198">
        <w:rPr>
          <w:rFonts w:ascii="Arial" w:hAnsi="Arial" w:cs="Arial"/>
          <w:sz w:val="18"/>
          <w:szCs w:val="18"/>
          <w:lang w:val="el-GR"/>
        </w:rPr>
        <w:t>% σε τριμηνιαία βάση</w:t>
      </w:r>
      <w:r w:rsidR="0059202E">
        <w:rPr>
          <w:rFonts w:ascii="Arial" w:hAnsi="Arial" w:cs="Arial"/>
          <w:sz w:val="18"/>
          <w:szCs w:val="18"/>
          <w:lang w:val="el-GR"/>
        </w:rPr>
        <w:t xml:space="preserve">. </w:t>
      </w:r>
      <w:r w:rsidRPr="00D41198">
        <w:rPr>
          <w:rFonts w:ascii="Arial" w:hAnsi="Arial" w:cs="Arial"/>
          <w:sz w:val="18"/>
          <w:szCs w:val="18"/>
          <w:lang w:val="el-GR"/>
        </w:rPr>
        <w:t xml:space="preserve">Η τριμηνιαία μείωση </w:t>
      </w:r>
      <w:r w:rsidR="004A7F78" w:rsidRPr="00CB38F0">
        <w:rPr>
          <w:rFonts w:ascii="Arial" w:hAnsi="Arial" w:cs="Arial"/>
          <w:sz w:val="18"/>
          <w:szCs w:val="18"/>
          <w:lang w:val="el-GR"/>
        </w:rPr>
        <w:t xml:space="preserve">αντικατοπτρίζει </w:t>
      </w:r>
      <w:r w:rsidRPr="00CB38F0">
        <w:rPr>
          <w:rFonts w:ascii="Arial" w:hAnsi="Arial" w:cs="Arial"/>
          <w:sz w:val="18"/>
          <w:szCs w:val="18"/>
          <w:lang w:val="el-GR"/>
        </w:rPr>
        <w:t>τις συνεχιζόμενες ενέργειες αντιστάθμισης (‘hedging’)</w:t>
      </w:r>
      <w:r w:rsidR="00DC0009">
        <w:rPr>
          <w:rFonts w:ascii="Arial" w:hAnsi="Arial" w:cs="Arial"/>
          <w:sz w:val="18"/>
          <w:szCs w:val="18"/>
          <w:lang w:val="el-GR"/>
        </w:rPr>
        <w:t xml:space="preserve"> με σκοπό τη μείωση </w:t>
      </w:r>
      <w:r w:rsidR="00DC0009" w:rsidRPr="00FD00F2">
        <w:rPr>
          <w:rFonts w:ascii="Arial" w:hAnsi="Arial" w:cs="Arial"/>
          <w:sz w:val="18"/>
          <w:szCs w:val="18"/>
          <w:lang w:val="el-GR"/>
        </w:rPr>
        <w:t>της μεταβολής</w:t>
      </w:r>
      <w:r w:rsidR="00DC0009">
        <w:rPr>
          <w:rFonts w:ascii="Arial" w:hAnsi="Arial" w:cs="Arial"/>
          <w:sz w:val="18"/>
          <w:szCs w:val="18"/>
          <w:lang w:val="el-GR"/>
        </w:rPr>
        <w:t xml:space="preserve"> </w:t>
      </w:r>
      <w:r w:rsidR="00DC0009" w:rsidRPr="00FD00F2">
        <w:rPr>
          <w:rFonts w:ascii="Arial" w:hAnsi="Arial" w:cs="Arial"/>
          <w:sz w:val="18"/>
          <w:szCs w:val="18"/>
          <w:lang w:val="el-GR"/>
        </w:rPr>
        <w:t>των καθαρών εσόδων από τόκους λόγω της διακύμανσης των επιτοκίων (‘sensitivity’)</w:t>
      </w:r>
      <w:r w:rsidR="0059202E">
        <w:rPr>
          <w:rFonts w:ascii="Arial" w:hAnsi="Arial" w:cs="Arial"/>
          <w:sz w:val="18"/>
          <w:szCs w:val="18"/>
          <w:lang w:val="el-GR"/>
        </w:rPr>
        <w:t xml:space="preserve">, </w:t>
      </w:r>
      <w:r w:rsidR="00DC0009">
        <w:rPr>
          <w:rFonts w:ascii="Arial" w:hAnsi="Arial" w:cs="Arial"/>
          <w:sz w:val="18"/>
          <w:szCs w:val="18"/>
          <w:lang w:val="el-GR"/>
        </w:rPr>
        <w:t xml:space="preserve">και </w:t>
      </w:r>
      <w:r w:rsidRPr="00CB38F0">
        <w:rPr>
          <w:rFonts w:ascii="Arial" w:hAnsi="Arial" w:cs="Arial"/>
          <w:sz w:val="18"/>
          <w:szCs w:val="18"/>
          <w:lang w:val="el-GR"/>
        </w:rPr>
        <w:t xml:space="preserve">το υψηλότερο </w:t>
      </w:r>
      <w:r w:rsidR="00DC0009" w:rsidRPr="00D41198">
        <w:rPr>
          <w:rFonts w:ascii="Arial" w:hAnsi="Arial" w:cs="Arial"/>
          <w:sz w:val="18"/>
          <w:szCs w:val="18"/>
          <w:lang w:val="el-GR"/>
        </w:rPr>
        <w:t>κόστος χρηματοδότησης</w:t>
      </w:r>
      <w:r w:rsidR="00DC0009">
        <w:rPr>
          <w:rFonts w:ascii="Arial" w:hAnsi="Arial" w:cs="Arial"/>
          <w:sz w:val="18"/>
          <w:szCs w:val="18"/>
          <w:lang w:val="el-GR"/>
        </w:rPr>
        <w:t xml:space="preserve"> </w:t>
      </w:r>
      <w:r w:rsidR="00DC0009" w:rsidRPr="00CB38F0">
        <w:rPr>
          <w:rFonts w:ascii="Arial" w:hAnsi="Arial" w:cs="Arial"/>
          <w:sz w:val="18"/>
          <w:szCs w:val="18"/>
          <w:lang w:val="el-GR"/>
        </w:rPr>
        <w:t xml:space="preserve">μετά την έκδοση πράσινου ομολόγου υψηλής εξοφλητικής προτεραιότητας ύψους €300 εκατ. τον </w:t>
      </w:r>
      <w:r w:rsidR="00DC0009">
        <w:rPr>
          <w:rFonts w:ascii="Arial" w:hAnsi="Arial" w:cs="Arial"/>
          <w:sz w:val="18"/>
          <w:szCs w:val="18"/>
          <w:lang w:val="el-GR"/>
        </w:rPr>
        <w:t>Απρίλιο</w:t>
      </w:r>
      <w:r w:rsidR="00DC0009" w:rsidRPr="00CB38F0">
        <w:rPr>
          <w:rFonts w:ascii="Arial" w:hAnsi="Arial" w:cs="Arial"/>
          <w:sz w:val="18"/>
          <w:szCs w:val="18"/>
          <w:lang w:val="el-GR"/>
        </w:rPr>
        <w:t xml:space="preserve"> </w:t>
      </w:r>
      <w:r w:rsidR="00DC0009">
        <w:rPr>
          <w:rFonts w:ascii="Arial" w:hAnsi="Arial" w:cs="Arial"/>
          <w:sz w:val="18"/>
          <w:szCs w:val="18"/>
          <w:lang w:val="el-GR"/>
        </w:rPr>
        <w:t xml:space="preserve">2024, καθώς το κόστος </w:t>
      </w:r>
      <w:r w:rsidRPr="00CB38F0">
        <w:rPr>
          <w:rFonts w:ascii="Arial" w:hAnsi="Arial" w:cs="Arial"/>
          <w:sz w:val="18"/>
          <w:szCs w:val="18"/>
          <w:lang w:val="el-GR"/>
        </w:rPr>
        <w:t xml:space="preserve">των εμπρόθεσμων καταθέσεων </w:t>
      </w:r>
      <w:r w:rsidR="00DC0009">
        <w:rPr>
          <w:rFonts w:ascii="Arial" w:hAnsi="Arial" w:cs="Arial"/>
          <w:sz w:val="18"/>
          <w:szCs w:val="18"/>
          <w:lang w:val="el-GR"/>
        </w:rPr>
        <w:t xml:space="preserve">παραμένει χαμηλό. </w:t>
      </w:r>
    </w:p>
    <w:p w14:paraId="0D00BD1F" w14:textId="7B765A9F" w:rsidR="00D41198" w:rsidRPr="00CB38F0" w:rsidRDefault="00D41198" w:rsidP="00A34C6F">
      <w:pPr>
        <w:pStyle w:val="BodyText3"/>
        <w:jc w:val="both"/>
        <w:rPr>
          <w:rFonts w:ascii="Arial" w:hAnsi="Arial" w:cs="Arial"/>
          <w:sz w:val="18"/>
          <w:szCs w:val="18"/>
          <w:lang w:val="el-GR"/>
        </w:rPr>
      </w:pPr>
    </w:p>
    <w:p w14:paraId="256B1578" w14:textId="61D35D5D" w:rsidR="00172910" w:rsidRPr="00CB38F0" w:rsidRDefault="00352599">
      <w:pPr>
        <w:spacing w:after="0" w:line="240" w:lineRule="auto"/>
        <w:jc w:val="both"/>
        <w:rPr>
          <w:rFonts w:ascii="Arial" w:eastAsia="Times New Roman" w:hAnsi="Arial" w:cs="Arial"/>
          <w:sz w:val="18"/>
          <w:szCs w:val="18"/>
          <w:lang w:val="el-GR" w:eastAsia="el-GR"/>
        </w:rPr>
      </w:pPr>
      <w:r w:rsidRPr="00CB38F0">
        <w:rPr>
          <w:rFonts w:ascii="Arial" w:eastAsia="Times New Roman" w:hAnsi="Arial" w:cs="Arial"/>
          <w:b/>
          <w:bCs/>
          <w:sz w:val="18"/>
          <w:szCs w:val="18"/>
          <w:lang w:val="el-GR" w:eastAsia="el-GR"/>
        </w:rPr>
        <w:t>Ο τριμηνιαίος μέσος όρος των τοκοφόρων περιουσιακών στοιχείων</w:t>
      </w:r>
      <w:r w:rsidRPr="00CB38F0">
        <w:rPr>
          <w:rFonts w:ascii="Arial" w:eastAsia="Times New Roman" w:hAnsi="Arial" w:cs="Arial"/>
          <w:sz w:val="18"/>
          <w:szCs w:val="18"/>
          <w:lang w:val="el-GR" w:eastAsia="el-GR"/>
        </w:rPr>
        <w:t xml:space="preserve"> για το</w:t>
      </w:r>
      <w:r w:rsidR="00172910" w:rsidRPr="00CB38F0">
        <w:rPr>
          <w:rFonts w:ascii="Arial" w:eastAsia="Times New Roman" w:hAnsi="Arial" w:cs="Arial"/>
          <w:sz w:val="18"/>
          <w:szCs w:val="18"/>
          <w:lang w:val="el-GR" w:eastAsia="el-GR"/>
        </w:rPr>
        <w:t xml:space="preserve"> α ’εξάμηνο 2024 </w:t>
      </w:r>
      <w:r w:rsidR="00172910" w:rsidRPr="00CB38F0">
        <w:rPr>
          <w:rFonts w:ascii="Arial" w:hAnsi="Arial" w:cs="Arial"/>
          <w:sz w:val="18"/>
          <w:szCs w:val="18"/>
          <w:lang w:val="el-GR"/>
        </w:rPr>
        <w:t>ανήλθε</w:t>
      </w:r>
      <w:r w:rsidR="00172910" w:rsidRPr="00CB38F0">
        <w:rPr>
          <w:rFonts w:ascii="Arial" w:eastAsia="Times New Roman" w:hAnsi="Arial" w:cs="Arial"/>
          <w:sz w:val="18"/>
          <w:szCs w:val="18"/>
          <w:lang w:val="el-GR" w:eastAsia="el-GR"/>
        </w:rPr>
        <w:t xml:space="preserve"> σε </w:t>
      </w:r>
      <w:r w:rsidR="00C11977" w:rsidRPr="006A1797">
        <w:rPr>
          <w:rFonts w:ascii="Arial" w:hAnsi="Arial" w:cs="Arial"/>
          <w:sz w:val="18"/>
          <w:szCs w:val="24"/>
          <w:lang w:val="el-GR"/>
        </w:rPr>
        <w:t xml:space="preserve">€23,064 </w:t>
      </w:r>
      <w:r w:rsidR="00172910" w:rsidRPr="00CB38F0">
        <w:rPr>
          <w:rFonts w:ascii="Arial" w:eastAsia="Times New Roman" w:hAnsi="Arial" w:cs="Arial"/>
          <w:sz w:val="18"/>
          <w:szCs w:val="18"/>
          <w:lang w:val="el-GR" w:eastAsia="el-GR"/>
        </w:rPr>
        <w:t>εκατ</w:t>
      </w:r>
      <w:r w:rsidR="00172910" w:rsidRPr="00172910">
        <w:rPr>
          <w:rFonts w:ascii="Arial" w:eastAsia="Times New Roman" w:hAnsi="Arial" w:cs="Arial"/>
          <w:sz w:val="18"/>
          <w:szCs w:val="18"/>
          <w:lang w:val="el-GR" w:eastAsia="el-GR"/>
        </w:rPr>
        <w:t>.,</w:t>
      </w:r>
      <w:r w:rsidR="00DC0009">
        <w:rPr>
          <w:rFonts w:ascii="Arial" w:eastAsia="Times New Roman" w:hAnsi="Arial" w:cs="Arial"/>
          <w:sz w:val="18"/>
          <w:szCs w:val="18"/>
          <w:lang w:val="el-GR" w:eastAsia="el-GR"/>
        </w:rPr>
        <w:t xml:space="preserve"> περίπου στα ίδια επίπεδα σε ετήσια βάση. </w:t>
      </w:r>
    </w:p>
    <w:p w14:paraId="2CE42C1E" w14:textId="77777777" w:rsidR="00172910" w:rsidRPr="00CB38F0" w:rsidRDefault="00172910">
      <w:pPr>
        <w:spacing w:after="0" w:line="240" w:lineRule="auto"/>
        <w:jc w:val="both"/>
        <w:rPr>
          <w:rFonts w:ascii="Arial" w:eastAsia="Times New Roman" w:hAnsi="Arial" w:cs="Arial"/>
          <w:sz w:val="18"/>
          <w:szCs w:val="18"/>
          <w:lang w:val="el-GR" w:eastAsia="el-GR"/>
        </w:rPr>
      </w:pPr>
    </w:p>
    <w:p w14:paraId="3983CC82" w14:textId="65D6428B" w:rsidR="009129B7" w:rsidRPr="00C11977" w:rsidRDefault="00172910" w:rsidP="009129B7">
      <w:pPr>
        <w:spacing w:after="0" w:line="240" w:lineRule="auto"/>
        <w:jc w:val="both"/>
        <w:rPr>
          <w:rFonts w:ascii="Arial" w:eastAsia="Times New Roman" w:hAnsi="Arial" w:cs="Arial"/>
          <w:sz w:val="18"/>
          <w:szCs w:val="18"/>
          <w:highlight w:val="yellow"/>
          <w:lang w:val="el-GR" w:eastAsia="el-GR"/>
        </w:rPr>
      </w:pPr>
      <w:r w:rsidRPr="009129B7">
        <w:rPr>
          <w:rFonts w:ascii="Arial" w:eastAsia="Times New Roman" w:hAnsi="Arial" w:cs="Arial"/>
          <w:b/>
          <w:bCs/>
          <w:sz w:val="18"/>
          <w:szCs w:val="18"/>
          <w:lang w:val="el-GR" w:eastAsia="el-GR"/>
        </w:rPr>
        <w:t>Ο τριμηνιαίος μέσος όρος των τοκοφόρων περιουσιακών στοιχείων</w:t>
      </w:r>
      <w:r w:rsidR="00352599" w:rsidRPr="00CB38F0">
        <w:rPr>
          <w:rFonts w:ascii="Arial" w:eastAsia="Times New Roman" w:hAnsi="Arial" w:cs="Arial"/>
          <w:sz w:val="18"/>
          <w:szCs w:val="18"/>
          <w:lang w:val="el-GR" w:eastAsia="el-GR"/>
        </w:rPr>
        <w:t xml:space="preserve"> </w:t>
      </w:r>
      <w:r w:rsidRPr="00CB38F0">
        <w:rPr>
          <w:rFonts w:ascii="Arial" w:eastAsia="Times New Roman" w:hAnsi="Arial" w:cs="Arial"/>
          <w:sz w:val="18"/>
          <w:szCs w:val="18"/>
          <w:lang w:val="el-GR" w:eastAsia="el-GR"/>
        </w:rPr>
        <w:t xml:space="preserve">για το </w:t>
      </w:r>
      <w:r w:rsidR="00195DBC">
        <w:rPr>
          <w:rFonts w:ascii="Arial" w:eastAsia="Times New Roman" w:hAnsi="Arial" w:cs="Arial"/>
          <w:sz w:val="18"/>
          <w:szCs w:val="18"/>
          <w:lang w:val="el-GR" w:eastAsia="el-GR"/>
        </w:rPr>
        <w:t xml:space="preserve">β΄ </w:t>
      </w:r>
      <w:r w:rsidR="00675ED9" w:rsidRPr="00CB38F0">
        <w:rPr>
          <w:rFonts w:ascii="Arial" w:hAnsi="Arial" w:cs="Arial"/>
          <w:sz w:val="18"/>
          <w:szCs w:val="18"/>
          <w:lang w:val="el-GR"/>
        </w:rPr>
        <w:t>τρίμηνο</w:t>
      </w:r>
      <w:r w:rsidR="00195DBC">
        <w:rPr>
          <w:rFonts w:ascii="Arial" w:hAnsi="Arial" w:cs="Arial"/>
          <w:sz w:val="18"/>
          <w:szCs w:val="18"/>
          <w:lang w:val="el-GR"/>
        </w:rPr>
        <w:t xml:space="preserve"> 2024</w:t>
      </w:r>
      <w:r w:rsidR="00675ED9" w:rsidRPr="00CB38F0">
        <w:rPr>
          <w:rFonts w:ascii="Arial" w:hAnsi="Arial" w:cs="Arial"/>
          <w:sz w:val="18"/>
          <w:szCs w:val="18"/>
          <w:lang w:val="el-GR"/>
        </w:rPr>
        <w:t xml:space="preserve"> ανήλθε</w:t>
      </w:r>
      <w:r w:rsidR="00675ED9" w:rsidRPr="00CB38F0">
        <w:rPr>
          <w:rFonts w:ascii="Arial" w:eastAsia="Times New Roman" w:hAnsi="Arial" w:cs="Arial"/>
          <w:sz w:val="18"/>
          <w:szCs w:val="18"/>
          <w:lang w:val="el-GR" w:eastAsia="el-GR"/>
        </w:rPr>
        <w:t xml:space="preserve"> </w:t>
      </w:r>
      <w:r w:rsidR="00352599" w:rsidRPr="00CB38F0">
        <w:rPr>
          <w:rFonts w:ascii="Arial" w:eastAsia="Times New Roman" w:hAnsi="Arial" w:cs="Arial"/>
          <w:sz w:val="18"/>
          <w:szCs w:val="18"/>
          <w:lang w:val="el-GR" w:eastAsia="el-GR"/>
        </w:rPr>
        <w:t xml:space="preserve">σε </w:t>
      </w:r>
      <w:r w:rsidR="00DC0009" w:rsidRPr="006A1797">
        <w:rPr>
          <w:rFonts w:ascii="Arial" w:hAnsi="Arial" w:cs="Arial"/>
          <w:sz w:val="18"/>
          <w:szCs w:val="24"/>
          <w:lang w:val="el-GR"/>
        </w:rPr>
        <w:t xml:space="preserve">€22,588 </w:t>
      </w:r>
      <w:r w:rsidR="00352599" w:rsidRPr="00CB38F0">
        <w:rPr>
          <w:rFonts w:ascii="Arial" w:eastAsia="Times New Roman" w:hAnsi="Arial" w:cs="Arial"/>
          <w:sz w:val="18"/>
          <w:szCs w:val="18"/>
          <w:lang w:val="el-GR" w:eastAsia="el-GR"/>
        </w:rPr>
        <w:t xml:space="preserve">εκατ., </w:t>
      </w:r>
      <w:r w:rsidR="00DC0009">
        <w:rPr>
          <w:rFonts w:ascii="Arial" w:eastAsia="Times New Roman" w:hAnsi="Arial" w:cs="Arial"/>
          <w:sz w:val="18"/>
          <w:szCs w:val="18"/>
          <w:lang w:val="el-GR" w:eastAsia="el-GR"/>
        </w:rPr>
        <w:t>μειωμένος</w:t>
      </w:r>
      <w:r w:rsidR="00DC0009" w:rsidRPr="00CB38F0">
        <w:rPr>
          <w:rFonts w:ascii="Arial" w:eastAsia="Times New Roman" w:hAnsi="Arial" w:cs="Arial"/>
          <w:sz w:val="18"/>
          <w:szCs w:val="18"/>
          <w:lang w:val="el-GR" w:eastAsia="el-GR"/>
        </w:rPr>
        <w:t xml:space="preserve"> </w:t>
      </w:r>
      <w:r w:rsidR="00352599" w:rsidRPr="00CB38F0">
        <w:rPr>
          <w:rFonts w:ascii="Arial" w:eastAsia="Times New Roman" w:hAnsi="Arial" w:cs="Arial"/>
          <w:sz w:val="18"/>
          <w:szCs w:val="18"/>
          <w:lang w:val="el-GR" w:eastAsia="el-GR"/>
        </w:rPr>
        <w:t xml:space="preserve">κατά </w:t>
      </w:r>
      <w:r w:rsidR="00DC0009" w:rsidRPr="006A1797">
        <w:rPr>
          <w:rFonts w:ascii="Arial" w:hAnsi="Arial" w:cs="Arial"/>
          <w:sz w:val="18"/>
          <w:szCs w:val="24"/>
          <w:lang w:val="el-GR"/>
        </w:rPr>
        <w:t>3</w:t>
      </w:r>
      <w:r w:rsidR="00352599" w:rsidRPr="00CB38F0">
        <w:rPr>
          <w:rFonts w:ascii="Arial" w:eastAsia="Times New Roman" w:hAnsi="Arial" w:cs="Arial"/>
          <w:sz w:val="18"/>
          <w:szCs w:val="18"/>
          <w:lang w:val="el-GR" w:eastAsia="el-GR"/>
        </w:rPr>
        <w:t xml:space="preserve">% σε </w:t>
      </w:r>
      <w:r w:rsidR="00675ED9" w:rsidRPr="00CB38F0">
        <w:rPr>
          <w:rFonts w:ascii="Arial" w:eastAsia="Times New Roman" w:hAnsi="Arial" w:cs="Arial"/>
          <w:sz w:val="18"/>
          <w:szCs w:val="18"/>
          <w:lang w:val="el-GR" w:eastAsia="el-GR"/>
        </w:rPr>
        <w:t xml:space="preserve">τριμηνιαία </w:t>
      </w:r>
      <w:r w:rsidR="00352599" w:rsidRPr="00CB38F0">
        <w:rPr>
          <w:rFonts w:ascii="Arial" w:eastAsia="Times New Roman" w:hAnsi="Arial" w:cs="Arial"/>
          <w:sz w:val="18"/>
          <w:szCs w:val="18"/>
          <w:lang w:val="el-GR" w:eastAsia="el-GR"/>
        </w:rPr>
        <w:t xml:space="preserve">βάση, </w:t>
      </w:r>
      <w:r w:rsidR="00675ED9" w:rsidRPr="00CB38F0">
        <w:rPr>
          <w:rFonts w:ascii="Arial" w:eastAsia="Times New Roman" w:hAnsi="Arial" w:cs="Arial"/>
          <w:sz w:val="18"/>
          <w:szCs w:val="18"/>
          <w:lang w:val="el-GR" w:eastAsia="el-GR"/>
        </w:rPr>
        <w:t xml:space="preserve">λόγω </w:t>
      </w:r>
      <w:r w:rsidR="00DC0009">
        <w:rPr>
          <w:rFonts w:ascii="Arial" w:eastAsia="Times New Roman" w:hAnsi="Arial" w:cs="Arial"/>
          <w:sz w:val="18"/>
          <w:szCs w:val="18"/>
          <w:lang w:val="el-GR" w:eastAsia="el-GR"/>
        </w:rPr>
        <w:t xml:space="preserve">κυρίως </w:t>
      </w:r>
      <w:r w:rsidR="00DC0009">
        <w:rPr>
          <w:rFonts w:ascii="Arial" w:hAnsi="Arial" w:cs="Arial"/>
          <w:sz w:val="18"/>
          <w:szCs w:val="18"/>
          <w:lang w:val="el-GR"/>
        </w:rPr>
        <w:t>της</w:t>
      </w:r>
      <w:r w:rsidR="009129B7" w:rsidRPr="009129B7">
        <w:rPr>
          <w:rFonts w:ascii="Arial" w:hAnsi="Arial" w:cs="Arial"/>
          <w:sz w:val="18"/>
          <w:szCs w:val="18"/>
          <w:lang w:val="el-GR"/>
        </w:rPr>
        <w:t xml:space="preserve"> </w:t>
      </w:r>
      <w:r w:rsidR="009129B7" w:rsidRPr="009129B7">
        <w:rPr>
          <w:rFonts w:ascii="Arial" w:eastAsia="Times New Roman" w:hAnsi="Arial" w:cs="Arial"/>
          <w:sz w:val="18"/>
          <w:szCs w:val="18"/>
          <w:lang w:val="el-GR" w:eastAsia="el-GR"/>
        </w:rPr>
        <w:t>αποπληρωμή</w:t>
      </w:r>
      <w:r w:rsidR="00DC0009">
        <w:rPr>
          <w:rFonts w:ascii="Arial" w:eastAsia="Times New Roman" w:hAnsi="Arial" w:cs="Arial"/>
          <w:sz w:val="18"/>
          <w:szCs w:val="18"/>
          <w:lang w:val="el-GR" w:eastAsia="el-GR"/>
        </w:rPr>
        <w:t xml:space="preserve">ς </w:t>
      </w:r>
      <w:r w:rsidR="009129B7" w:rsidRPr="009129B7">
        <w:rPr>
          <w:rFonts w:ascii="Arial" w:eastAsia="Times New Roman" w:hAnsi="Arial" w:cs="Arial"/>
          <w:sz w:val="18"/>
          <w:szCs w:val="18"/>
          <w:lang w:val="el-GR" w:eastAsia="el-GR"/>
        </w:rPr>
        <w:t>δανεισμού</w:t>
      </w:r>
      <w:r w:rsidR="009129B7" w:rsidRPr="00CB38F0">
        <w:rPr>
          <w:rFonts w:ascii="Arial" w:eastAsia="Times New Roman" w:hAnsi="Arial" w:cs="Arial"/>
          <w:sz w:val="18"/>
          <w:szCs w:val="18"/>
          <w:lang w:val="el-GR" w:eastAsia="el-GR"/>
        </w:rPr>
        <w:t xml:space="preserve"> </w:t>
      </w:r>
      <w:r w:rsidR="009129B7" w:rsidRPr="009129B7">
        <w:rPr>
          <w:rFonts w:ascii="Arial" w:eastAsia="Times New Roman" w:hAnsi="Arial" w:cs="Arial"/>
          <w:sz w:val="18"/>
          <w:szCs w:val="18"/>
          <w:lang w:val="el-GR" w:eastAsia="el-GR"/>
        </w:rPr>
        <w:t>ΣΠΠΜΑ ΙΙΙ ύψους €</w:t>
      </w:r>
      <w:r w:rsidR="00C11977" w:rsidRPr="006A1797">
        <w:rPr>
          <w:rFonts w:ascii="Arial" w:eastAsia="Times New Roman" w:hAnsi="Arial" w:cs="Arial"/>
          <w:sz w:val="18"/>
          <w:szCs w:val="18"/>
          <w:lang w:val="el-GR" w:eastAsia="el-GR"/>
        </w:rPr>
        <w:t xml:space="preserve">2.0 </w:t>
      </w:r>
      <w:r w:rsidR="00C11977">
        <w:rPr>
          <w:rFonts w:ascii="Arial" w:eastAsia="Times New Roman" w:hAnsi="Arial" w:cs="Arial"/>
          <w:sz w:val="18"/>
          <w:szCs w:val="18"/>
          <w:lang w:val="el-GR" w:eastAsia="el-GR"/>
        </w:rPr>
        <w:t xml:space="preserve">δις. </w:t>
      </w:r>
    </w:p>
    <w:p w14:paraId="506F48CE" w14:textId="77777777" w:rsidR="00F26350" w:rsidRPr="00CB38F0" w:rsidRDefault="00F26350" w:rsidP="00FA3A6D">
      <w:pPr>
        <w:spacing w:after="0" w:line="240" w:lineRule="auto"/>
        <w:rPr>
          <w:rFonts w:ascii="Arial" w:eastAsia="Times New Roman" w:hAnsi="Arial" w:cs="Arial"/>
          <w:sz w:val="18"/>
          <w:szCs w:val="18"/>
          <w:lang w:val="el-GR" w:eastAsia="el-GR"/>
        </w:rPr>
      </w:pPr>
    </w:p>
    <w:p w14:paraId="07E24491" w14:textId="5A5310ED" w:rsidR="00C11977" w:rsidRPr="00445AF1" w:rsidRDefault="009129B7" w:rsidP="009129B7">
      <w:pPr>
        <w:spacing w:after="0" w:line="240" w:lineRule="auto"/>
        <w:jc w:val="both"/>
        <w:rPr>
          <w:rFonts w:ascii="Arial" w:hAnsi="Arial" w:cs="Arial"/>
          <w:sz w:val="18"/>
          <w:szCs w:val="18"/>
          <w:lang w:val="el-GR"/>
        </w:rPr>
      </w:pPr>
      <w:r w:rsidRPr="00CB38F0">
        <w:rPr>
          <w:rFonts w:ascii="Arial" w:hAnsi="Arial" w:cs="Arial"/>
          <w:b/>
          <w:bCs/>
          <w:sz w:val="18"/>
          <w:szCs w:val="18"/>
          <w:lang w:val="el-GR" w:eastAsia="el-GR"/>
        </w:rPr>
        <w:t xml:space="preserve">Το καθαρό επιτοκιακό περιθώριο </w:t>
      </w:r>
      <w:r w:rsidRPr="00CB38F0">
        <w:rPr>
          <w:rFonts w:ascii="Arial" w:hAnsi="Arial" w:cs="Arial"/>
          <w:sz w:val="18"/>
          <w:szCs w:val="18"/>
          <w:lang w:val="el-GR" w:eastAsia="el-GR"/>
        </w:rPr>
        <w:t>για το α’ εξάμηνο 2024 ανήλθε σε</w:t>
      </w:r>
      <w:r w:rsidRPr="00CB38F0">
        <w:rPr>
          <w:rFonts w:ascii="Arial" w:hAnsi="Arial" w:cs="Arial"/>
          <w:b/>
          <w:bCs/>
          <w:sz w:val="18"/>
          <w:szCs w:val="18"/>
          <w:lang w:val="el-GR" w:eastAsia="el-GR"/>
        </w:rPr>
        <w:t xml:space="preserve"> </w:t>
      </w:r>
      <w:r w:rsidR="00C11977" w:rsidRPr="006A1797">
        <w:rPr>
          <w:rFonts w:ascii="Arial" w:hAnsi="Arial" w:cs="Arial"/>
          <w:sz w:val="18"/>
          <w:szCs w:val="18"/>
          <w:lang w:val="el-GR"/>
        </w:rPr>
        <w:t>3.66</w:t>
      </w:r>
      <w:r w:rsidRPr="00CB38F0">
        <w:rPr>
          <w:rFonts w:ascii="Arial" w:hAnsi="Arial" w:cs="Arial"/>
          <w:sz w:val="18"/>
          <w:szCs w:val="18"/>
          <w:lang w:val="el-GR"/>
        </w:rPr>
        <w:t>% (σε σύγκριση με 3.17% για το α’ εξάμηνο 202</w:t>
      </w:r>
      <w:r w:rsidR="009D1C4B">
        <w:rPr>
          <w:rFonts w:ascii="Arial" w:hAnsi="Arial" w:cs="Arial"/>
          <w:sz w:val="18"/>
          <w:szCs w:val="18"/>
          <w:lang w:val="el-GR"/>
        </w:rPr>
        <w:t>3</w:t>
      </w:r>
      <w:r w:rsidRPr="00CB38F0">
        <w:rPr>
          <w:rFonts w:ascii="Arial" w:hAnsi="Arial" w:cs="Arial"/>
          <w:sz w:val="18"/>
          <w:szCs w:val="18"/>
          <w:lang w:val="el-GR"/>
        </w:rPr>
        <w:t xml:space="preserve">), αυξημένο κατά </w:t>
      </w:r>
      <w:r w:rsidR="00C11977" w:rsidRPr="006A1797">
        <w:rPr>
          <w:rFonts w:ascii="Arial" w:hAnsi="Arial" w:cs="Arial"/>
          <w:color w:val="000000" w:themeColor="text1"/>
          <w:sz w:val="18"/>
          <w:szCs w:val="18"/>
          <w:lang w:val="el-GR"/>
        </w:rPr>
        <w:t>49</w:t>
      </w:r>
      <w:r w:rsidRPr="006A1797">
        <w:rPr>
          <w:rFonts w:ascii="Arial" w:hAnsi="Arial" w:cs="Arial"/>
          <w:color w:val="000000" w:themeColor="text1"/>
          <w:sz w:val="18"/>
          <w:szCs w:val="18"/>
          <w:lang w:val="el-GR"/>
        </w:rPr>
        <w:t xml:space="preserve"> μ.β. σε ετήσια βάση</w:t>
      </w:r>
      <w:r w:rsidRPr="009129B7">
        <w:rPr>
          <w:rFonts w:ascii="Arial" w:hAnsi="Arial" w:cs="Arial"/>
          <w:sz w:val="18"/>
          <w:szCs w:val="18"/>
          <w:lang w:val="el-GR"/>
        </w:rPr>
        <w:t xml:space="preserve">, </w:t>
      </w:r>
      <w:r w:rsidR="00445AF1">
        <w:rPr>
          <w:rFonts w:ascii="Arial" w:hAnsi="Arial" w:cs="Arial"/>
          <w:sz w:val="18"/>
          <w:szCs w:val="18"/>
          <w:lang w:val="el-GR"/>
        </w:rPr>
        <w:t>υποστηριζόμενο από το</w:t>
      </w:r>
      <w:r w:rsidR="0059202E">
        <w:rPr>
          <w:rFonts w:ascii="Arial" w:hAnsi="Arial" w:cs="Arial"/>
          <w:sz w:val="18"/>
          <w:szCs w:val="18"/>
          <w:lang w:val="el-GR"/>
        </w:rPr>
        <w:t xml:space="preserve"> </w:t>
      </w:r>
      <w:r w:rsidR="00445AF1">
        <w:rPr>
          <w:rFonts w:ascii="Arial" w:hAnsi="Arial" w:cs="Arial"/>
          <w:sz w:val="18"/>
          <w:szCs w:val="18"/>
          <w:lang w:val="el-GR"/>
        </w:rPr>
        <w:t>περιβάλλον</w:t>
      </w:r>
      <w:r w:rsidR="0059202E">
        <w:rPr>
          <w:rFonts w:ascii="Arial" w:hAnsi="Arial" w:cs="Arial"/>
          <w:sz w:val="18"/>
          <w:szCs w:val="18"/>
          <w:lang w:val="el-GR"/>
        </w:rPr>
        <w:t xml:space="preserve"> υψηλότερων</w:t>
      </w:r>
      <w:r w:rsidR="00445AF1">
        <w:rPr>
          <w:rFonts w:ascii="Arial" w:hAnsi="Arial" w:cs="Arial"/>
          <w:sz w:val="18"/>
          <w:szCs w:val="18"/>
          <w:lang w:val="el-GR"/>
        </w:rPr>
        <w:t xml:space="preserve"> επιτοκίων</w:t>
      </w:r>
      <w:r w:rsidR="0059202E">
        <w:rPr>
          <w:rFonts w:ascii="Arial" w:hAnsi="Arial" w:cs="Arial"/>
          <w:sz w:val="18"/>
          <w:szCs w:val="18"/>
          <w:lang w:val="el-GR"/>
        </w:rPr>
        <w:t xml:space="preserve"> σε σύγκριση με το προηγούμενο έτος. </w:t>
      </w:r>
    </w:p>
    <w:p w14:paraId="07731F00" w14:textId="77777777" w:rsidR="009129B7" w:rsidRPr="006B5511" w:rsidRDefault="009129B7" w:rsidP="009129B7">
      <w:pPr>
        <w:spacing w:after="0" w:line="240" w:lineRule="auto"/>
        <w:jc w:val="both"/>
        <w:rPr>
          <w:rFonts w:ascii="Arial" w:hAnsi="Arial" w:cs="Arial"/>
          <w:sz w:val="18"/>
          <w:szCs w:val="18"/>
          <w:highlight w:val="yellow"/>
          <w:lang w:val="el-GR"/>
        </w:rPr>
      </w:pPr>
    </w:p>
    <w:p w14:paraId="1647A75C" w14:textId="385DD099" w:rsidR="0007077C" w:rsidRPr="006B5511" w:rsidRDefault="009129B7" w:rsidP="0007077C">
      <w:pPr>
        <w:spacing w:after="0" w:line="240" w:lineRule="auto"/>
        <w:jc w:val="both"/>
        <w:rPr>
          <w:rFonts w:ascii="Arial" w:eastAsia="Times New Roman" w:hAnsi="Arial" w:cs="Arial"/>
          <w:b/>
          <w:bCs/>
          <w:sz w:val="18"/>
          <w:szCs w:val="18"/>
          <w:highlight w:val="yellow"/>
          <w:lang w:val="el-GR" w:eastAsia="el-GR"/>
        </w:rPr>
      </w:pPr>
      <w:r w:rsidRPr="00A30D62">
        <w:rPr>
          <w:rFonts w:ascii="Arial" w:hAnsi="Arial" w:cs="Arial"/>
          <w:b/>
          <w:bCs/>
          <w:sz w:val="18"/>
          <w:szCs w:val="18"/>
          <w:lang w:val="el-GR" w:eastAsia="el-GR"/>
        </w:rPr>
        <w:t xml:space="preserve">Το καθαρό επιτοκιακό περιθώριο </w:t>
      </w:r>
      <w:r w:rsidRPr="00A30D62">
        <w:rPr>
          <w:rFonts w:ascii="Arial" w:hAnsi="Arial" w:cs="Arial"/>
          <w:sz w:val="18"/>
          <w:szCs w:val="18"/>
          <w:lang w:val="el-GR" w:eastAsia="el-GR"/>
        </w:rPr>
        <w:t xml:space="preserve">για το </w:t>
      </w:r>
      <w:r>
        <w:rPr>
          <w:rFonts w:ascii="Arial" w:hAnsi="Arial" w:cs="Arial"/>
          <w:sz w:val="18"/>
          <w:szCs w:val="18"/>
          <w:lang w:val="el-GR" w:eastAsia="el-GR"/>
        </w:rPr>
        <w:t>β</w:t>
      </w:r>
      <w:r w:rsidRPr="00A30D62">
        <w:rPr>
          <w:rFonts w:ascii="Arial" w:hAnsi="Arial" w:cs="Arial"/>
          <w:sz w:val="18"/>
          <w:szCs w:val="18"/>
          <w:lang w:val="el-GR" w:eastAsia="el-GR"/>
        </w:rPr>
        <w:t xml:space="preserve">’ </w:t>
      </w:r>
      <w:r>
        <w:rPr>
          <w:rFonts w:ascii="Arial" w:hAnsi="Arial" w:cs="Arial"/>
          <w:sz w:val="18"/>
          <w:szCs w:val="18"/>
          <w:lang w:val="el-GR" w:eastAsia="el-GR"/>
        </w:rPr>
        <w:t>τρίμηνο</w:t>
      </w:r>
      <w:r w:rsidRPr="00A30D62">
        <w:rPr>
          <w:rFonts w:ascii="Arial" w:hAnsi="Arial" w:cs="Arial"/>
          <w:sz w:val="18"/>
          <w:szCs w:val="18"/>
          <w:lang w:val="el-GR" w:eastAsia="el-GR"/>
        </w:rPr>
        <w:t xml:space="preserve"> 2024 </w:t>
      </w:r>
      <w:r w:rsidRPr="00DF537B">
        <w:rPr>
          <w:rFonts w:ascii="Arial" w:hAnsi="Arial" w:cs="Arial"/>
          <w:sz w:val="18"/>
          <w:szCs w:val="18"/>
          <w:lang w:val="el-GR" w:eastAsia="el-GR"/>
        </w:rPr>
        <w:t>ανήλθε σε</w:t>
      </w:r>
      <w:r w:rsidRPr="00DF537B">
        <w:rPr>
          <w:rFonts w:ascii="Arial" w:hAnsi="Arial" w:cs="Arial"/>
          <w:b/>
          <w:bCs/>
          <w:sz w:val="18"/>
          <w:szCs w:val="18"/>
          <w:lang w:val="el-GR" w:eastAsia="el-GR"/>
        </w:rPr>
        <w:t xml:space="preserve"> </w:t>
      </w:r>
      <w:r w:rsidR="006C49BD" w:rsidRPr="006A1797">
        <w:rPr>
          <w:rFonts w:ascii="Arial" w:hAnsi="Arial" w:cs="Arial"/>
          <w:sz w:val="18"/>
          <w:szCs w:val="18"/>
          <w:lang w:val="el-GR"/>
        </w:rPr>
        <w:t>3.68%</w:t>
      </w:r>
      <w:r w:rsidR="006C49BD">
        <w:rPr>
          <w:rFonts w:ascii="Arial" w:hAnsi="Arial" w:cs="Arial"/>
          <w:sz w:val="18"/>
          <w:szCs w:val="18"/>
          <w:lang w:val="el-GR"/>
        </w:rPr>
        <w:t>. περίπου στα ίδια επίπεδα σε τριμηνιαία βά</w:t>
      </w:r>
      <w:r w:rsidR="006C49BD" w:rsidRPr="00BC7C8C">
        <w:rPr>
          <w:rFonts w:ascii="Arial" w:hAnsi="Arial" w:cs="Arial"/>
          <w:sz w:val="18"/>
          <w:szCs w:val="18"/>
          <w:lang w:val="el-GR"/>
        </w:rPr>
        <w:t>ση.</w:t>
      </w:r>
      <w:r w:rsidR="006C49BD">
        <w:rPr>
          <w:rFonts w:ascii="Arial" w:hAnsi="Arial" w:cs="Arial"/>
          <w:sz w:val="18"/>
          <w:szCs w:val="18"/>
          <w:lang w:val="el-GR"/>
        </w:rPr>
        <w:t xml:space="preserve"> </w:t>
      </w:r>
      <w:r w:rsidR="006C49BD" w:rsidRPr="006A1797">
        <w:rPr>
          <w:rFonts w:ascii="Arial" w:hAnsi="Arial" w:cs="Arial"/>
          <w:sz w:val="18"/>
          <w:szCs w:val="18"/>
          <w:lang w:val="el-GR" w:eastAsia="el-GR"/>
        </w:rPr>
        <w:t xml:space="preserve">Το καθαρό επιτοκιακό περιθώριο </w:t>
      </w:r>
      <w:r w:rsidR="006C49BD" w:rsidRPr="00BC7C8C">
        <w:rPr>
          <w:rFonts w:ascii="Arial" w:hAnsi="Arial" w:cs="Arial"/>
          <w:sz w:val="18"/>
          <w:szCs w:val="18"/>
          <w:lang w:val="el-GR" w:eastAsia="el-GR"/>
        </w:rPr>
        <w:t xml:space="preserve">για το β’ τρίμηνο 2024 επηρεάστηκε από τις αλλαγές </w:t>
      </w:r>
      <w:r w:rsidR="006C49BD" w:rsidRPr="006A1797">
        <w:rPr>
          <w:rFonts w:ascii="Arial" w:eastAsia="Times New Roman" w:hAnsi="Arial" w:cs="Arial"/>
          <w:sz w:val="18"/>
          <w:szCs w:val="18"/>
          <w:lang w:val="el-GR" w:eastAsia="el-GR"/>
        </w:rPr>
        <w:t>στον τριμηνιαίο μέσο όρο των τοκοφόρων περιουσιακών στοιχείων</w:t>
      </w:r>
      <w:r w:rsidR="0007077C" w:rsidRPr="006A1797">
        <w:rPr>
          <w:rFonts w:ascii="Arial" w:eastAsia="Times New Roman" w:hAnsi="Arial" w:cs="Arial"/>
          <w:sz w:val="18"/>
          <w:szCs w:val="18"/>
          <w:lang w:val="el-GR" w:eastAsia="el-GR"/>
        </w:rPr>
        <w:t xml:space="preserve">, λόγω της αποπληρωμής </w:t>
      </w:r>
      <w:r w:rsidR="0007077C" w:rsidRPr="00BC7C8C">
        <w:rPr>
          <w:rFonts w:ascii="Arial" w:eastAsia="Times New Roman" w:hAnsi="Arial" w:cs="Arial"/>
          <w:sz w:val="18"/>
          <w:szCs w:val="18"/>
          <w:lang w:val="el-GR" w:eastAsia="el-GR"/>
        </w:rPr>
        <w:t>δανεισμού ΣΠ</w:t>
      </w:r>
      <w:r w:rsidR="0007077C" w:rsidRPr="009129B7">
        <w:rPr>
          <w:rFonts w:ascii="Arial" w:eastAsia="Times New Roman" w:hAnsi="Arial" w:cs="Arial"/>
          <w:sz w:val="18"/>
          <w:szCs w:val="18"/>
          <w:lang w:val="el-GR" w:eastAsia="el-GR"/>
        </w:rPr>
        <w:t>ΠΜΑ ΙΙΙ ύψους €</w:t>
      </w:r>
      <w:r w:rsidR="0007077C" w:rsidRPr="008A38B0">
        <w:rPr>
          <w:rFonts w:ascii="Arial" w:eastAsia="Times New Roman" w:hAnsi="Arial" w:cs="Arial"/>
          <w:sz w:val="18"/>
          <w:szCs w:val="18"/>
          <w:lang w:val="el-GR" w:eastAsia="el-GR"/>
        </w:rPr>
        <w:t xml:space="preserve">2.0 </w:t>
      </w:r>
      <w:r w:rsidR="0007077C">
        <w:rPr>
          <w:rFonts w:ascii="Arial" w:eastAsia="Times New Roman" w:hAnsi="Arial" w:cs="Arial"/>
          <w:sz w:val="18"/>
          <w:szCs w:val="18"/>
          <w:lang w:val="el-GR" w:eastAsia="el-GR"/>
        </w:rPr>
        <w:t xml:space="preserve">δις. </w:t>
      </w:r>
      <w:r w:rsidR="0007077C" w:rsidRPr="00CB38F0">
        <w:rPr>
          <w:rFonts w:ascii="Arial" w:hAnsi="Arial" w:cs="Arial"/>
          <w:sz w:val="18"/>
          <w:szCs w:val="18"/>
          <w:lang w:val="el-GR"/>
        </w:rPr>
        <w:t>Εξαιρώντας τη χρηματοδότηση ΣΠΠΜΑ ΙΙΙ,</w:t>
      </w:r>
      <w:r w:rsidR="009B20CB">
        <w:rPr>
          <w:rFonts w:ascii="Arial" w:hAnsi="Arial" w:cs="Arial"/>
          <w:sz w:val="18"/>
          <w:szCs w:val="18"/>
          <w:lang w:val="el-GR"/>
        </w:rPr>
        <w:t xml:space="preserve"> </w:t>
      </w:r>
      <w:r w:rsidR="0007077C" w:rsidRPr="00CB38F0">
        <w:rPr>
          <w:rFonts w:ascii="Arial" w:hAnsi="Arial" w:cs="Arial"/>
          <w:sz w:val="18"/>
          <w:szCs w:val="18"/>
          <w:lang w:val="el-GR"/>
        </w:rPr>
        <w:t xml:space="preserve">το αναθεωρημένο καθαρό επιτοκιακό περιθώριο ανέρχεται σε </w:t>
      </w:r>
      <w:r w:rsidR="0007077C" w:rsidRPr="006A1797">
        <w:rPr>
          <w:rFonts w:ascii="Arial" w:hAnsi="Arial" w:cs="Arial"/>
          <w:sz w:val="18"/>
          <w:szCs w:val="18"/>
          <w:lang w:val="el-GR"/>
        </w:rPr>
        <w:t>3.7</w:t>
      </w:r>
      <w:r w:rsidR="00DA5265">
        <w:rPr>
          <w:rFonts w:ascii="Arial" w:hAnsi="Arial" w:cs="Arial"/>
          <w:sz w:val="18"/>
          <w:szCs w:val="18"/>
          <w:lang w:val="el-GR"/>
        </w:rPr>
        <w:t>0</w:t>
      </w:r>
      <w:r w:rsidR="0007077C" w:rsidRPr="00CB38F0">
        <w:rPr>
          <w:rFonts w:ascii="Arial" w:hAnsi="Arial" w:cs="Arial"/>
          <w:sz w:val="18"/>
          <w:szCs w:val="18"/>
          <w:lang w:val="el-GR"/>
        </w:rPr>
        <w:t xml:space="preserve">% για το </w:t>
      </w:r>
      <w:r w:rsidR="0007077C">
        <w:rPr>
          <w:rFonts w:ascii="Arial" w:hAnsi="Arial" w:cs="Arial"/>
          <w:sz w:val="18"/>
          <w:szCs w:val="18"/>
          <w:lang w:val="el-GR"/>
        </w:rPr>
        <w:t>β</w:t>
      </w:r>
      <w:r w:rsidR="0007077C" w:rsidRPr="00CB38F0">
        <w:rPr>
          <w:rFonts w:ascii="Arial" w:hAnsi="Arial" w:cs="Arial"/>
          <w:sz w:val="18"/>
          <w:szCs w:val="18"/>
          <w:lang w:val="el-GR"/>
        </w:rPr>
        <w:t xml:space="preserve">΄ </w:t>
      </w:r>
      <w:r w:rsidR="0007077C">
        <w:rPr>
          <w:rFonts w:ascii="Arial" w:hAnsi="Arial" w:cs="Arial"/>
          <w:sz w:val="18"/>
          <w:szCs w:val="18"/>
          <w:lang w:val="el-GR" w:eastAsia="el-GR"/>
        </w:rPr>
        <w:t>τρίμηνο</w:t>
      </w:r>
      <w:r w:rsidR="0007077C" w:rsidRPr="009129B7">
        <w:rPr>
          <w:rFonts w:ascii="Arial" w:hAnsi="Arial" w:cs="Arial"/>
          <w:sz w:val="18"/>
          <w:szCs w:val="18"/>
          <w:lang w:val="el-GR" w:eastAsia="el-GR"/>
        </w:rPr>
        <w:t xml:space="preserve"> </w:t>
      </w:r>
      <w:r w:rsidR="0007077C" w:rsidRPr="00CB38F0">
        <w:rPr>
          <w:rFonts w:ascii="Arial" w:hAnsi="Arial" w:cs="Arial"/>
          <w:sz w:val="18"/>
          <w:szCs w:val="18"/>
          <w:lang w:val="el-GR"/>
        </w:rPr>
        <w:t>2024, σε σύγκριση με 3.</w:t>
      </w:r>
      <w:r w:rsidR="0007077C">
        <w:rPr>
          <w:rFonts w:ascii="Arial" w:hAnsi="Arial" w:cs="Arial"/>
          <w:sz w:val="18"/>
          <w:szCs w:val="18"/>
          <w:lang w:val="el-GR"/>
        </w:rPr>
        <w:t>90</w:t>
      </w:r>
      <w:r w:rsidR="0007077C" w:rsidRPr="00CB38F0">
        <w:rPr>
          <w:rFonts w:ascii="Arial" w:hAnsi="Arial" w:cs="Arial"/>
          <w:sz w:val="18"/>
          <w:szCs w:val="18"/>
          <w:lang w:val="el-GR"/>
        </w:rPr>
        <w:t xml:space="preserve">% κατά το προηγούμενο </w:t>
      </w:r>
      <w:r w:rsidR="0007077C">
        <w:rPr>
          <w:rFonts w:ascii="Arial" w:hAnsi="Arial" w:cs="Arial"/>
          <w:sz w:val="18"/>
          <w:szCs w:val="18"/>
          <w:lang w:val="el-GR"/>
        </w:rPr>
        <w:t>τρίμηνο</w:t>
      </w:r>
      <w:r w:rsidR="0007077C" w:rsidRPr="00CB38F0">
        <w:rPr>
          <w:rFonts w:ascii="Arial" w:hAnsi="Arial" w:cs="Arial"/>
          <w:sz w:val="18"/>
          <w:szCs w:val="18"/>
          <w:lang w:val="el-GR"/>
        </w:rPr>
        <w:t xml:space="preserve">. Η τριμηνιαία </w:t>
      </w:r>
      <w:r w:rsidR="009B20CB">
        <w:rPr>
          <w:rFonts w:ascii="Arial" w:hAnsi="Arial" w:cs="Arial"/>
          <w:sz w:val="18"/>
          <w:szCs w:val="18"/>
          <w:lang w:val="el-GR"/>
        </w:rPr>
        <w:t>μείωση</w:t>
      </w:r>
      <w:r w:rsidR="0007077C">
        <w:rPr>
          <w:rFonts w:ascii="Arial" w:hAnsi="Arial" w:cs="Arial"/>
          <w:sz w:val="18"/>
          <w:szCs w:val="18"/>
          <w:lang w:val="el-GR"/>
        </w:rPr>
        <w:t xml:space="preserve"> αφορά κυρίως την πρόοδο στις </w:t>
      </w:r>
      <w:r w:rsidR="0007077C" w:rsidRPr="00CB38F0">
        <w:rPr>
          <w:rFonts w:ascii="Arial" w:hAnsi="Arial" w:cs="Arial"/>
          <w:sz w:val="18"/>
          <w:szCs w:val="18"/>
          <w:lang w:val="el-GR"/>
        </w:rPr>
        <w:t>ενέργειες αντιστάθμισης (‘hedging’)</w:t>
      </w:r>
      <w:r w:rsidR="0007077C">
        <w:rPr>
          <w:rFonts w:ascii="Arial" w:hAnsi="Arial" w:cs="Arial"/>
          <w:sz w:val="18"/>
          <w:szCs w:val="18"/>
          <w:lang w:val="el-GR"/>
        </w:rPr>
        <w:t>.</w:t>
      </w:r>
    </w:p>
    <w:p w14:paraId="0310569A" w14:textId="77777777" w:rsidR="00352599" w:rsidRPr="00CB38F0" w:rsidRDefault="00352599" w:rsidP="00F26350">
      <w:pPr>
        <w:spacing w:after="0" w:line="240" w:lineRule="auto"/>
        <w:jc w:val="both"/>
        <w:rPr>
          <w:rFonts w:ascii="Arial" w:hAnsi="Arial" w:cs="Arial"/>
          <w:sz w:val="18"/>
          <w:szCs w:val="18"/>
          <w:lang w:val="el-GR"/>
        </w:rPr>
      </w:pPr>
    </w:p>
    <w:p w14:paraId="30166306" w14:textId="77777777" w:rsidR="003E6B24" w:rsidRDefault="003E6B24" w:rsidP="00352599">
      <w:pPr>
        <w:pStyle w:val="Default"/>
        <w:jc w:val="both"/>
        <w:rPr>
          <w:b/>
          <w:bCs/>
          <w:color w:val="auto"/>
          <w:sz w:val="18"/>
          <w:szCs w:val="18"/>
          <w:lang w:val="el-GR" w:eastAsia="el-GR"/>
        </w:rPr>
      </w:pPr>
    </w:p>
    <w:p w14:paraId="1B62D897" w14:textId="77777777" w:rsidR="003E6B24" w:rsidRDefault="003E6B24" w:rsidP="00352599">
      <w:pPr>
        <w:pStyle w:val="Default"/>
        <w:jc w:val="both"/>
        <w:rPr>
          <w:b/>
          <w:bCs/>
          <w:color w:val="auto"/>
          <w:sz w:val="18"/>
          <w:szCs w:val="18"/>
          <w:lang w:val="el-GR" w:eastAsia="el-GR"/>
        </w:rPr>
      </w:pPr>
    </w:p>
    <w:p w14:paraId="29D5D056" w14:textId="77777777" w:rsidR="00E06043" w:rsidRDefault="00E06043" w:rsidP="00352599">
      <w:pPr>
        <w:pStyle w:val="Default"/>
        <w:jc w:val="both"/>
        <w:rPr>
          <w:b/>
          <w:bCs/>
          <w:color w:val="auto"/>
          <w:sz w:val="18"/>
          <w:szCs w:val="18"/>
          <w:lang w:val="el-GR" w:eastAsia="el-GR"/>
        </w:rPr>
      </w:pPr>
    </w:p>
    <w:p w14:paraId="27ABBE87" w14:textId="77777777" w:rsidR="00E06043" w:rsidRDefault="00E06043" w:rsidP="00352599">
      <w:pPr>
        <w:pStyle w:val="Default"/>
        <w:jc w:val="both"/>
        <w:rPr>
          <w:b/>
          <w:bCs/>
          <w:color w:val="auto"/>
          <w:sz w:val="18"/>
          <w:szCs w:val="18"/>
          <w:lang w:val="el-GR" w:eastAsia="el-GR"/>
        </w:rPr>
      </w:pPr>
    </w:p>
    <w:p w14:paraId="5B09E18E" w14:textId="77777777" w:rsidR="003E6B24" w:rsidRDefault="003E6B24" w:rsidP="00352599">
      <w:pPr>
        <w:pStyle w:val="Default"/>
        <w:jc w:val="both"/>
        <w:rPr>
          <w:b/>
          <w:bCs/>
          <w:color w:val="auto"/>
          <w:sz w:val="18"/>
          <w:szCs w:val="18"/>
          <w:lang w:val="el-GR" w:eastAsia="el-GR"/>
        </w:rPr>
      </w:pPr>
    </w:p>
    <w:p w14:paraId="2BE8F18A" w14:textId="77777777" w:rsidR="003E6B24" w:rsidRPr="00CB38F0" w:rsidRDefault="003E6B24" w:rsidP="00352599">
      <w:pPr>
        <w:pStyle w:val="Default"/>
        <w:jc w:val="both"/>
        <w:rPr>
          <w:b/>
          <w:bCs/>
          <w:color w:val="auto"/>
          <w:sz w:val="18"/>
          <w:szCs w:val="18"/>
          <w:lang w:val="el-GR" w:eastAsia="el-GR"/>
        </w:rPr>
      </w:pPr>
    </w:p>
    <w:p w14:paraId="6ACE2444" w14:textId="77777777" w:rsidR="00D022B5" w:rsidRDefault="00D022B5" w:rsidP="00DF537B">
      <w:pPr>
        <w:rPr>
          <w:rFonts w:ascii="Arial" w:hAnsi="Arial" w:cs="Arial"/>
          <w:b/>
          <w:bCs/>
          <w:color w:val="FF9900"/>
          <w:sz w:val="24"/>
          <w:szCs w:val="24"/>
          <w:lang w:val="el-GR"/>
        </w:rPr>
      </w:pPr>
    </w:p>
    <w:p w14:paraId="3B395487" w14:textId="28734FEE" w:rsidR="00DF537B" w:rsidRPr="00A30D62" w:rsidRDefault="00DF537B" w:rsidP="00DF537B">
      <w:pPr>
        <w:rPr>
          <w:rFonts w:ascii="Arial" w:hAnsi="Arial" w:cs="Arial"/>
          <w:b/>
          <w:bCs/>
          <w:color w:val="FF9900"/>
          <w:sz w:val="24"/>
          <w:lang w:val="el-GR"/>
        </w:rPr>
      </w:pPr>
      <w:r w:rsidRPr="00A30D62">
        <w:rPr>
          <w:rFonts w:ascii="Arial" w:hAnsi="Arial" w:cs="Arial"/>
          <w:b/>
          <w:bCs/>
          <w:color w:val="FF9900"/>
          <w:sz w:val="24"/>
          <w:szCs w:val="24"/>
          <w:lang w:val="el-GR"/>
        </w:rPr>
        <w:lastRenderedPageBreak/>
        <w:t xml:space="preserve">Β.  Οικονομικά Αποτελέσματα Συγκροτήματος – Υποκείμενη Βάση </w:t>
      </w:r>
      <w:r w:rsidRPr="00A30D62">
        <w:rPr>
          <w:rFonts w:ascii="Arial" w:hAnsi="Arial" w:cs="Arial"/>
          <w:color w:val="FF9900"/>
          <w:sz w:val="24"/>
          <w:szCs w:val="24"/>
          <w:lang w:val="el-GR"/>
        </w:rPr>
        <w:t xml:space="preserve">(συνέχεια) </w:t>
      </w:r>
    </w:p>
    <w:p w14:paraId="216C97D6" w14:textId="5E667596" w:rsidR="00DF537B" w:rsidRPr="00A30D62" w:rsidRDefault="00DF537B" w:rsidP="00DF537B">
      <w:pPr>
        <w:rPr>
          <w:rFonts w:ascii="Arial" w:hAnsi="Arial" w:cs="Arial"/>
          <w:b/>
          <w:bCs/>
          <w:color w:val="FF9900"/>
          <w:sz w:val="23"/>
          <w:szCs w:val="23"/>
          <w:lang w:val="el-GR"/>
        </w:rPr>
      </w:pPr>
      <w:r w:rsidRPr="00A30D62">
        <w:rPr>
          <w:rFonts w:ascii="Arial" w:hAnsi="Arial" w:cs="Arial"/>
          <w:b/>
          <w:bCs/>
          <w:color w:val="FF9900"/>
          <w:sz w:val="23"/>
          <w:szCs w:val="23"/>
          <w:lang w:val="el-GR"/>
        </w:rPr>
        <w:t>Β.3. Ανάλυση Κατάστασης Λογαριασμού Αποτελεσμάτω</w:t>
      </w:r>
      <w:r w:rsidRPr="00DF537B">
        <w:rPr>
          <w:rFonts w:ascii="Arial" w:hAnsi="Arial" w:cs="Arial"/>
          <w:b/>
          <w:bCs/>
          <w:color w:val="FF9900"/>
          <w:sz w:val="23"/>
          <w:szCs w:val="23"/>
          <w:lang w:val="el-GR"/>
        </w:rPr>
        <w:t xml:space="preserve">ν </w:t>
      </w:r>
      <w:r w:rsidRPr="00CB38F0">
        <w:rPr>
          <w:rFonts w:ascii="Arial" w:hAnsi="Arial" w:cs="Arial"/>
          <w:color w:val="FF9900"/>
          <w:sz w:val="23"/>
          <w:szCs w:val="23"/>
          <w:lang w:val="el-GR"/>
        </w:rPr>
        <w:t>(συνέχεια)</w:t>
      </w:r>
    </w:p>
    <w:p w14:paraId="0061B17E" w14:textId="4070AF42" w:rsidR="00DF537B" w:rsidRDefault="00DF537B" w:rsidP="00DF537B">
      <w:pPr>
        <w:pStyle w:val="Default"/>
        <w:jc w:val="both"/>
        <w:rPr>
          <w:color w:val="FF9900"/>
          <w:sz w:val="22"/>
          <w:szCs w:val="22"/>
          <w:lang w:val="el-GR"/>
        </w:rPr>
      </w:pPr>
      <w:r w:rsidRPr="00CB38F0">
        <w:rPr>
          <w:b/>
          <w:bCs/>
          <w:color w:val="FF9900"/>
          <w:sz w:val="22"/>
          <w:szCs w:val="22"/>
          <w:lang w:val="el-GR"/>
        </w:rPr>
        <w:t xml:space="preserve">Β.3.1 Συνολικά Έσοδα </w:t>
      </w:r>
      <w:r w:rsidRPr="00CB38F0">
        <w:rPr>
          <w:color w:val="FF9900"/>
          <w:sz w:val="22"/>
          <w:szCs w:val="22"/>
          <w:lang w:val="el-GR"/>
        </w:rPr>
        <w:t>(συνέχεια)</w:t>
      </w:r>
    </w:p>
    <w:p w14:paraId="17098A02" w14:textId="77777777" w:rsidR="00D022B5" w:rsidRDefault="00D022B5" w:rsidP="00DF537B">
      <w:pPr>
        <w:pStyle w:val="Default"/>
        <w:jc w:val="both"/>
        <w:rPr>
          <w:color w:val="FF9900"/>
          <w:sz w:val="22"/>
          <w:szCs w:val="22"/>
          <w:lang w:val="el-GR"/>
        </w:rPr>
      </w:pPr>
    </w:p>
    <w:p w14:paraId="7227E49A" w14:textId="77777777" w:rsidR="00D022B5" w:rsidRDefault="00D022B5" w:rsidP="00D022B5">
      <w:pPr>
        <w:pStyle w:val="Default"/>
        <w:jc w:val="both"/>
        <w:rPr>
          <w:color w:val="auto"/>
          <w:sz w:val="18"/>
          <w:szCs w:val="18"/>
          <w:lang w:val="el-GR" w:eastAsia="el-GR"/>
        </w:rPr>
      </w:pPr>
      <w:r w:rsidRPr="00CB38F0">
        <w:rPr>
          <w:b/>
          <w:bCs/>
          <w:color w:val="auto"/>
          <w:sz w:val="18"/>
          <w:szCs w:val="18"/>
          <w:lang w:val="el-GR" w:eastAsia="el-GR"/>
        </w:rPr>
        <w:t xml:space="preserve">Τα μη επιτοκιακά έσοδα </w:t>
      </w:r>
      <w:r w:rsidRPr="00CB38F0">
        <w:rPr>
          <w:color w:val="auto"/>
          <w:sz w:val="18"/>
          <w:szCs w:val="18"/>
          <w:lang w:val="el-GR" w:eastAsia="el-GR"/>
        </w:rPr>
        <w:t>για το α’ εξάμηνο 2024 ανήλθαν σε €</w:t>
      </w:r>
      <w:r w:rsidRPr="006A1797">
        <w:rPr>
          <w:rFonts w:eastAsia="Times New Roman"/>
          <w:bCs/>
          <w:sz w:val="18"/>
          <w:szCs w:val="20"/>
          <w:lang w:val="el-GR" w:eastAsia="el-GR"/>
        </w:rPr>
        <w:t>129</w:t>
      </w:r>
      <w:r>
        <w:rPr>
          <w:rFonts w:eastAsia="Times New Roman"/>
          <w:bCs/>
          <w:sz w:val="18"/>
          <w:szCs w:val="20"/>
          <w:lang w:val="el-GR" w:eastAsia="el-GR"/>
        </w:rPr>
        <w:t xml:space="preserve"> </w:t>
      </w:r>
      <w:r w:rsidRPr="00CB38F0">
        <w:rPr>
          <w:color w:val="auto"/>
          <w:sz w:val="18"/>
          <w:szCs w:val="18"/>
          <w:lang w:val="el-GR" w:eastAsia="el-GR"/>
        </w:rPr>
        <w:t>εκατ.</w:t>
      </w:r>
      <w:r w:rsidRPr="00DF537B">
        <w:rPr>
          <w:color w:val="auto"/>
          <w:sz w:val="18"/>
          <w:szCs w:val="18"/>
          <w:lang w:val="el-GR" w:eastAsia="el-GR"/>
        </w:rPr>
        <w:t xml:space="preserve"> (</w:t>
      </w:r>
      <w:r w:rsidRPr="00CB38F0">
        <w:rPr>
          <w:sz w:val="18"/>
          <w:szCs w:val="18"/>
          <w:lang w:val="el-GR" w:eastAsia="el-GR"/>
        </w:rPr>
        <w:t>σε σύγκριση με €153 εκατ. για το α’ εξάμηνο 2023</w:t>
      </w:r>
      <w:r w:rsidRPr="00DF537B">
        <w:rPr>
          <w:sz w:val="18"/>
          <w:szCs w:val="18"/>
          <w:lang w:val="el-GR" w:eastAsia="el-GR"/>
        </w:rPr>
        <w:t xml:space="preserve">, μειωμένα κατά </w:t>
      </w:r>
      <w:r w:rsidRPr="006A1797">
        <w:rPr>
          <w:rFonts w:eastAsia="Times New Roman"/>
          <w:bCs/>
          <w:sz w:val="18"/>
          <w:szCs w:val="20"/>
          <w:lang w:val="el-GR" w:eastAsia="el-GR"/>
        </w:rPr>
        <w:t>16</w:t>
      </w:r>
      <w:r w:rsidRPr="00DF537B">
        <w:rPr>
          <w:sz w:val="18"/>
          <w:szCs w:val="18"/>
          <w:lang w:val="el-GR" w:eastAsia="el-GR"/>
        </w:rPr>
        <w:t>% σε ετήσια βάση)</w:t>
      </w:r>
      <w:r w:rsidRPr="00CB38F0">
        <w:rPr>
          <w:color w:val="auto"/>
          <w:sz w:val="18"/>
          <w:szCs w:val="18"/>
          <w:lang w:val="el-GR" w:eastAsia="el-GR"/>
        </w:rPr>
        <w:t xml:space="preserve"> και αποτελούνται από καθαρά έσοδα από αμοιβές και προμήθειες ύψους €</w:t>
      </w:r>
      <w:r w:rsidRPr="006A1797">
        <w:rPr>
          <w:rFonts w:eastAsia="Times New Roman"/>
          <w:sz w:val="18"/>
          <w:szCs w:val="20"/>
          <w:lang w:val="el-GR" w:eastAsia="el-GR"/>
        </w:rPr>
        <w:t xml:space="preserve">86 </w:t>
      </w:r>
      <w:r w:rsidRPr="00CB38F0">
        <w:rPr>
          <w:color w:val="auto"/>
          <w:sz w:val="18"/>
          <w:szCs w:val="18"/>
          <w:lang w:val="el-GR" w:eastAsia="el-GR"/>
        </w:rPr>
        <w:t>εκατ., καθαρά κέρδη από διαπραγμάτευση συναλλάγματος και καθαρά κέρδη</w:t>
      </w:r>
      <w:r w:rsidRPr="00CB38F0">
        <w:rPr>
          <w:sz w:val="18"/>
          <w:szCs w:val="18"/>
          <w:lang w:val="el-GR" w:eastAsia="el-GR"/>
        </w:rPr>
        <w:t xml:space="preserve"> </w:t>
      </w:r>
      <w:r w:rsidRPr="00CB38F0">
        <w:rPr>
          <w:color w:val="auto"/>
          <w:sz w:val="18"/>
          <w:szCs w:val="18"/>
          <w:lang w:val="el-GR" w:eastAsia="el-GR"/>
        </w:rPr>
        <w:t>από χρηματοοικονομικά μέσα ύψους €</w:t>
      </w:r>
      <w:r w:rsidRPr="006A1797">
        <w:rPr>
          <w:rFonts w:eastAsia="Times New Roman"/>
          <w:sz w:val="18"/>
          <w:szCs w:val="20"/>
          <w:lang w:val="el-GR" w:eastAsia="el-GR"/>
        </w:rPr>
        <w:t>13</w:t>
      </w:r>
      <w:r>
        <w:rPr>
          <w:rFonts w:eastAsia="Times New Roman"/>
          <w:color w:val="FF0000"/>
          <w:sz w:val="18"/>
          <w:szCs w:val="20"/>
          <w:lang w:val="el-GR" w:eastAsia="el-GR"/>
        </w:rPr>
        <w:t xml:space="preserve"> </w:t>
      </w:r>
      <w:r w:rsidRPr="00CB38F0">
        <w:rPr>
          <w:color w:val="auto"/>
          <w:sz w:val="18"/>
          <w:szCs w:val="18"/>
          <w:lang w:val="el-GR" w:eastAsia="el-GR"/>
        </w:rPr>
        <w:t>εκατ., καθαρό αποτέλεσμα από ασφαλιστικές εργασίες ύψους €</w:t>
      </w:r>
      <w:r w:rsidRPr="006A1797">
        <w:rPr>
          <w:rFonts w:eastAsia="Times New Roman"/>
          <w:sz w:val="18"/>
          <w:szCs w:val="20"/>
          <w:lang w:val="el-GR" w:eastAsia="el-GR"/>
        </w:rPr>
        <w:t>23</w:t>
      </w:r>
      <w:r>
        <w:rPr>
          <w:rFonts w:eastAsia="Times New Roman"/>
          <w:sz w:val="18"/>
          <w:szCs w:val="20"/>
          <w:lang w:val="el-GR" w:eastAsia="el-GR"/>
        </w:rPr>
        <w:t xml:space="preserve"> </w:t>
      </w:r>
      <w:r w:rsidRPr="00CB38F0">
        <w:rPr>
          <w:color w:val="auto"/>
          <w:sz w:val="18"/>
          <w:szCs w:val="18"/>
          <w:lang w:val="el-GR" w:eastAsia="el-GR"/>
        </w:rPr>
        <w:t>εκατ., καθαρά κέρδη/(ζημιές) από επανεκτίμηση και πώληση επενδύσεων σε ακίνητα και πώληση αποθεμάτων ακινήτων ύψους €</w:t>
      </w:r>
      <w:r w:rsidRPr="006A1797">
        <w:rPr>
          <w:rFonts w:eastAsia="Times New Roman"/>
          <w:sz w:val="18"/>
          <w:szCs w:val="20"/>
          <w:lang w:val="el-GR" w:eastAsia="el-GR"/>
        </w:rPr>
        <w:t>2</w:t>
      </w:r>
      <w:r w:rsidRPr="00CB38F0">
        <w:rPr>
          <w:rFonts w:eastAsia="Times New Roman"/>
          <w:color w:val="FF0000"/>
          <w:sz w:val="18"/>
          <w:szCs w:val="20"/>
          <w:lang w:val="el-GR" w:eastAsia="el-GR"/>
        </w:rPr>
        <w:t xml:space="preserve"> </w:t>
      </w:r>
      <w:r w:rsidRPr="00CB38F0">
        <w:rPr>
          <w:color w:val="auto"/>
          <w:sz w:val="18"/>
          <w:szCs w:val="18"/>
          <w:lang w:val="el-GR" w:eastAsia="el-GR"/>
        </w:rPr>
        <w:t>εκατ. και λοιπά έσοδα ύψους €</w:t>
      </w:r>
      <w:r w:rsidRPr="006A1797">
        <w:rPr>
          <w:rFonts w:eastAsia="Times New Roman"/>
          <w:sz w:val="18"/>
          <w:szCs w:val="20"/>
          <w:lang w:val="el-GR" w:eastAsia="el-GR"/>
        </w:rPr>
        <w:t>5</w:t>
      </w:r>
      <w:r w:rsidRPr="00CB38F0">
        <w:rPr>
          <w:rFonts w:eastAsia="Times New Roman"/>
          <w:color w:val="FF0000"/>
          <w:sz w:val="18"/>
          <w:szCs w:val="20"/>
          <w:lang w:val="el-GR" w:eastAsia="el-GR"/>
        </w:rPr>
        <w:t xml:space="preserve"> </w:t>
      </w:r>
      <w:r w:rsidRPr="00CB38F0">
        <w:rPr>
          <w:color w:val="auto"/>
          <w:sz w:val="18"/>
          <w:szCs w:val="18"/>
          <w:lang w:val="el-GR" w:eastAsia="el-GR"/>
        </w:rPr>
        <w:t>εκατ. Η</w:t>
      </w:r>
    </w:p>
    <w:p w14:paraId="4A27C11A" w14:textId="640024D3" w:rsidR="00D022B5" w:rsidRPr="00D022B5" w:rsidRDefault="00D022B5" w:rsidP="00DF537B">
      <w:pPr>
        <w:pStyle w:val="Default"/>
        <w:jc w:val="both"/>
        <w:rPr>
          <w:color w:val="auto"/>
          <w:sz w:val="18"/>
          <w:szCs w:val="18"/>
          <w:lang w:val="el-GR" w:eastAsia="el-GR"/>
        </w:rPr>
      </w:pPr>
      <w:r w:rsidRPr="00CB38F0">
        <w:rPr>
          <w:color w:val="auto"/>
          <w:sz w:val="18"/>
          <w:szCs w:val="18"/>
          <w:lang w:val="el-GR" w:eastAsia="el-GR"/>
        </w:rPr>
        <w:t xml:space="preserve">μείωση σε ετήσια βάση οφείλεται κυρίως στη μείωση από </w:t>
      </w:r>
      <w:r>
        <w:rPr>
          <w:color w:val="auto"/>
          <w:sz w:val="18"/>
          <w:szCs w:val="18"/>
          <w:lang w:val="el-GR" w:eastAsia="el-GR"/>
        </w:rPr>
        <w:t xml:space="preserve">τα </w:t>
      </w:r>
      <w:r w:rsidRPr="00CB38F0">
        <w:rPr>
          <w:color w:val="auto"/>
          <w:sz w:val="18"/>
          <w:szCs w:val="18"/>
          <w:lang w:val="el-GR" w:eastAsia="el-GR"/>
        </w:rPr>
        <w:t>καθαρά κέρδη από διαπραγμάτευση συναλλάγματος και καθαρά κέρδη</w:t>
      </w:r>
      <w:r w:rsidRPr="00CB38F0">
        <w:rPr>
          <w:sz w:val="18"/>
          <w:szCs w:val="18"/>
          <w:lang w:val="el-GR" w:eastAsia="el-GR"/>
        </w:rPr>
        <w:t xml:space="preserve"> </w:t>
      </w:r>
      <w:r w:rsidRPr="00CB38F0">
        <w:rPr>
          <w:color w:val="auto"/>
          <w:sz w:val="18"/>
          <w:szCs w:val="18"/>
          <w:lang w:val="el-GR" w:eastAsia="el-GR"/>
        </w:rPr>
        <w:t>από χρηματοοικονομικά μέσα</w:t>
      </w:r>
      <w:r>
        <w:rPr>
          <w:color w:val="auto"/>
          <w:sz w:val="18"/>
          <w:szCs w:val="18"/>
          <w:lang w:val="el-GR" w:eastAsia="el-GR"/>
        </w:rPr>
        <w:t xml:space="preserve">, καθώς και στα χαμηλότερα </w:t>
      </w:r>
      <w:r w:rsidRPr="00CB38F0">
        <w:rPr>
          <w:color w:val="auto"/>
          <w:sz w:val="18"/>
          <w:szCs w:val="18"/>
          <w:lang w:val="el-GR" w:eastAsia="el-GR"/>
        </w:rPr>
        <w:t xml:space="preserve">καθαρά έσοδα από αμοιβές και προμήθειες. </w:t>
      </w:r>
    </w:p>
    <w:p w14:paraId="6ACDDF17" w14:textId="77777777" w:rsidR="00DF537B" w:rsidRDefault="00DF537B" w:rsidP="00DF537B">
      <w:pPr>
        <w:pStyle w:val="Default"/>
        <w:jc w:val="both"/>
        <w:rPr>
          <w:color w:val="auto"/>
          <w:sz w:val="18"/>
          <w:szCs w:val="18"/>
          <w:lang w:val="el-GR" w:eastAsia="el-GR"/>
        </w:rPr>
      </w:pPr>
    </w:p>
    <w:p w14:paraId="02375B49" w14:textId="0C18D815" w:rsidR="008F521A" w:rsidRPr="006A1797" w:rsidRDefault="003E6B24" w:rsidP="00352599">
      <w:pPr>
        <w:pStyle w:val="Default"/>
        <w:jc w:val="both"/>
        <w:rPr>
          <w:color w:val="auto"/>
          <w:sz w:val="18"/>
          <w:szCs w:val="18"/>
          <w:lang w:val="el-GR" w:eastAsia="el-GR"/>
        </w:rPr>
      </w:pPr>
      <w:r w:rsidRPr="00CB38F0">
        <w:rPr>
          <w:b/>
          <w:bCs/>
          <w:color w:val="auto"/>
          <w:sz w:val="18"/>
          <w:szCs w:val="18"/>
          <w:lang w:val="el-GR" w:eastAsia="el-GR"/>
        </w:rPr>
        <w:t>Τα μη επιτοκιακά έσοδα</w:t>
      </w:r>
      <w:r w:rsidRPr="00CB38F0">
        <w:rPr>
          <w:color w:val="auto"/>
          <w:sz w:val="18"/>
          <w:szCs w:val="18"/>
          <w:lang w:val="el-GR" w:eastAsia="el-GR"/>
        </w:rPr>
        <w:t xml:space="preserve"> για το </w:t>
      </w:r>
      <w:r w:rsidRPr="00CB38F0">
        <w:rPr>
          <w:sz w:val="18"/>
          <w:szCs w:val="18"/>
          <w:lang w:val="el-GR" w:eastAsia="el-GR"/>
        </w:rPr>
        <w:t>β΄ τρίμηνο 2024</w:t>
      </w:r>
      <w:r w:rsidRPr="00CB38F0">
        <w:rPr>
          <w:sz w:val="18"/>
          <w:szCs w:val="18"/>
          <w:lang w:val="el-GR"/>
        </w:rPr>
        <w:t xml:space="preserve"> </w:t>
      </w:r>
      <w:r w:rsidRPr="00CB38F0">
        <w:rPr>
          <w:color w:val="auto"/>
          <w:sz w:val="18"/>
          <w:szCs w:val="18"/>
          <w:lang w:val="el-GR" w:eastAsia="el-GR"/>
        </w:rPr>
        <w:t>ανήλθαν σε €</w:t>
      </w:r>
      <w:r w:rsidRPr="008A38B0">
        <w:rPr>
          <w:rFonts w:eastAsia="Times New Roman"/>
          <w:bCs/>
          <w:sz w:val="18"/>
          <w:szCs w:val="20"/>
          <w:lang w:val="el-GR" w:eastAsia="el-GR"/>
        </w:rPr>
        <w:t>66</w:t>
      </w:r>
      <w:r>
        <w:rPr>
          <w:rFonts w:eastAsia="Times New Roman"/>
          <w:bCs/>
          <w:sz w:val="18"/>
          <w:szCs w:val="20"/>
          <w:lang w:val="el-GR" w:eastAsia="el-GR"/>
        </w:rPr>
        <w:t xml:space="preserve"> </w:t>
      </w:r>
      <w:r w:rsidRPr="00CB38F0">
        <w:rPr>
          <w:color w:val="auto"/>
          <w:sz w:val="18"/>
          <w:szCs w:val="18"/>
          <w:lang w:val="el-GR" w:eastAsia="el-GR"/>
        </w:rPr>
        <w:t xml:space="preserve">εκατ. </w:t>
      </w:r>
      <w:r w:rsidRPr="00CB38F0">
        <w:rPr>
          <w:sz w:val="18"/>
          <w:szCs w:val="18"/>
          <w:lang w:val="el-GR" w:eastAsia="el-GR"/>
        </w:rPr>
        <w:t>(σε σύγκριση με €</w:t>
      </w:r>
      <w:r w:rsidRPr="00CB38F0">
        <w:rPr>
          <w:rFonts w:eastAsia="Times New Roman"/>
          <w:bCs/>
          <w:sz w:val="18"/>
          <w:szCs w:val="20"/>
          <w:lang w:val="el-GR" w:eastAsia="el-GR"/>
        </w:rPr>
        <w:t xml:space="preserve">63 </w:t>
      </w:r>
      <w:r w:rsidRPr="00CB38F0">
        <w:rPr>
          <w:sz w:val="18"/>
          <w:szCs w:val="18"/>
          <w:lang w:val="el-GR" w:eastAsia="el-GR"/>
        </w:rPr>
        <w:t xml:space="preserve">εκατ. για το α’ τρίμηνο 2024, αυξημένα κατά </w:t>
      </w:r>
      <w:r w:rsidRPr="008A38B0">
        <w:rPr>
          <w:color w:val="000000" w:themeColor="text1"/>
          <w:sz w:val="18"/>
          <w:szCs w:val="18"/>
          <w:lang w:val="el-GR" w:eastAsia="el-GR"/>
        </w:rPr>
        <w:t>5%</w:t>
      </w:r>
      <w:r w:rsidRPr="00CB38F0">
        <w:rPr>
          <w:sz w:val="18"/>
          <w:szCs w:val="18"/>
          <w:lang w:val="el-GR" w:eastAsia="el-GR"/>
        </w:rPr>
        <w:t xml:space="preserve"> σε τριμηνιαία βάση</w:t>
      </w:r>
      <w:r w:rsidRPr="00CB38F0">
        <w:rPr>
          <w:color w:val="auto"/>
          <w:sz w:val="18"/>
          <w:szCs w:val="18"/>
          <w:lang w:val="el-GR" w:eastAsia="el-GR"/>
        </w:rPr>
        <w:t>) και αποτελούνται από καθαρά έσοδα από αμοιβές και προμήθειες ύψους €</w:t>
      </w:r>
      <w:r w:rsidRPr="008A38B0">
        <w:rPr>
          <w:rFonts w:eastAsia="Times New Roman"/>
          <w:sz w:val="18"/>
          <w:szCs w:val="20"/>
          <w:lang w:val="el-GR" w:eastAsia="el-GR"/>
        </w:rPr>
        <w:t xml:space="preserve">44 </w:t>
      </w:r>
      <w:r w:rsidRPr="00CB38F0">
        <w:rPr>
          <w:color w:val="auto"/>
          <w:sz w:val="18"/>
          <w:szCs w:val="18"/>
          <w:lang w:val="el-GR" w:eastAsia="el-GR"/>
        </w:rPr>
        <w:t>εκατ., καθαρά κέρδη από διαπραγμάτευση συναλλάγματος και καθαρά κέρδη</w:t>
      </w:r>
      <w:r w:rsidRPr="00CB38F0">
        <w:rPr>
          <w:sz w:val="18"/>
          <w:szCs w:val="18"/>
          <w:lang w:val="el-GR" w:eastAsia="el-GR"/>
        </w:rPr>
        <w:t xml:space="preserve"> </w:t>
      </w:r>
      <w:r w:rsidRPr="00CB38F0">
        <w:rPr>
          <w:color w:val="auto"/>
          <w:sz w:val="18"/>
          <w:szCs w:val="18"/>
          <w:lang w:val="el-GR" w:eastAsia="el-GR"/>
        </w:rPr>
        <w:t>από χρηματοοικονομικά μέσα ύψους €</w:t>
      </w:r>
      <w:r w:rsidRPr="008A38B0">
        <w:rPr>
          <w:rFonts w:eastAsia="Times New Roman"/>
          <w:sz w:val="18"/>
          <w:szCs w:val="20"/>
          <w:lang w:val="el-GR" w:eastAsia="el-GR"/>
        </w:rPr>
        <w:t>6</w:t>
      </w:r>
      <w:r w:rsidRPr="00CB38F0">
        <w:rPr>
          <w:rFonts w:eastAsia="Times New Roman"/>
          <w:color w:val="FF0000"/>
          <w:sz w:val="18"/>
          <w:szCs w:val="20"/>
          <w:lang w:val="el-GR" w:eastAsia="el-GR"/>
        </w:rPr>
        <w:t xml:space="preserve"> </w:t>
      </w:r>
      <w:r w:rsidRPr="00CB38F0">
        <w:rPr>
          <w:color w:val="auto"/>
          <w:sz w:val="18"/>
          <w:szCs w:val="18"/>
          <w:lang w:val="el-GR" w:eastAsia="el-GR"/>
        </w:rPr>
        <w:t>εκατ., καθαρό αποτέλεσμα από ασφαλιστικές εργασίες ύψους €</w:t>
      </w:r>
      <w:r w:rsidRPr="008A38B0">
        <w:rPr>
          <w:rFonts w:eastAsia="Times New Roman"/>
          <w:sz w:val="18"/>
          <w:szCs w:val="20"/>
          <w:lang w:val="el-GR" w:eastAsia="el-GR"/>
        </w:rPr>
        <w:t xml:space="preserve">13 </w:t>
      </w:r>
      <w:r w:rsidRPr="00CB38F0">
        <w:rPr>
          <w:color w:val="auto"/>
          <w:sz w:val="18"/>
          <w:szCs w:val="18"/>
          <w:lang w:val="el-GR" w:eastAsia="el-GR"/>
        </w:rPr>
        <w:t xml:space="preserve">εκατ., καθαρά κέρδη/(ζημιές) από </w:t>
      </w:r>
      <w:r w:rsidRPr="00BC7C8C">
        <w:rPr>
          <w:color w:val="auto"/>
          <w:sz w:val="18"/>
          <w:szCs w:val="18"/>
          <w:lang w:val="el-GR" w:eastAsia="el-GR"/>
        </w:rPr>
        <w:t xml:space="preserve">επανεκτίμηση και πώληση επενδύσεων σε ακίνητα και </w:t>
      </w:r>
      <w:r w:rsidR="00352599" w:rsidRPr="00BC7C8C">
        <w:rPr>
          <w:color w:val="auto"/>
          <w:sz w:val="18"/>
          <w:szCs w:val="18"/>
          <w:lang w:val="el-GR" w:eastAsia="el-GR"/>
        </w:rPr>
        <w:t>πώληση αποθεμάτων ακινήτων ύψους €</w:t>
      </w:r>
      <w:r w:rsidRPr="006A1797">
        <w:rPr>
          <w:rFonts w:eastAsia="Times New Roman"/>
          <w:sz w:val="18"/>
          <w:szCs w:val="20"/>
          <w:lang w:val="el-GR" w:eastAsia="el-GR"/>
        </w:rPr>
        <w:t>1</w:t>
      </w:r>
      <w:r w:rsidR="00DF537B" w:rsidRPr="00BC7C8C">
        <w:rPr>
          <w:rFonts w:eastAsia="Times New Roman"/>
          <w:color w:val="FF0000"/>
          <w:sz w:val="18"/>
          <w:szCs w:val="20"/>
          <w:lang w:val="el-GR" w:eastAsia="el-GR"/>
        </w:rPr>
        <w:t xml:space="preserve"> </w:t>
      </w:r>
      <w:r w:rsidR="00352599" w:rsidRPr="00BC7C8C">
        <w:rPr>
          <w:color w:val="auto"/>
          <w:sz w:val="18"/>
          <w:szCs w:val="18"/>
          <w:lang w:val="el-GR" w:eastAsia="el-GR"/>
        </w:rPr>
        <w:t>εκατ. και λοιπά έσοδα ύψους €</w:t>
      </w:r>
      <w:r w:rsidRPr="006A1797">
        <w:rPr>
          <w:rFonts w:eastAsia="Times New Roman"/>
          <w:sz w:val="18"/>
          <w:szCs w:val="20"/>
          <w:lang w:val="el-GR" w:eastAsia="el-GR"/>
        </w:rPr>
        <w:t>2</w:t>
      </w:r>
      <w:r w:rsidR="00DF537B" w:rsidRPr="00BC7C8C">
        <w:rPr>
          <w:rFonts w:eastAsia="Times New Roman"/>
          <w:color w:val="FF0000"/>
          <w:sz w:val="18"/>
          <w:szCs w:val="20"/>
          <w:lang w:val="el-GR" w:eastAsia="el-GR"/>
        </w:rPr>
        <w:t xml:space="preserve"> </w:t>
      </w:r>
      <w:r w:rsidR="00352599" w:rsidRPr="00BC7C8C">
        <w:rPr>
          <w:color w:val="auto"/>
          <w:sz w:val="18"/>
          <w:szCs w:val="18"/>
          <w:lang w:val="el-GR" w:eastAsia="el-GR"/>
        </w:rPr>
        <w:t>εκατ</w:t>
      </w:r>
      <w:r w:rsidR="008F521A" w:rsidRPr="00BC7C8C">
        <w:rPr>
          <w:color w:val="auto"/>
          <w:sz w:val="18"/>
          <w:szCs w:val="18"/>
          <w:lang w:val="el-GR" w:eastAsia="el-GR"/>
        </w:rPr>
        <w:t>.</w:t>
      </w:r>
      <w:r w:rsidR="00821384" w:rsidRPr="00BC7C8C">
        <w:rPr>
          <w:color w:val="auto"/>
          <w:sz w:val="18"/>
          <w:szCs w:val="18"/>
          <w:lang w:val="el-GR" w:eastAsia="el-GR"/>
        </w:rPr>
        <w:t xml:space="preserve"> </w:t>
      </w:r>
      <w:r w:rsidR="00821384" w:rsidRPr="006A1797">
        <w:rPr>
          <w:color w:val="auto"/>
          <w:sz w:val="18"/>
          <w:szCs w:val="18"/>
          <w:lang w:val="el-GR" w:eastAsia="el-GR"/>
        </w:rPr>
        <w:t xml:space="preserve">Η </w:t>
      </w:r>
      <w:r w:rsidR="00DF537B" w:rsidRPr="006A1797">
        <w:rPr>
          <w:color w:val="auto"/>
          <w:sz w:val="18"/>
          <w:szCs w:val="18"/>
          <w:lang w:val="el-GR" w:eastAsia="el-GR"/>
        </w:rPr>
        <w:t xml:space="preserve">αύξηση </w:t>
      </w:r>
      <w:r w:rsidR="00821384" w:rsidRPr="006A1797">
        <w:rPr>
          <w:color w:val="auto"/>
          <w:sz w:val="18"/>
          <w:szCs w:val="18"/>
          <w:lang w:val="el-GR" w:eastAsia="el-GR"/>
        </w:rPr>
        <w:t>σε τριμηνιαία βάση οφείλεται κυρίως στη</w:t>
      </w:r>
      <w:r w:rsidRPr="006A1797">
        <w:rPr>
          <w:color w:val="auto"/>
          <w:sz w:val="18"/>
          <w:szCs w:val="18"/>
          <w:lang w:val="el-GR" w:eastAsia="el-GR"/>
        </w:rPr>
        <w:t xml:space="preserve">ν αύξηση </w:t>
      </w:r>
      <w:r w:rsidR="00821384" w:rsidRPr="006A1797">
        <w:rPr>
          <w:color w:val="auto"/>
          <w:sz w:val="18"/>
          <w:szCs w:val="18"/>
          <w:lang w:val="el-GR" w:eastAsia="el-GR"/>
        </w:rPr>
        <w:t>από το καθαρό αποτέλεσμα από ασφαλιστικές εργασίες</w:t>
      </w:r>
      <w:r w:rsidR="0059202E">
        <w:rPr>
          <w:color w:val="auto"/>
          <w:sz w:val="18"/>
          <w:szCs w:val="18"/>
          <w:lang w:val="el-GR" w:eastAsia="el-GR"/>
        </w:rPr>
        <w:t xml:space="preserve"> και στην αύξηση</w:t>
      </w:r>
      <w:r w:rsidR="0059202E" w:rsidRPr="0059202E">
        <w:rPr>
          <w:color w:val="auto"/>
          <w:sz w:val="18"/>
          <w:szCs w:val="18"/>
          <w:lang w:val="el-GR" w:eastAsia="el-GR"/>
        </w:rPr>
        <w:t xml:space="preserve"> </w:t>
      </w:r>
      <w:r w:rsidR="0059202E" w:rsidRPr="00CB38F0">
        <w:rPr>
          <w:color w:val="auto"/>
          <w:sz w:val="18"/>
          <w:szCs w:val="18"/>
          <w:lang w:val="el-GR" w:eastAsia="el-GR"/>
        </w:rPr>
        <w:t>από</w:t>
      </w:r>
      <w:r w:rsidR="0059202E">
        <w:rPr>
          <w:color w:val="auto"/>
          <w:sz w:val="18"/>
          <w:szCs w:val="18"/>
          <w:lang w:val="el-GR" w:eastAsia="el-GR"/>
        </w:rPr>
        <w:t xml:space="preserve"> τα</w:t>
      </w:r>
      <w:r w:rsidR="0059202E" w:rsidRPr="00CB38F0">
        <w:rPr>
          <w:color w:val="auto"/>
          <w:sz w:val="18"/>
          <w:szCs w:val="18"/>
          <w:lang w:val="el-GR" w:eastAsia="el-GR"/>
        </w:rPr>
        <w:t xml:space="preserve"> καθαρά έσοδα από αμοιβές και προμήθειες</w:t>
      </w:r>
      <w:r w:rsidR="0059202E">
        <w:rPr>
          <w:color w:val="auto"/>
          <w:sz w:val="18"/>
          <w:szCs w:val="18"/>
          <w:lang w:val="el-GR" w:eastAsia="el-GR"/>
        </w:rPr>
        <w:t xml:space="preserve">. </w:t>
      </w:r>
      <w:bookmarkStart w:id="15" w:name="_Hlk109819749"/>
    </w:p>
    <w:p w14:paraId="748D5259" w14:textId="77777777" w:rsidR="00BB697F" w:rsidRPr="00FE1B92" w:rsidRDefault="00BB697F" w:rsidP="00352599">
      <w:pPr>
        <w:pStyle w:val="Default"/>
        <w:jc w:val="both"/>
        <w:rPr>
          <w:color w:val="FF0000"/>
          <w:sz w:val="18"/>
          <w:szCs w:val="18"/>
          <w:lang w:val="el-GR" w:eastAsia="el-GR"/>
        </w:rPr>
      </w:pPr>
    </w:p>
    <w:p w14:paraId="10894CE5" w14:textId="527531B6" w:rsidR="004732AA" w:rsidRPr="00CB38F0" w:rsidRDefault="004732AA" w:rsidP="004732AA">
      <w:pPr>
        <w:spacing w:after="0" w:line="240" w:lineRule="auto"/>
        <w:jc w:val="both"/>
        <w:rPr>
          <w:rFonts w:ascii="Arial" w:hAnsi="Arial" w:cs="Arial"/>
          <w:sz w:val="18"/>
          <w:szCs w:val="18"/>
          <w:lang w:val="el-GR" w:eastAsia="el-GR"/>
        </w:rPr>
      </w:pPr>
      <w:r w:rsidRPr="00CB38F0">
        <w:rPr>
          <w:rFonts w:ascii="Arial" w:hAnsi="Arial" w:cs="Arial"/>
          <w:b/>
          <w:bCs/>
          <w:sz w:val="18"/>
          <w:szCs w:val="18"/>
          <w:lang w:val="el-GR" w:eastAsia="el-GR"/>
        </w:rPr>
        <w:t>Τα καθαρά έσοδα από αμοιβές και προμήθειες</w:t>
      </w:r>
      <w:r w:rsidRPr="00CB38F0">
        <w:rPr>
          <w:rFonts w:ascii="Arial" w:hAnsi="Arial" w:cs="Arial"/>
          <w:sz w:val="18"/>
          <w:szCs w:val="18"/>
          <w:lang w:val="el-GR" w:eastAsia="el-GR"/>
        </w:rPr>
        <w:t xml:space="preserve"> για το α΄ εξάμηνο 2024 ανήλθαν σε €</w:t>
      </w:r>
      <w:r w:rsidR="003E6B24" w:rsidRPr="006A1797">
        <w:rPr>
          <w:rFonts w:ascii="Arial" w:eastAsia="Times New Roman" w:hAnsi="Arial" w:cs="Arial"/>
          <w:sz w:val="18"/>
          <w:szCs w:val="20"/>
          <w:lang w:val="el-GR" w:eastAsia="el-GR"/>
        </w:rPr>
        <w:t>86</w:t>
      </w:r>
      <w:r w:rsidR="003E6B24">
        <w:rPr>
          <w:rFonts w:ascii="Arial" w:eastAsia="Times New Roman" w:hAnsi="Arial" w:cs="Arial"/>
          <w:sz w:val="18"/>
          <w:szCs w:val="20"/>
          <w:lang w:val="el-GR" w:eastAsia="el-GR"/>
        </w:rPr>
        <w:t xml:space="preserve"> </w:t>
      </w:r>
      <w:r w:rsidRPr="00CB38F0">
        <w:rPr>
          <w:rFonts w:ascii="Arial" w:hAnsi="Arial" w:cs="Arial"/>
          <w:sz w:val="18"/>
          <w:szCs w:val="18"/>
          <w:lang w:val="el-GR" w:eastAsia="el-GR"/>
        </w:rPr>
        <w:t xml:space="preserve">εκατ., σε σύγκριση με €90 </w:t>
      </w:r>
      <w:r w:rsidRPr="00BC7C8C">
        <w:rPr>
          <w:rFonts w:ascii="Arial" w:hAnsi="Arial" w:cs="Arial"/>
          <w:sz w:val="18"/>
          <w:szCs w:val="18"/>
          <w:lang w:val="el-GR" w:eastAsia="el-GR"/>
        </w:rPr>
        <w:t xml:space="preserve">εκατ. το προηγούμενο έτος, μειωμένα κατά </w:t>
      </w:r>
      <w:r w:rsidR="003E6B24" w:rsidRPr="006A1797">
        <w:rPr>
          <w:rFonts w:ascii="Arial" w:eastAsia="Times New Roman" w:hAnsi="Arial" w:cs="Arial"/>
          <w:sz w:val="18"/>
          <w:szCs w:val="20"/>
          <w:lang w:val="el-GR" w:eastAsia="el-GR"/>
        </w:rPr>
        <w:t>4</w:t>
      </w:r>
      <w:r w:rsidRPr="00BC7C8C">
        <w:rPr>
          <w:rFonts w:ascii="Arial" w:hAnsi="Arial" w:cs="Arial"/>
          <w:sz w:val="18"/>
          <w:szCs w:val="18"/>
          <w:lang w:val="el-GR" w:eastAsia="el-GR"/>
        </w:rPr>
        <w:t xml:space="preserve">% σε ετήσια βάση, </w:t>
      </w:r>
      <w:r w:rsidRPr="006A1797">
        <w:rPr>
          <w:rFonts w:ascii="Arial" w:hAnsi="Arial" w:cs="Arial"/>
          <w:sz w:val="18"/>
          <w:szCs w:val="18"/>
          <w:lang w:val="el-GR" w:eastAsia="el-GR"/>
        </w:rPr>
        <w:t>λόγω της μείωσης στις αμοιβές από εργασίες που</w:t>
      </w:r>
      <w:r w:rsidR="003E6B24" w:rsidRPr="006A1797">
        <w:rPr>
          <w:rFonts w:ascii="Arial" w:hAnsi="Arial" w:cs="Arial"/>
          <w:sz w:val="18"/>
          <w:szCs w:val="18"/>
          <w:lang w:val="el-GR" w:eastAsia="el-GR"/>
        </w:rPr>
        <w:t xml:space="preserve"> </w:t>
      </w:r>
      <w:r w:rsidRPr="006A1797">
        <w:rPr>
          <w:rFonts w:ascii="Arial" w:hAnsi="Arial" w:cs="Arial"/>
          <w:sz w:val="18"/>
          <w:szCs w:val="18"/>
          <w:lang w:val="el-GR" w:eastAsia="el-GR"/>
        </w:rPr>
        <w:t>αφορούν συναλλαγές</w:t>
      </w:r>
      <w:r w:rsidR="003E6B24" w:rsidRPr="006A1797">
        <w:rPr>
          <w:rFonts w:ascii="Arial" w:hAnsi="Arial" w:cs="Arial"/>
          <w:sz w:val="18"/>
          <w:szCs w:val="18"/>
          <w:lang w:val="el-GR" w:eastAsia="el-GR"/>
        </w:rPr>
        <w:t>.</w:t>
      </w:r>
      <w:r w:rsidRPr="006A1797">
        <w:rPr>
          <w:rFonts w:ascii="Arial" w:hAnsi="Arial" w:cs="Arial"/>
          <w:sz w:val="18"/>
          <w:szCs w:val="18"/>
          <w:lang w:val="el-GR" w:eastAsia="el-GR"/>
        </w:rPr>
        <w:t xml:space="preserve"> </w:t>
      </w:r>
      <w:r w:rsidRPr="00CB38F0">
        <w:rPr>
          <w:rFonts w:ascii="Arial" w:hAnsi="Arial" w:cs="Arial"/>
          <w:sz w:val="18"/>
          <w:szCs w:val="18"/>
          <w:lang w:val="el-GR" w:eastAsia="el-GR"/>
        </w:rPr>
        <w:t xml:space="preserve"> </w:t>
      </w:r>
    </w:p>
    <w:p w14:paraId="1DDD6876" w14:textId="77777777" w:rsidR="004732AA" w:rsidRPr="00CB38F0" w:rsidRDefault="004732AA" w:rsidP="00450894">
      <w:pPr>
        <w:spacing w:after="0" w:line="240" w:lineRule="auto"/>
        <w:jc w:val="both"/>
        <w:rPr>
          <w:rFonts w:ascii="Arial" w:hAnsi="Arial" w:cs="Arial"/>
          <w:b/>
          <w:bCs/>
          <w:sz w:val="18"/>
          <w:szCs w:val="18"/>
          <w:lang w:val="el-GR" w:eastAsia="el-GR"/>
        </w:rPr>
      </w:pPr>
    </w:p>
    <w:p w14:paraId="5197C0E0" w14:textId="42B70056" w:rsidR="003E6B24" w:rsidRPr="00DA5265" w:rsidRDefault="00450894" w:rsidP="003E6B24">
      <w:pPr>
        <w:spacing w:after="0" w:line="240" w:lineRule="auto"/>
        <w:jc w:val="both"/>
        <w:rPr>
          <w:rFonts w:ascii="Arial" w:hAnsi="Arial" w:cs="Arial"/>
          <w:sz w:val="18"/>
          <w:szCs w:val="18"/>
          <w:lang w:val="el-GR" w:eastAsia="el-GR"/>
        </w:rPr>
      </w:pPr>
      <w:r w:rsidRPr="00CB38F0">
        <w:rPr>
          <w:rFonts w:ascii="Arial" w:hAnsi="Arial" w:cs="Arial"/>
          <w:b/>
          <w:bCs/>
          <w:sz w:val="18"/>
          <w:szCs w:val="18"/>
          <w:lang w:val="el-GR" w:eastAsia="el-GR"/>
        </w:rPr>
        <w:t>Τα καθαρά έσοδα από αμοιβές και προμήθειες</w:t>
      </w:r>
      <w:r w:rsidRPr="00CB38F0">
        <w:rPr>
          <w:rFonts w:ascii="Arial" w:hAnsi="Arial" w:cs="Arial"/>
          <w:sz w:val="18"/>
          <w:szCs w:val="18"/>
          <w:lang w:val="el-GR" w:eastAsia="el-GR"/>
        </w:rPr>
        <w:t xml:space="preserve"> για το </w:t>
      </w:r>
      <w:r w:rsidR="004732AA" w:rsidRPr="00CB38F0">
        <w:rPr>
          <w:rFonts w:ascii="Arial" w:hAnsi="Arial" w:cs="Arial"/>
          <w:sz w:val="18"/>
          <w:szCs w:val="18"/>
          <w:lang w:val="el-GR" w:eastAsia="el-GR"/>
        </w:rPr>
        <w:t>β</w:t>
      </w:r>
      <w:r w:rsidRPr="00CB38F0">
        <w:rPr>
          <w:rFonts w:ascii="Arial" w:hAnsi="Arial" w:cs="Arial"/>
          <w:sz w:val="18"/>
          <w:szCs w:val="18"/>
          <w:lang w:val="el-GR" w:eastAsia="el-GR"/>
        </w:rPr>
        <w:t>΄ τρίμηνο 2024 ανήλ</w:t>
      </w:r>
      <w:r w:rsidRPr="00BC7C8C">
        <w:rPr>
          <w:rFonts w:ascii="Arial" w:hAnsi="Arial" w:cs="Arial"/>
          <w:sz w:val="18"/>
          <w:szCs w:val="18"/>
          <w:lang w:val="el-GR" w:eastAsia="el-GR"/>
        </w:rPr>
        <w:t>θαν σε €</w:t>
      </w:r>
      <w:r w:rsidR="003E6B24" w:rsidRPr="006A1797">
        <w:rPr>
          <w:rFonts w:ascii="Arial" w:eastAsia="Times New Roman" w:hAnsi="Arial" w:cs="Arial"/>
          <w:bCs/>
          <w:sz w:val="18"/>
          <w:szCs w:val="20"/>
          <w:lang w:val="el-GR" w:eastAsia="el-GR"/>
        </w:rPr>
        <w:t xml:space="preserve">44 </w:t>
      </w:r>
      <w:r w:rsidRPr="00BC7C8C">
        <w:rPr>
          <w:rFonts w:ascii="Arial" w:hAnsi="Arial" w:cs="Arial"/>
          <w:sz w:val="18"/>
          <w:szCs w:val="18"/>
          <w:lang w:val="el-GR" w:eastAsia="el-GR"/>
        </w:rPr>
        <w:t>εκατ., σε σύγκριση με €</w:t>
      </w:r>
      <w:r w:rsidR="004732AA" w:rsidRPr="00BC7C8C">
        <w:rPr>
          <w:rFonts w:ascii="Arial" w:hAnsi="Arial" w:cs="Arial"/>
          <w:sz w:val="18"/>
          <w:szCs w:val="18"/>
          <w:lang w:val="el-GR" w:eastAsia="el-GR"/>
        </w:rPr>
        <w:t xml:space="preserve">42 </w:t>
      </w:r>
      <w:r w:rsidRPr="00BC7C8C">
        <w:rPr>
          <w:rFonts w:ascii="Arial" w:hAnsi="Arial" w:cs="Arial"/>
          <w:sz w:val="18"/>
          <w:szCs w:val="18"/>
          <w:lang w:val="el-GR" w:eastAsia="el-GR"/>
        </w:rPr>
        <w:t xml:space="preserve">εκατ. το προηγούμενο τρίμηνο, </w:t>
      </w:r>
      <w:r w:rsidR="004732AA" w:rsidRPr="00BC7C8C">
        <w:rPr>
          <w:rFonts w:ascii="Arial" w:hAnsi="Arial" w:cs="Arial"/>
          <w:sz w:val="18"/>
          <w:szCs w:val="18"/>
          <w:lang w:val="el-GR" w:eastAsia="el-GR"/>
        </w:rPr>
        <w:t xml:space="preserve">αυξημένα </w:t>
      </w:r>
      <w:r w:rsidRPr="00BC7C8C">
        <w:rPr>
          <w:rFonts w:ascii="Arial" w:hAnsi="Arial" w:cs="Arial"/>
          <w:sz w:val="18"/>
          <w:szCs w:val="18"/>
          <w:lang w:val="el-GR" w:eastAsia="el-GR"/>
        </w:rPr>
        <w:t xml:space="preserve">κατά </w:t>
      </w:r>
      <w:r w:rsidR="003E6B24" w:rsidRPr="006A1797">
        <w:rPr>
          <w:rFonts w:ascii="Arial" w:eastAsia="Times New Roman" w:hAnsi="Arial" w:cs="Arial"/>
          <w:bCs/>
          <w:sz w:val="18"/>
          <w:szCs w:val="20"/>
          <w:lang w:val="el-GR" w:eastAsia="el-GR"/>
        </w:rPr>
        <w:t>5</w:t>
      </w:r>
      <w:r w:rsidRPr="00BC7C8C">
        <w:rPr>
          <w:rFonts w:ascii="Arial" w:hAnsi="Arial" w:cs="Arial"/>
          <w:sz w:val="18"/>
          <w:szCs w:val="18"/>
          <w:lang w:val="el-GR" w:eastAsia="el-GR"/>
        </w:rPr>
        <w:t xml:space="preserve">% σε τριμηνιαία βάση, </w:t>
      </w:r>
      <w:r w:rsidR="003E6B24" w:rsidRPr="00BC7C8C">
        <w:rPr>
          <w:rFonts w:ascii="Arial" w:hAnsi="Arial" w:cs="Arial"/>
          <w:sz w:val="18"/>
          <w:szCs w:val="18"/>
          <w:lang w:val="el-GR" w:eastAsia="el-GR"/>
        </w:rPr>
        <w:t xml:space="preserve">κυρίως </w:t>
      </w:r>
      <w:r w:rsidR="003E6B24" w:rsidRPr="006A1797">
        <w:rPr>
          <w:rFonts w:ascii="Arial" w:hAnsi="Arial" w:cs="Arial"/>
          <w:sz w:val="18"/>
          <w:szCs w:val="18"/>
          <w:lang w:val="el-GR" w:eastAsia="el-GR"/>
        </w:rPr>
        <w:t xml:space="preserve">λόγω της αύξησης στις αμοιβές από εργασίες που δεν αφορούν συναλλαγές και της </w:t>
      </w:r>
      <w:r w:rsidR="003E6B24" w:rsidRPr="00BC7C8C">
        <w:rPr>
          <w:rFonts w:ascii="Arial" w:hAnsi="Arial" w:cs="Arial"/>
          <w:sz w:val="18"/>
          <w:szCs w:val="18"/>
          <w:lang w:val="el-GR" w:eastAsia="el-GR"/>
        </w:rPr>
        <w:t>αύξησης</w:t>
      </w:r>
      <w:r w:rsidR="003E6B24" w:rsidRPr="006A1797">
        <w:rPr>
          <w:rFonts w:ascii="Arial" w:hAnsi="Arial" w:cs="Arial"/>
          <w:sz w:val="18"/>
          <w:szCs w:val="18"/>
          <w:lang w:val="el-GR" w:eastAsia="el-GR"/>
        </w:rPr>
        <w:t xml:space="preserve"> στις </w:t>
      </w:r>
      <w:r w:rsidR="003E6B24" w:rsidRPr="00BC7C8C">
        <w:rPr>
          <w:rFonts w:ascii="Arial" w:hAnsi="Arial" w:cs="Arial"/>
          <w:sz w:val="18"/>
          <w:szCs w:val="18"/>
          <w:lang w:val="el-GR" w:eastAsia="el-GR"/>
        </w:rPr>
        <w:t xml:space="preserve">αμοιβές </w:t>
      </w:r>
      <w:r w:rsidR="003E6B24" w:rsidRPr="00DA5265">
        <w:rPr>
          <w:rFonts w:ascii="Arial" w:hAnsi="Arial" w:cs="Arial"/>
          <w:sz w:val="18"/>
          <w:szCs w:val="18"/>
          <w:lang w:val="el-GR" w:eastAsia="el-GR"/>
        </w:rPr>
        <w:t xml:space="preserve">από εργασίες που αφορούν συναλλαγές. </w:t>
      </w:r>
    </w:p>
    <w:p w14:paraId="59F1D5BB" w14:textId="77777777" w:rsidR="00450894" w:rsidRPr="00DA5265" w:rsidRDefault="00450894" w:rsidP="00450894">
      <w:pPr>
        <w:spacing w:after="0" w:line="240" w:lineRule="auto"/>
        <w:jc w:val="both"/>
        <w:rPr>
          <w:rFonts w:ascii="Arial" w:hAnsi="Arial" w:cs="Arial"/>
          <w:sz w:val="18"/>
          <w:szCs w:val="18"/>
          <w:lang w:val="el-GR" w:eastAsia="el-GR"/>
        </w:rPr>
      </w:pPr>
    </w:p>
    <w:p w14:paraId="626E141D" w14:textId="5F8A84E5" w:rsidR="00A37BFF" w:rsidRPr="00CB38F0" w:rsidRDefault="00A37BFF" w:rsidP="00A37BFF">
      <w:pPr>
        <w:pStyle w:val="Default"/>
        <w:jc w:val="both"/>
        <w:rPr>
          <w:color w:val="auto"/>
          <w:sz w:val="18"/>
          <w:szCs w:val="18"/>
          <w:lang w:val="el-GR" w:eastAsia="el-GR"/>
        </w:rPr>
      </w:pPr>
      <w:r w:rsidRPr="00DA5265">
        <w:rPr>
          <w:b/>
          <w:bCs/>
          <w:color w:val="auto"/>
          <w:sz w:val="18"/>
          <w:szCs w:val="18"/>
          <w:lang w:val="el-GR" w:eastAsia="el-GR"/>
        </w:rPr>
        <w:t xml:space="preserve">Τα καθαρά κέρδη από διαπραγμάτευση συναλλάγματος και καθαρά κέρδη από χρηματοοικονομικά μέσα </w:t>
      </w:r>
      <w:r w:rsidRPr="00DA5265">
        <w:rPr>
          <w:color w:val="auto"/>
          <w:sz w:val="18"/>
          <w:szCs w:val="18"/>
          <w:lang w:val="el-GR" w:eastAsia="el-GR"/>
        </w:rPr>
        <w:t>για α’ εξάμηνο 2024</w:t>
      </w:r>
      <w:r w:rsidRPr="00DA5265">
        <w:rPr>
          <w:sz w:val="18"/>
          <w:szCs w:val="18"/>
          <w:lang w:val="el-GR"/>
        </w:rPr>
        <w:t xml:space="preserve"> </w:t>
      </w:r>
      <w:r w:rsidRPr="00DA5265">
        <w:rPr>
          <w:color w:val="auto"/>
          <w:sz w:val="18"/>
          <w:szCs w:val="18"/>
          <w:lang w:val="el-GR" w:eastAsia="el-GR"/>
        </w:rPr>
        <w:t>ανήλθαν σε €</w:t>
      </w:r>
      <w:bookmarkStart w:id="16" w:name="_Hlk149744492"/>
      <w:r w:rsidR="006C2D0C" w:rsidRPr="006A1797">
        <w:rPr>
          <w:rFonts w:eastAsia="Times New Roman"/>
          <w:sz w:val="18"/>
          <w:szCs w:val="20"/>
          <w:lang w:val="el-GR" w:eastAsia="el-GR"/>
        </w:rPr>
        <w:t xml:space="preserve">13 </w:t>
      </w:r>
      <w:bookmarkEnd w:id="16"/>
      <w:r w:rsidRPr="00DA5265">
        <w:rPr>
          <w:color w:val="auto"/>
          <w:sz w:val="18"/>
          <w:szCs w:val="18"/>
          <w:lang w:val="el-GR" w:eastAsia="el-GR"/>
        </w:rPr>
        <w:t>εκατ.</w:t>
      </w:r>
      <w:r w:rsidR="006C2D0C" w:rsidRPr="00DA5265">
        <w:rPr>
          <w:color w:val="auto"/>
          <w:sz w:val="18"/>
          <w:szCs w:val="18"/>
          <w:lang w:val="el-GR" w:eastAsia="el-GR"/>
        </w:rPr>
        <w:t xml:space="preserve">, </w:t>
      </w:r>
      <w:r w:rsidRPr="00DA5265">
        <w:rPr>
          <w:color w:val="auto"/>
          <w:sz w:val="18"/>
          <w:szCs w:val="18"/>
          <w:lang w:val="el-GR" w:eastAsia="el-GR"/>
        </w:rPr>
        <w:t xml:space="preserve">μειωμένα </w:t>
      </w:r>
      <w:r w:rsidRPr="006A1797">
        <w:rPr>
          <w:color w:val="000000" w:themeColor="text1"/>
          <w:sz w:val="18"/>
          <w:szCs w:val="18"/>
          <w:lang w:val="el-GR" w:eastAsia="el-GR"/>
        </w:rPr>
        <w:t xml:space="preserve">κατά </w:t>
      </w:r>
      <w:r w:rsidR="006C2D0C" w:rsidRPr="006A1797">
        <w:rPr>
          <w:color w:val="000000" w:themeColor="text1"/>
          <w:sz w:val="18"/>
          <w:szCs w:val="18"/>
          <w:lang w:val="el-GR" w:eastAsia="el-GR"/>
        </w:rPr>
        <w:t>38</w:t>
      </w:r>
      <w:r w:rsidRPr="006A1797">
        <w:rPr>
          <w:color w:val="000000" w:themeColor="text1"/>
          <w:sz w:val="18"/>
          <w:szCs w:val="18"/>
          <w:lang w:val="el-GR" w:eastAsia="el-GR"/>
        </w:rPr>
        <w:t xml:space="preserve">% </w:t>
      </w:r>
      <w:r w:rsidRPr="00DA5265">
        <w:rPr>
          <w:color w:val="auto"/>
          <w:sz w:val="18"/>
          <w:szCs w:val="18"/>
          <w:lang w:val="el-GR" w:eastAsia="el-GR"/>
        </w:rPr>
        <w:t xml:space="preserve">σε ετήσια βάση </w:t>
      </w:r>
      <w:r w:rsidRPr="006A1797">
        <w:rPr>
          <w:color w:val="auto"/>
          <w:sz w:val="18"/>
          <w:szCs w:val="18"/>
          <w:lang w:val="el-GR" w:eastAsia="el-GR"/>
        </w:rPr>
        <w:t>λόγω της μείωσης στα καθαρά κέρδη από διαπραγμάτευση συναλλάγματος, μέσω συμφωνιών ανταλλαγής νομισμάτων (FX swaps)</w:t>
      </w:r>
      <w:r w:rsidR="006C2D0C" w:rsidRPr="006A1797">
        <w:rPr>
          <w:color w:val="auto"/>
          <w:sz w:val="18"/>
          <w:szCs w:val="18"/>
          <w:lang w:val="el-GR" w:eastAsia="el-GR"/>
        </w:rPr>
        <w:t xml:space="preserve"> καθώς και της μείωσης στα</w:t>
      </w:r>
      <w:r w:rsidR="003F6728" w:rsidRPr="006A1797">
        <w:rPr>
          <w:color w:val="auto"/>
          <w:sz w:val="18"/>
          <w:szCs w:val="18"/>
          <w:lang w:val="el-GR" w:eastAsia="el-GR"/>
        </w:rPr>
        <w:t xml:space="preserve"> κέρδη από επανεκτίμηση</w:t>
      </w:r>
      <w:r w:rsidR="003F6728" w:rsidRPr="00DA5265">
        <w:rPr>
          <w:color w:val="auto"/>
          <w:sz w:val="18"/>
          <w:szCs w:val="18"/>
          <w:lang w:val="el-GR" w:eastAsia="el-GR"/>
        </w:rPr>
        <w:t xml:space="preserve"> </w:t>
      </w:r>
      <w:r w:rsidR="003F6728" w:rsidRPr="006A1797">
        <w:rPr>
          <w:color w:val="auto"/>
          <w:sz w:val="18"/>
          <w:szCs w:val="18"/>
          <w:lang w:val="el-GR" w:eastAsia="el-GR"/>
        </w:rPr>
        <w:t>χρηματοοικονομικών μέσων (</w:t>
      </w:r>
      <w:r w:rsidR="003F6728" w:rsidRPr="00DA5265">
        <w:rPr>
          <w:color w:val="auto"/>
          <w:sz w:val="18"/>
          <w:szCs w:val="18"/>
          <w:lang w:val="el-GR" w:eastAsia="el-GR"/>
        </w:rPr>
        <w:t xml:space="preserve">περίπου </w:t>
      </w:r>
      <w:r w:rsidR="003F6728" w:rsidRPr="006A1797">
        <w:rPr>
          <w:color w:val="auto"/>
          <w:sz w:val="18"/>
          <w:szCs w:val="18"/>
          <w:lang w:val="el-GR" w:eastAsia="el-GR"/>
        </w:rPr>
        <w:t>€</w:t>
      </w:r>
      <w:r w:rsidR="003F6728" w:rsidRPr="00DA5265">
        <w:rPr>
          <w:color w:val="auto"/>
          <w:sz w:val="18"/>
          <w:szCs w:val="18"/>
          <w:lang w:val="el-GR" w:eastAsia="el-GR"/>
        </w:rPr>
        <w:t>5.5 εκατ. κατά το α’ εξάμηνο 202</w:t>
      </w:r>
      <w:r w:rsidR="00ED2C0A">
        <w:rPr>
          <w:color w:val="auto"/>
          <w:sz w:val="18"/>
          <w:szCs w:val="18"/>
          <w:lang w:val="el-GR" w:eastAsia="el-GR"/>
        </w:rPr>
        <w:t>3</w:t>
      </w:r>
      <w:r w:rsidR="003F6728" w:rsidRPr="00DA5265">
        <w:rPr>
          <w:color w:val="auto"/>
          <w:sz w:val="18"/>
          <w:szCs w:val="18"/>
          <w:lang w:val="el-GR" w:eastAsia="el-GR"/>
        </w:rPr>
        <w:t>).</w:t>
      </w:r>
    </w:p>
    <w:p w14:paraId="6208B39C" w14:textId="77777777" w:rsidR="00A37BFF" w:rsidRDefault="00A37BFF" w:rsidP="004200FD">
      <w:pPr>
        <w:pStyle w:val="Default"/>
        <w:jc w:val="both"/>
        <w:rPr>
          <w:b/>
          <w:bCs/>
          <w:color w:val="auto"/>
          <w:sz w:val="18"/>
          <w:szCs w:val="18"/>
          <w:highlight w:val="yellow"/>
          <w:lang w:val="el-GR" w:eastAsia="el-GR"/>
        </w:rPr>
      </w:pPr>
    </w:p>
    <w:p w14:paraId="050D833C" w14:textId="7BC6E985" w:rsidR="004200FD" w:rsidRPr="00CB38F0" w:rsidRDefault="004200FD" w:rsidP="004200FD">
      <w:pPr>
        <w:pStyle w:val="Default"/>
        <w:jc w:val="both"/>
        <w:rPr>
          <w:sz w:val="18"/>
          <w:szCs w:val="18"/>
          <w:lang w:val="el-GR"/>
        </w:rPr>
      </w:pPr>
      <w:r w:rsidRPr="00CB38F0">
        <w:rPr>
          <w:b/>
          <w:bCs/>
          <w:color w:val="auto"/>
          <w:sz w:val="18"/>
          <w:szCs w:val="18"/>
          <w:lang w:val="el-GR" w:eastAsia="el-GR"/>
        </w:rPr>
        <w:t xml:space="preserve">Τα καθαρά κέρδη από διαπραγμάτευση συναλλάγματος και καθαρά κέρδη από χρηματοοικονομικά μέσα </w:t>
      </w:r>
      <w:r w:rsidRPr="00CB38F0">
        <w:rPr>
          <w:color w:val="auto"/>
          <w:sz w:val="18"/>
          <w:szCs w:val="18"/>
          <w:lang w:val="el-GR" w:eastAsia="el-GR"/>
        </w:rPr>
        <w:t xml:space="preserve">για </w:t>
      </w:r>
      <w:r w:rsidR="00A37BFF" w:rsidRPr="00CB38F0">
        <w:rPr>
          <w:color w:val="auto"/>
          <w:sz w:val="18"/>
          <w:szCs w:val="18"/>
          <w:lang w:val="el-GR" w:eastAsia="el-GR"/>
        </w:rPr>
        <w:t>β</w:t>
      </w:r>
      <w:r w:rsidRPr="00CB38F0">
        <w:rPr>
          <w:color w:val="auto"/>
          <w:sz w:val="18"/>
          <w:szCs w:val="18"/>
          <w:lang w:val="el-GR" w:eastAsia="el-GR"/>
        </w:rPr>
        <w:t>’ τρίμηνο 2024</w:t>
      </w:r>
      <w:r w:rsidRPr="00CB38F0">
        <w:rPr>
          <w:sz w:val="18"/>
          <w:szCs w:val="18"/>
          <w:lang w:val="el-GR"/>
        </w:rPr>
        <w:t xml:space="preserve"> </w:t>
      </w:r>
      <w:r w:rsidRPr="00CB38F0">
        <w:rPr>
          <w:color w:val="auto"/>
          <w:sz w:val="18"/>
          <w:szCs w:val="18"/>
          <w:lang w:val="el-GR" w:eastAsia="el-GR"/>
        </w:rPr>
        <w:t>ανήλθαν σε €</w:t>
      </w:r>
      <w:r w:rsidR="003F6728" w:rsidRPr="006A1797">
        <w:rPr>
          <w:rFonts w:eastAsia="Times New Roman"/>
          <w:sz w:val="18"/>
          <w:szCs w:val="20"/>
          <w:lang w:val="el-GR" w:eastAsia="el-GR"/>
        </w:rPr>
        <w:t>6</w:t>
      </w:r>
      <w:r w:rsidR="00A37BFF" w:rsidRPr="00CB38F0">
        <w:rPr>
          <w:rFonts w:eastAsia="Times New Roman"/>
          <w:color w:val="FF0000"/>
          <w:sz w:val="18"/>
          <w:szCs w:val="20"/>
          <w:lang w:val="el-GR" w:eastAsia="el-GR"/>
        </w:rPr>
        <w:t xml:space="preserve"> </w:t>
      </w:r>
      <w:r w:rsidRPr="00CB38F0">
        <w:rPr>
          <w:color w:val="auto"/>
          <w:sz w:val="18"/>
          <w:szCs w:val="18"/>
          <w:lang w:val="el-GR" w:eastAsia="el-GR"/>
        </w:rPr>
        <w:t>εκατ.</w:t>
      </w:r>
      <w:r w:rsidR="00A37BFF" w:rsidRPr="00CB38F0">
        <w:rPr>
          <w:color w:val="auto"/>
          <w:sz w:val="18"/>
          <w:szCs w:val="18"/>
          <w:lang w:val="el-GR" w:eastAsia="el-GR"/>
        </w:rPr>
        <w:t>,</w:t>
      </w:r>
      <w:r w:rsidR="003F6728" w:rsidRPr="006A1797">
        <w:rPr>
          <w:color w:val="auto"/>
          <w:sz w:val="18"/>
          <w:szCs w:val="18"/>
          <w:lang w:val="el-GR" w:eastAsia="el-GR"/>
        </w:rPr>
        <w:t xml:space="preserve"> </w:t>
      </w:r>
      <w:r w:rsidR="00A37BFF" w:rsidRPr="00CB38F0">
        <w:rPr>
          <w:color w:val="auto"/>
          <w:sz w:val="18"/>
          <w:szCs w:val="18"/>
          <w:lang w:val="el-GR" w:eastAsia="el-GR"/>
        </w:rPr>
        <w:t>σε σύγκριση με €7</w:t>
      </w:r>
      <w:r w:rsidR="003F6728" w:rsidRPr="006A1797">
        <w:rPr>
          <w:color w:val="auto"/>
          <w:sz w:val="18"/>
          <w:szCs w:val="18"/>
          <w:lang w:val="el-GR" w:eastAsia="el-GR"/>
        </w:rPr>
        <w:t xml:space="preserve"> </w:t>
      </w:r>
      <w:r w:rsidR="00A37BFF" w:rsidRPr="00CB38F0">
        <w:rPr>
          <w:color w:val="auto"/>
          <w:sz w:val="18"/>
          <w:szCs w:val="18"/>
          <w:lang w:val="el-GR" w:eastAsia="el-GR"/>
        </w:rPr>
        <w:t>εκατ. για το α΄ τρίμηνο 2024,</w:t>
      </w:r>
      <w:r w:rsidR="003F6728" w:rsidRPr="006A1797">
        <w:rPr>
          <w:color w:val="auto"/>
          <w:sz w:val="18"/>
          <w:szCs w:val="18"/>
          <w:lang w:val="el-GR" w:eastAsia="el-GR"/>
        </w:rPr>
        <w:t xml:space="preserve"> αποτελούμενα από καθαρά κέρδη από διαπραγμάτευση συναλλάγματος ύψους περίπου €</w:t>
      </w:r>
      <w:r w:rsidR="003F6728" w:rsidRPr="006A1797">
        <w:rPr>
          <w:rFonts w:eastAsia="Times New Roman"/>
          <w:sz w:val="18"/>
          <w:szCs w:val="20"/>
          <w:lang w:val="el-GR" w:eastAsia="el-GR"/>
        </w:rPr>
        <w:t xml:space="preserve">6.3 </w:t>
      </w:r>
      <w:r w:rsidR="003F6728" w:rsidRPr="006A1797">
        <w:rPr>
          <w:color w:val="auto"/>
          <w:sz w:val="18"/>
          <w:szCs w:val="18"/>
          <w:lang w:val="el-GR" w:eastAsia="el-GR"/>
        </w:rPr>
        <w:t xml:space="preserve">εκατ. και </w:t>
      </w:r>
      <w:r w:rsidR="003F6728">
        <w:rPr>
          <w:color w:val="auto"/>
          <w:sz w:val="18"/>
          <w:szCs w:val="18"/>
          <w:lang w:val="el-GR" w:eastAsia="el-GR"/>
        </w:rPr>
        <w:t xml:space="preserve">καθαρή ζημιά </w:t>
      </w:r>
      <w:r w:rsidR="003F6728" w:rsidRPr="006A1797">
        <w:rPr>
          <w:color w:val="auto"/>
          <w:sz w:val="18"/>
          <w:szCs w:val="18"/>
          <w:lang w:val="el-GR" w:eastAsia="el-GR"/>
        </w:rPr>
        <w:t>από χρηματοοικονομικά μέσα ύψους περίπου €0.4 εκατ.).</w:t>
      </w:r>
      <w:r w:rsidR="003F6728">
        <w:rPr>
          <w:color w:val="auto"/>
          <w:sz w:val="18"/>
          <w:szCs w:val="18"/>
          <w:lang w:val="el-GR" w:eastAsia="el-GR"/>
        </w:rPr>
        <w:t xml:space="preserve"> </w:t>
      </w:r>
      <w:r w:rsidRPr="00CB38F0">
        <w:rPr>
          <w:color w:val="auto"/>
          <w:sz w:val="18"/>
          <w:szCs w:val="18"/>
          <w:lang w:val="el-GR"/>
        </w:rPr>
        <w:t xml:space="preserve">Τα </w:t>
      </w:r>
      <w:r w:rsidRPr="00CB38F0">
        <w:rPr>
          <w:color w:val="auto"/>
          <w:sz w:val="18"/>
          <w:szCs w:val="18"/>
          <w:lang w:val="el-GR" w:eastAsia="el-GR"/>
        </w:rPr>
        <w:t xml:space="preserve">καθαρά κέρδη από διαπραγμάτευση συναλλάγματος και καθαρά κέρδη από χρηματοοικονομικά μέσα δύναται να παρουσιάζουν </w:t>
      </w:r>
      <w:r w:rsidRPr="00CB38F0">
        <w:rPr>
          <w:bCs/>
          <w:color w:val="auto"/>
          <w:sz w:val="18"/>
          <w:szCs w:val="18"/>
          <w:lang w:val="el-GR" w:eastAsia="el-GR"/>
        </w:rPr>
        <w:t>διακυμάνσεις.</w:t>
      </w:r>
    </w:p>
    <w:p w14:paraId="39B4C9B7" w14:textId="77777777" w:rsidR="00BB697F" w:rsidRPr="00CB38F0" w:rsidRDefault="00BB697F" w:rsidP="00352599">
      <w:pPr>
        <w:pStyle w:val="Default"/>
        <w:jc w:val="both"/>
        <w:rPr>
          <w:color w:val="FF0000"/>
          <w:sz w:val="18"/>
          <w:szCs w:val="18"/>
          <w:lang w:val="el-GR" w:eastAsia="el-GR"/>
        </w:rPr>
      </w:pPr>
    </w:p>
    <w:p w14:paraId="7664CF2E" w14:textId="46D70828" w:rsidR="00252C99" w:rsidRPr="00CB38F0" w:rsidRDefault="00252C99" w:rsidP="00252C99">
      <w:pPr>
        <w:pStyle w:val="Default"/>
        <w:jc w:val="both"/>
        <w:rPr>
          <w:color w:val="auto"/>
          <w:sz w:val="18"/>
          <w:szCs w:val="18"/>
          <w:lang w:val="el-GR"/>
        </w:rPr>
      </w:pPr>
      <w:bookmarkStart w:id="17" w:name="_Hlk118117658"/>
      <w:bookmarkEnd w:id="15"/>
      <w:r w:rsidRPr="00CB38F0">
        <w:rPr>
          <w:b/>
          <w:bCs/>
          <w:color w:val="auto"/>
          <w:sz w:val="18"/>
          <w:szCs w:val="20"/>
          <w:lang w:val="el-GR"/>
        </w:rPr>
        <w:t xml:space="preserve">Το καθαρό αποτέλεσμα από ασφαλιστικές εργασίες </w:t>
      </w:r>
      <w:r w:rsidRPr="00CB38F0">
        <w:rPr>
          <w:color w:val="auto"/>
          <w:sz w:val="18"/>
          <w:szCs w:val="20"/>
          <w:lang w:val="el-GR"/>
        </w:rPr>
        <w:t>ανήλθε σε €</w:t>
      </w:r>
      <w:r w:rsidR="003F6728" w:rsidRPr="006A1797">
        <w:rPr>
          <w:color w:val="auto"/>
          <w:sz w:val="18"/>
          <w:szCs w:val="20"/>
          <w:lang w:val="el-GR"/>
        </w:rPr>
        <w:t xml:space="preserve">23 </w:t>
      </w:r>
      <w:r w:rsidRPr="00CB38F0">
        <w:rPr>
          <w:color w:val="auto"/>
          <w:sz w:val="18"/>
          <w:szCs w:val="20"/>
          <w:lang w:val="el-GR"/>
        </w:rPr>
        <w:t>εκατ. για α’ εξάμηνο</w:t>
      </w:r>
      <w:r w:rsidRPr="00CB38F0">
        <w:rPr>
          <w:sz w:val="18"/>
          <w:szCs w:val="18"/>
          <w:lang w:val="el-GR"/>
        </w:rPr>
        <w:t xml:space="preserve"> </w:t>
      </w:r>
      <w:r w:rsidRPr="00CB38F0">
        <w:rPr>
          <w:color w:val="auto"/>
          <w:sz w:val="18"/>
          <w:szCs w:val="18"/>
          <w:lang w:val="el-GR"/>
        </w:rPr>
        <w:t>2024</w:t>
      </w:r>
      <w:r w:rsidRPr="00CB38F0">
        <w:rPr>
          <w:color w:val="auto"/>
          <w:sz w:val="18"/>
          <w:szCs w:val="20"/>
          <w:lang w:val="el-GR"/>
        </w:rPr>
        <w:t xml:space="preserve">, σε σύγκριση με €25 εκατ. για </w:t>
      </w:r>
      <w:r w:rsidRPr="00CB38F0">
        <w:rPr>
          <w:color w:val="auto"/>
          <w:sz w:val="18"/>
          <w:szCs w:val="18"/>
          <w:lang w:val="el-GR" w:eastAsia="el-GR"/>
        </w:rPr>
        <w:t>το α’ εξάμηνο 2023</w:t>
      </w:r>
      <w:r w:rsidRPr="00CB38F0">
        <w:rPr>
          <w:color w:val="auto"/>
          <w:sz w:val="18"/>
          <w:szCs w:val="20"/>
          <w:lang w:val="el-GR"/>
        </w:rPr>
        <w:t>, μειωμένο</w:t>
      </w:r>
      <w:r w:rsidR="00480945">
        <w:rPr>
          <w:color w:val="auto"/>
          <w:sz w:val="18"/>
          <w:szCs w:val="20"/>
          <w:lang w:val="el-GR"/>
        </w:rPr>
        <w:t xml:space="preserve"> </w:t>
      </w:r>
      <w:r w:rsidRPr="00CB38F0">
        <w:rPr>
          <w:color w:val="auto"/>
          <w:sz w:val="18"/>
          <w:szCs w:val="20"/>
          <w:lang w:val="el-GR"/>
        </w:rPr>
        <w:t xml:space="preserve">κατά </w:t>
      </w:r>
      <w:r w:rsidR="008F0AF1" w:rsidRPr="006A1797">
        <w:rPr>
          <w:color w:val="auto"/>
          <w:sz w:val="18"/>
          <w:szCs w:val="20"/>
          <w:lang w:val="el-GR"/>
        </w:rPr>
        <w:t>7</w:t>
      </w:r>
      <w:r w:rsidRPr="00CB38F0">
        <w:rPr>
          <w:color w:val="auto"/>
          <w:sz w:val="18"/>
          <w:szCs w:val="20"/>
          <w:lang w:val="el-GR"/>
        </w:rPr>
        <w:t xml:space="preserve">% σε </w:t>
      </w:r>
      <w:r w:rsidRPr="00CB38F0">
        <w:rPr>
          <w:color w:val="auto"/>
          <w:sz w:val="18"/>
          <w:szCs w:val="18"/>
          <w:lang w:val="el-GR"/>
        </w:rPr>
        <w:t>ετήσια βάση</w:t>
      </w:r>
      <w:r w:rsidR="008F0AF1" w:rsidRPr="006A1797">
        <w:rPr>
          <w:color w:val="auto"/>
          <w:sz w:val="18"/>
          <w:szCs w:val="18"/>
          <w:lang w:val="el-GR"/>
        </w:rPr>
        <w:t xml:space="preserve">, </w:t>
      </w:r>
      <w:r w:rsidR="008F0AF1">
        <w:rPr>
          <w:color w:val="auto"/>
          <w:sz w:val="18"/>
          <w:szCs w:val="18"/>
          <w:lang w:val="el-GR"/>
        </w:rPr>
        <w:t xml:space="preserve">λόγω της αρνητικής εμπειρίας </w:t>
      </w:r>
      <w:r w:rsidR="00480945">
        <w:rPr>
          <w:color w:val="auto"/>
          <w:sz w:val="18"/>
          <w:szCs w:val="18"/>
          <w:lang w:val="el-GR"/>
        </w:rPr>
        <w:t>απαιτήσεων στον γενικό κλάδο ασφάλισης που προέκυψε από τα έντονα καιρικά φαινόμενα που συνέβησαν κατά το α’ τρίμηνο 2024.</w:t>
      </w:r>
      <w:r w:rsidR="00480945" w:rsidRPr="006A1797">
        <w:rPr>
          <w:color w:val="auto"/>
          <w:sz w:val="18"/>
          <w:szCs w:val="18"/>
          <w:lang w:val="el-GR"/>
        </w:rPr>
        <w:t xml:space="preserve"> </w:t>
      </w:r>
    </w:p>
    <w:p w14:paraId="4398CC6A" w14:textId="77777777" w:rsidR="00252C99" w:rsidRDefault="00252C99" w:rsidP="00F271FA">
      <w:pPr>
        <w:pStyle w:val="Default"/>
        <w:jc w:val="both"/>
        <w:rPr>
          <w:b/>
          <w:bCs/>
          <w:color w:val="auto"/>
          <w:sz w:val="18"/>
          <w:szCs w:val="20"/>
          <w:highlight w:val="yellow"/>
          <w:lang w:val="el-GR"/>
        </w:rPr>
      </w:pPr>
    </w:p>
    <w:p w14:paraId="6FF073A1" w14:textId="67C99394" w:rsidR="00541133" w:rsidRPr="00CB38F0" w:rsidRDefault="00352599" w:rsidP="00F271FA">
      <w:pPr>
        <w:pStyle w:val="Default"/>
        <w:jc w:val="both"/>
        <w:rPr>
          <w:color w:val="auto"/>
          <w:sz w:val="18"/>
          <w:szCs w:val="18"/>
          <w:lang w:val="el-GR"/>
        </w:rPr>
      </w:pPr>
      <w:r w:rsidRPr="006A1797">
        <w:rPr>
          <w:b/>
          <w:bCs/>
          <w:color w:val="auto"/>
          <w:sz w:val="18"/>
          <w:szCs w:val="20"/>
          <w:lang w:val="el-GR"/>
        </w:rPr>
        <w:t>Τ</w:t>
      </w:r>
      <w:r w:rsidR="001438A6" w:rsidRPr="006A1797">
        <w:rPr>
          <w:b/>
          <w:bCs/>
          <w:color w:val="auto"/>
          <w:sz w:val="18"/>
          <w:szCs w:val="20"/>
          <w:lang w:val="el-GR"/>
        </w:rPr>
        <w:t>ο</w:t>
      </w:r>
      <w:r w:rsidRPr="006A1797">
        <w:rPr>
          <w:b/>
          <w:bCs/>
          <w:color w:val="auto"/>
          <w:sz w:val="18"/>
          <w:szCs w:val="20"/>
          <w:lang w:val="el-GR"/>
        </w:rPr>
        <w:t xml:space="preserve"> καθαρ</w:t>
      </w:r>
      <w:r w:rsidR="001438A6" w:rsidRPr="006A1797">
        <w:rPr>
          <w:b/>
          <w:bCs/>
          <w:color w:val="auto"/>
          <w:sz w:val="18"/>
          <w:szCs w:val="20"/>
          <w:lang w:val="el-GR"/>
        </w:rPr>
        <w:t>ό</w:t>
      </w:r>
      <w:r w:rsidRPr="006A1797">
        <w:rPr>
          <w:b/>
          <w:bCs/>
          <w:color w:val="auto"/>
          <w:sz w:val="18"/>
          <w:szCs w:val="20"/>
          <w:lang w:val="el-GR"/>
        </w:rPr>
        <w:t xml:space="preserve"> </w:t>
      </w:r>
      <w:r w:rsidR="001438A6" w:rsidRPr="00BC7C8C">
        <w:rPr>
          <w:b/>
          <w:bCs/>
          <w:color w:val="auto"/>
          <w:sz w:val="18"/>
          <w:szCs w:val="20"/>
          <w:lang w:val="el-GR"/>
        </w:rPr>
        <w:t>αποτέλεσμα</w:t>
      </w:r>
      <w:r w:rsidR="001438A6" w:rsidRPr="00CB38F0">
        <w:rPr>
          <w:b/>
          <w:bCs/>
          <w:color w:val="auto"/>
          <w:sz w:val="18"/>
          <w:szCs w:val="20"/>
          <w:lang w:val="el-GR"/>
        </w:rPr>
        <w:t xml:space="preserve"> </w:t>
      </w:r>
      <w:r w:rsidRPr="00CB38F0">
        <w:rPr>
          <w:b/>
          <w:bCs/>
          <w:color w:val="auto"/>
          <w:sz w:val="18"/>
          <w:szCs w:val="20"/>
          <w:lang w:val="el-GR"/>
        </w:rPr>
        <w:t xml:space="preserve">από ασφαλιστικές </w:t>
      </w:r>
      <w:bookmarkEnd w:id="17"/>
      <w:r w:rsidR="00913E38" w:rsidRPr="00CB38F0">
        <w:rPr>
          <w:b/>
          <w:bCs/>
          <w:color w:val="auto"/>
          <w:sz w:val="18"/>
          <w:szCs w:val="20"/>
          <w:lang w:val="el-GR"/>
        </w:rPr>
        <w:t xml:space="preserve">εργασίες </w:t>
      </w:r>
      <w:r w:rsidR="001438A6" w:rsidRPr="00CB38F0">
        <w:rPr>
          <w:color w:val="auto"/>
          <w:sz w:val="18"/>
          <w:szCs w:val="20"/>
          <w:lang w:val="el-GR"/>
        </w:rPr>
        <w:t xml:space="preserve">ανήλθε </w:t>
      </w:r>
      <w:r w:rsidRPr="00CB38F0">
        <w:rPr>
          <w:color w:val="auto"/>
          <w:sz w:val="18"/>
          <w:szCs w:val="20"/>
          <w:lang w:val="el-GR"/>
        </w:rPr>
        <w:t>σε €</w:t>
      </w:r>
      <w:r w:rsidR="00480945" w:rsidRPr="006A1797">
        <w:rPr>
          <w:color w:val="auto"/>
          <w:sz w:val="18"/>
          <w:szCs w:val="20"/>
          <w:lang w:val="el-GR"/>
        </w:rPr>
        <w:t>13</w:t>
      </w:r>
      <w:r w:rsidR="00480945">
        <w:rPr>
          <w:color w:val="auto"/>
          <w:sz w:val="18"/>
          <w:szCs w:val="20"/>
          <w:lang w:val="el-GR"/>
        </w:rPr>
        <w:t xml:space="preserve"> </w:t>
      </w:r>
      <w:r w:rsidRPr="00CB38F0">
        <w:rPr>
          <w:color w:val="auto"/>
          <w:sz w:val="18"/>
          <w:szCs w:val="20"/>
          <w:lang w:val="el-GR"/>
        </w:rPr>
        <w:t xml:space="preserve">εκατ. για </w:t>
      </w:r>
      <w:r w:rsidR="00252C99" w:rsidRPr="00CB38F0">
        <w:rPr>
          <w:color w:val="auto"/>
          <w:sz w:val="18"/>
          <w:szCs w:val="20"/>
          <w:lang w:val="el-GR"/>
        </w:rPr>
        <w:t>β</w:t>
      </w:r>
      <w:r w:rsidR="00541133" w:rsidRPr="00CB38F0">
        <w:rPr>
          <w:color w:val="auto"/>
          <w:sz w:val="18"/>
          <w:szCs w:val="20"/>
          <w:lang w:val="el-GR"/>
        </w:rPr>
        <w:t>’ τρίμηνο</w:t>
      </w:r>
      <w:r w:rsidR="008A4B8C" w:rsidRPr="00CB38F0">
        <w:rPr>
          <w:sz w:val="18"/>
          <w:szCs w:val="18"/>
          <w:lang w:val="el-GR"/>
        </w:rPr>
        <w:t xml:space="preserve"> </w:t>
      </w:r>
      <w:r w:rsidR="00541133" w:rsidRPr="00CB38F0">
        <w:rPr>
          <w:color w:val="auto"/>
          <w:sz w:val="18"/>
          <w:szCs w:val="18"/>
          <w:lang w:val="el-GR"/>
        </w:rPr>
        <w:t>2024</w:t>
      </w:r>
      <w:r w:rsidRPr="00CB38F0">
        <w:rPr>
          <w:color w:val="auto"/>
          <w:sz w:val="18"/>
          <w:szCs w:val="20"/>
          <w:lang w:val="el-GR"/>
        </w:rPr>
        <w:t>, σε σύγκριση με €</w:t>
      </w:r>
      <w:r w:rsidR="00252C99" w:rsidRPr="00CB38F0">
        <w:rPr>
          <w:color w:val="auto"/>
          <w:sz w:val="18"/>
          <w:szCs w:val="20"/>
          <w:lang w:val="el-GR"/>
        </w:rPr>
        <w:t xml:space="preserve">10 </w:t>
      </w:r>
      <w:r w:rsidRPr="00CB38F0">
        <w:rPr>
          <w:color w:val="auto"/>
          <w:sz w:val="18"/>
          <w:szCs w:val="20"/>
          <w:lang w:val="el-GR"/>
        </w:rPr>
        <w:t xml:space="preserve">εκατ. </w:t>
      </w:r>
      <w:bookmarkStart w:id="18" w:name="_Hlk145925863"/>
      <w:r w:rsidRPr="00CB38F0">
        <w:rPr>
          <w:color w:val="auto"/>
          <w:sz w:val="18"/>
          <w:szCs w:val="20"/>
          <w:lang w:val="el-GR"/>
        </w:rPr>
        <w:t xml:space="preserve">για </w:t>
      </w:r>
      <w:r w:rsidR="006A2219" w:rsidRPr="00CB38F0">
        <w:rPr>
          <w:color w:val="auto"/>
          <w:sz w:val="18"/>
          <w:szCs w:val="18"/>
          <w:lang w:val="el-GR" w:eastAsia="el-GR"/>
        </w:rPr>
        <w:t xml:space="preserve">το </w:t>
      </w:r>
      <w:bookmarkEnd w:id="18"/>
      <w:r w:rsidR="00252C99" w:rsidRPr="00CB38F0">
        <w:rPr>
          <w:color w:val="auto"/>
          <w:sz w:val="18"/>
          <w:szCs w:val="18"/>
          <w:lang w:val="el-GR" w:eastAsia="el-GR"/>
        </w:rPr>
        <w:t xml:space="preserve">α’ </w:t>
      </w:r>
      <w:r w:rsidR="00541133" w:rsidRPr="00CB38F0">
        <w:rPr>
          <w:color w:val="auto"/>
          <w:sz w:val="18"/>
          <w:szCs w:val="18"/>
          <w:lang w:val="el-GR" w:eastAsia="el-GR"/>
        </w:rPr>
        <w:t xml:space="preserve">τρίμηνο </w:t>
      </w:r>
      <w:r w:rsidR="00252C99" w:rsidRPr="00CB38F0">
        <w:rPr>
          <w:color w:val="auto"/>
          <w:sz w:val="18"/>
          <w:szCs w:val="18"/>
          <w:lang w:val="el-GR" w:eastAsia="el-GR"/>
        </w:rPr>
        <w:t>2024</w:t>
      </w:r>
      <w:r w:rsidRPr="00CB38F0">
        <w:rPr>
          <w:color w:val="auto"/>
          <w:sz w:val="18"/>
          <w:szCs w:val="20"/>
          <w:lang w:val="el-GR"/>
        </w:rPr>
        <w:t xml:space="preserve">, </w:t>
      </w:r>
      <w:r w:rsidR="00480945">
        <w:rPr>
          <w:color w:val="auto"/>
          <w:sz w:val="18"/>
          <w:szCs w:val="20"/>
          <w:lang w:val="el-GR"/>
        </w:rPr>
        <w:t>αντικατοπτρίζοντας</w:t>
      </w:r>
      <w:r w:rsidR="00480945" w:rsidRPr="006A1797">
        <w:rPr>
          <w:color w:val="auto"/>
          <w:sz w:val="18"/>
          <w:szCs w:val="18"/>
          <w:lang w:val="el-GR"/>
        </w:rPr>
        <w:t xml:space="preserve"> </w:t>
      </w:r>
      <w:r w:rsidR="00480945">
        <w:rPr>
          <w:color w:val="auto"/>
          <w:sz w:val="18"/>
          <w:szCs w:val="18"/>
          <w:lang w:val="el-GR"/>
        </w:rPr>
        <w:t>τη</w:t>
      </w:r>
      <w:r w:rsidR="00480945" w:rsidRPr="006A1797">
        <w:rPr>
          <w:color w:val="auto"/>
          <w:sz w:val="18"/>
          <w:szCs w:val="18"/>
          <w:lang w:val="el-GR"/>
        </w:rPr>
        <w:t xml:space="preserve"> βελτιωμένη προσαρμογή της εμπειρίας</w:t>
      </w:r>
      <w:r w:rsidR="00480945">
        <w:rPr>
          <w:color w:val="auto"/>
          <w:sz w:val="18"/>
          <w:szCs w:val="18"/>
          <w:lang w:val="el-GR"/>
        </w:rPr>
        <w:t xml:space="preserve"> που αφορά</w:t>
      </w:r>
      <w:r w:rsidR="00480945" w:rsidRPr="006A1797">
        <w:rPr>
          <w:color w:val="auto"/>
          <w:sz w:val="18"/>
          <w:szCs w:val="18"/>
          <w:lang w:val="el-GR"/>
        </w:rPr>
        <w:t xml:space="preserve"> απαιτήσεις</w:t>
      </w:r>
      <w:r w:rsidR="00480945">
        <w:rPr>
          <w:color w:val="auto"/>
          <w:sz w:val="18"/>
          <w:szCs w:val="18"/>
          <w:lang w:val="el-GR"/>
        </w:rPr>
        <w:t xml:space="preserve"> κλάδου ζωής </w:t>
      </w:r>
      <w:r w:rsidR="00480945" w:rsidRPr="006A1797">
        <w:rPr>
          <w:color w:val="auto"/>
          <w:sz w:val="18"/>
          <w:szCs w:val="18"/>
          <w:lang w:val="el-GR"/>
        </w:rPr>
        <w:t xml:space="preserve">καθώς και </w:t>
      </w:r>
      <w:r w:rsidR="00480945">
        <w:rPr>
          <w:color w:val="auto"/>
          <w:sz w:val="18"/>
          <w:szCs w:val="18"/>
          <w:lang w:val="el-GR"/>
        </w:rPr>
        <w:t>τη</w:t>
      </w:r>
      <w:r w:rsidR="00480945" w:rsidRPr="006A1797">
        <w:rPr>
          <w:color w:val="auto"/>
          <w:sz w:val="18"/>
          <w:szCs w:val="18"/>
          <w:lang w:val="el-GR"/>
        </w:rPr>
        <w:t xml:space="preserve"> μείωση του στοιχείου ζημιάς από τα ασφαλιστήρια συμβόλαια (σύμφωνα με το ΔΠΧΑ 17).</w:t>
      </w:r>
    </w:p>
    <w:p w14:paraId="0B8BA40D" w14:textId="77777777" w:rsidR="00F26350" w:rsidRPr="00CB38F0" w:rsidRDefault="00F26350" w:rsidP="00F26350">
      <w:pPr>
        <w:pStyle w:val="Default"/>
        <w:jc w:val="both"/>
        <w:rPr>
          <w:sz w:val="18"/>
          <w:szCs w:val="18"/>
          <w:lang w:val="el-GR"/>
        </w:rPr>
      </w:pPr>
    </w:p>
    <w:p w14:paraId="7618EE67" w14:textId="7F906461" w:rsidR="00AD0C15" w:rsidRPr="00CB38F0" w:rsidRDefault="00AD0C15" w:rsidP="00AD0C15">
      <w:pPr>
        <w:spacing w:after="0" w:line="240" w:lineRule="auto"/>
        <w:jc w:val="both"/>
        <w:rPr>
          <w:rFonts w:ascii="Arial" w:eastAsia="Batang" w:hAnsi="Arial" w:cs="Arial"/>
          <w:sz w:val="18"/>
          <w:szCs w:val="18"/>
          <w:lang w:val="el-GR" w:eastAsia="en-US"/>
        </w:rPr>
      </w:pPr>
      <w:r w:rsidRPr="00CB38F0">
        <w:rPr>
          <w:rFonts w:ascii="Arial" w:hAnsi="Arial" w:cs="Arial"/>
          <w:b/>
          <w:sz w:val="18"/>
          <w:szCs w:val="18"/>
          <w:lang w:val="el-GR"/>
        </w:rPr>
        <w:t xml:space="preserve">Τα καθαρά κέρδη/(ζημιές) από </w:t>
      </w:r>
      <w:r w:rsidRPr="006A1797">
        <w:rPr>
          <w:rFonts w:ascii="Arial" w:hAnsi="Arial" w:cs="Arial"/>
          <w:b/>
          <w:color w:val="000000" w:themeColor="text1"/>
          <w:sz w:val="18"/>
          <w:szCs w:val="18"/>
          <w:lang w:val="el-GR"/>
        </w:rPr>
        <w:t xml:space="preserve">επανεκτίμηση και πώληση επενδύσεων σε ακίνητα και από πώληση αποθεμάτων ακινήτων </w:t>
      </w:r>
      <w:r w:rsidRPr="006A1797">
        <w:rPr>
          <w:rFonts w:ascii="Arial" w:hAnsi="Arial" w:cs="Arial"/>
          <w:bCs/>
          <w:color w:val="000000" w:themeColor="text1"/>
          <w:sz w:val="18"/>
          <w:szCs w:val="18"/>
          <w:lang w:val="el-GR"/>
        </w:rPr>
        <w:t xml:space="preserve">για το α’ εξάμηνο 2024 ανήλθαν σε </w:t>
      </w:r>
      <w:r w:rsidRPr="00C44847">
        <w:rPr>
          <w:rFonts w:ascii="Arial" w:eastAsia="Batang" w:hAnsi="Arial" w:cs="Arial"/>
          <w:color w:val="000000" w:themeColor="text1"/>
          <w:sz w:val="18"/>
          <w:szCs w:val="18"/>
          <w:lang w:val="el-GR" w:eastAsia="en-US"/>
        </w:rPr>
        <w:t>€</w:t>
      </w:r>
      <w:r w:rsidR="008B1868" w:rsidRPr="00C44847">
        <w:rPr>
          <w:rFonts w:ascii="Arial" w:eastAsia="Batang" w:hAnsi="Arial" w:cs="Arial"/>
          <w:color w:val="000000" w:themeColor="text1"/>
          <w:sz w:val="18"/>
          <w:szCs w:val="18"/>
          <w:lang w:val="el-GR" w:eastAsia="en-US"/>
        </w:rPr>
        <w:t>2</w:t>
      </w:r>
      <w:r w:rsidR="00C44847" w:rsidRPr="00C44847">
        <w:rPr>
          <w:rFonts w:ascii="Arial" w:eastAsia="Batang" w:hAnsi="Arial" w:cs="Arial"/>
          <w:color w:val="000000" w:themeColor="text1"/>
          <w:sz w:val="18"/>
          <w:szCs w:val="18"/>
          <w:lang w:val="el-GR" w:eastAsia="en-US"/>
        </w:rPr>
        <w:t xml:space="preserve"> </w:t>
      </w:r>
      <w:r w:rsidRPr="00C44847">
        <w:rPr>
          <w:rFonts w:ascii="Arial" w:eastAsia="Batang" w:hAnsi="Arial" w:cs="Arial"/>
          <w:color w:val="000000" w:themeColor="text1"/>
          <w:sz w:val="18"/>
          <w:szCs w:val="18"/>
          <w:lang w:val="el-GR" w:eastAsia="en-US"/>
        </w:rPr>
        <w:t>εκατ.</w:t>
      </w:r>
      <w:r w:rsidRPr="006A1797">
        <w:rPr>
          <w:rFonts w:ascii="Arial" w:hAnsi="Arial" w:cs="Arial"/>
          <w:bCs/>
          <w:color w:val="000000" w:themeColor="text1"/>
          <w:sz w:val="18"/>
          <w:szCs w:val="18"/>
          <w:lang w:val="el-GR"/>
        </w:rPr>
        <w:t xml:space="preserve"> (αποτελούμενα </w:t>
      </w:r>
      <w:r w:rsidRPr="006A1797">
        <w:rPr>
          <w:rFonts w:ascii="Arial" w:eastAsia="Batang" w:hAnsi="Arial" w:cs="Arial"/>
          <w:color w:val="000000" w:themeColor="text1"/>
          <w:sz w:val="18"/>
          <w:szCs w:val="18"/>
          <w:lang w:val="el-GR" w:eastAsia="en-US"/>
        </w:rPr>
        <w:t xml:space="preserve">από καθαρά κέρδη από πώληση αποθεμάτων ακινήτων και </w:t>
      </w:r>
      <w:r w:rsidRPr="006A1797">
        <w:rPr>
          <w:rFonts w:ascii="Arial" w:hAnsi="Arial" w:cs="Arial"/>
          <w:color w:val="000000" w:themeColor="text1"/>
          <w:sz w:val="18"/>
          <w:szCs w:val="18"/>
          <w:lang w:val="el-GR"/>
        </w:rPr>
        <w:t xml:space="preserve">επενδύσεων σε ακίνητα </w:t>
      </w:r>
      <w:r w:rsidRPr="006A1797">
        <w:rPr>
          <w:rFonts w:ascii="Arial" w:eastAsia="Batang" w:hAnsi="Arial" w:cs="Arial"/>
          <w:color w:val="000000" w:themeColor="text1"/>
          <w:sz w:val="18"/>
          <w:szCs w:val="18"/>
          <w:lang w:val="el-GR" w:eastAsia="en-US"/>
        </w:rPr>
        <w:t>ύψους περίπου €</w:t>
      </w:r>
      <w:r w:rsidR="008B1868" w:rsidRPr="006A1797">
        <w:rPr>
          <w:rFonts w:ascii="Arial" w:hAnsi="Arial" w:cs="Arial"/>
          <w:color w:val="000000" w:themeColor="text1"/>
          <w:sz w:val="18"/>
          <w:szCs w:val="20"/>
          <w:lang w:val="el-GR"/>
        </w:rPr>
        <w:t xml:space="preserve">3 </w:t>
      </w:r>
      <w:r w:rsidRPr="006A1797">
        <w:rPr>
          <w:rFonts w:ascii="Arial" w:eastAsia="Batang" w:hAnsi="Arial" w:cs="Arial"/>
          <w:color w:val="000000" w:themeColor="text1"/>
          <w:sz w:val="18"/>
          <w:szCs w:val="18"/>
          <w:lang w:val="el-GR" w:eastAsia="en-US"/>
        </w:rPr>
        <w:t xml:space="preserve">εκατ., και καθαρές ζημιές από επανεκτίμηση επενδύσεων σε ακίνητα ύψους </w:t>
      </w:r>
      <w:r w:rsidR="008B1868" w:rsidRPr="006A1797">
        <w:rPr>
          <w:rFonts w:ascii="Arial" w:eastAsia="Batang" w:hAnsi="Arial" w:cs="Arial"/>
          <w:color w:val="000000" w:themeColor="text1"/>
          <w:sz w:val="18"/>
          <w:szCs w:val="18"/>
          <w:lang w:val="el-GR" w:eastAsia="en-US"/>
        </w:rPr>
        <w:t xml:space="preserve">περίπου </w:t>
      </w:r>
      <w:r w:rsidRPr="006A1797">
        <w:rPr>
          <w:rFonts w:ascii="Arial" w:eastAsia="Batang" w:hAnsi="Arial" w:cs="Arial"/>
          <w:color w:val="000000" w:themeColor="text1"/>
          <w:sz w:val="18"/>
          <w:szCs w:val="18"/>
          <w:lang w:val="el-GR" w:eastAsia="en-US"/>
        </w:rPr>
        <w:t>€</w:t>
      </w:r>
      <w:r w:rsidR="008B1868" w:rsidRPr="006A1797">
        <w:rPr>
          <w:rFonts w:ascii="Arial" w:eastAsia="Batang" w:hAnsi="Arial" w:cs="Arial"/>
          <w:color w:val="000000" w:themeColor="text1"/>
          <w:sz w:val="18"/>
          <w:szCs w:val="18"/>
          <w:lang w:val="el-GR" w:eastAsia="en-US"/>
        </w:rPr>
        <w:t>1</w:t>
      </w:r>
      <w:r w:rsidRPr="006A1797">
        <w:rPr>
          <w:rFonts w:ascii="Arial" w:eastAsia="Batang" w:hAnsi="Arial" w:cs="Arial"/>
          <w:color w:val="000000" w:themeColor="text1"/>
          <w:sz w:val="18"/>
          <w:szCs w:val="18"/>
          <w:lang w:val="el-GR" w:eastAsia="en-US"/>
        </w:rPr>
        <w:t xml:space="preserve"> εκατ.), σε σύγκριση με €5 εκατ. για το α εξάμηνο 2023. Τα </w:t>
      </w:r>
      <w:r w:rsidRPr="00CB38F0">
        <w:rPr>
          <w:rFonts w:ascii="Arial" w:eastAsia="Batang" w:hAnsi="Arial" w:cs="Arial"/>
          <w:sz w:val="18"/>
          <w:szCs w:val="18"/>
          <w:lang w:val="el-GR" w:eastAsia="en-US"/>
        </w:rPr>
        <w:t>κέρδη ΔΔΑ δύναται να παρουσιάζουν διακυμάνσεις.</w:t>
      </w:r>
    </w:p>
    <w:p w14:paraId="05FCCBA8" w14:textId="77777777" w:rsidR="00AD0C15" w:rsidRPr="00CB38F0" w:rsidRDefault="00AD0C15" w:rsidP="00F26350">
      <w:pPr>
        <w:spacing w:after="0" w:line="240" w:lineRule="auto"/>
        <w:jc w:val="both"/>
        <w:rPr>
          <w:rFonts w:ascii="Arial" w:hAnsi="Arial" w:cs="Arial"/>
          <w:b/>
          <w:sz w:val="18"/>
          <w:szCs w:val="18"/>
          <w:highlight w:val="yellow"/>
          <w:lang w:val="el-GR"/>
        </w:rPr>
      </w:pPr>
    </w:p>
    <w:p w14:paraId="3A5D9DD7" w14:textId="45B7B410" w:rsidR="00352599" w:rsidRPr="00CB38F0" w:rsidRDefault="00352599" w:rsidP="00F26350">
      <w:pPr>
        <w:spacing w:after="0" w:line="240" w:lineRule="auto"/>
        <w:jc w:val="both"/>
        <w:rPr>
          <w:rFonts w:ascii="Arial" w:eastAsia="Batang" w:hAnsi="Arial" w:cs="Arial"/>
          <w:sz w:val="18"/>
          <w:szCs w:val="18"/>
          <w:lang w:val="el-GR" w:eastAsia="en-US"/>
        </w:rPr>
      </w:pPr>
      <w:r w:rsidRPr="00CB38F0">
        <w:rPr>
          <w:rFonts w:ascii="Arial" w:hAnsi="Arial" w:cs="Arial"/>
          <w:b/>
          <w:sz w:val="18"/>
          <w:szCs w:val="18"/>
          <w:lang w:val="el-GR"/>
        </w:rPr>
        <w:t xml:space="preserve">Τα καθαρά κέρδη/(ζημιές) από επανεκτίμηση και πώληση επενδύσεων σε </w:t>
      </w:r>
      <w:r w:rsidRPr="008B1868">
        <w:rPr>
          <w:rFonts w:ascii="Arial" w:hAnsi="Arial" w:cs="Arial"/>
          <w:b/>
          <w:sz w:val="18"/>
          <w:szCs w:val="18"/>
          <w:lang w:val="el-GR"/>
        </w:rPr>
        <w:t xml:space="preserve">ακίνητα και από πώληση αποθεμάτων ακινήτων </w:t>
      </w:r>
      <w:r w:rsidRPr="008B1868">
        <w:rPr>
          <w:rFonts w:ascii="Arial" w:hAnsi="Arial" w:cs="Arial"/>
          <w:bCs/>
          <w:sz w:val="18"/>
          <w:szCs w:val="18"/>
          <w:lang w:val="el-GR"/>
        </w:rPr>
        <w:t xml:space="preserve">για </w:t>
      </w:r>
      <w:r w:rsidR="00F469DB" w:rsidRPr="008B1868">
        <w:rPr>
          <w:rFonts w:ascii="Arial" w:hAnsi="Arial" w:cs="Arial"/>
          <w:bCs/>
          <w:sz w:val="18"/>
          <w:szCs w:val="18"/>
          <w:lang w:val="el-GR"/>
        </w:rPr>
        <w:t xml:space="preserve">το </w:t>
      </w:r>
      <w:r w:rsidR="00AD0C15" w:rsidRPr="008B1868">
        <w:rPr>
          <w:rFonts w:ascii="Arial" w:hAnsi="Arial" w:cs="Arial"/>
          <w:bCs/>
          <w:sz w:val="18"/>
          <w:szCs w:val="18"/>
          <w:lang w:val="el-GR"/>
        </w:rPr>
        <w:t xml:space="preserve">β’ </w:t>
      </w:r>
      <w:r w:rsidR="00812E58" w:rsidRPr="008B1868">
        <w:rPr>
          <w:rFonts w:ascii="Arial" w:hAnsi="Arial" w:cs="Arial"/>
          <w:bCs/>
          <w:sz w:val="18"/>
          <w:szCs w:val="18"/>
          <w:lang w:val="el-GR"/>
        </w:rPr>
        <w:t xml:space="preserve">τρίμηνο 2024 </w:t>
      </w:r>
      <w:r w:rsidRPr="008B1868">
        <w:rPr>
          <w:rFonts w:ascii="Arial" w:hAnsi="Arial" w:cs="Arial"/>
          <w:bCs/>
          <w:sz w:val="18"/>
          <w:szCs w:val="18"/>
          <w:lang w:val="el-GR"/>
        </w:rPr>
        <w:t>ανήλθαν σε €</w:t>
      </w:r>
      <w:r w:rsidR="008B1868" w:rsidRPr="006A1797">
        <w:rPr>
          <w:rFonts w:ascii="Arial" w:hAnsi="Arial" w:cs="Arial"/>
          <w:bCs/>
          <w:color w:val="000000" w:themeColor="text1"/>
          <w:sz w:val="18"/>
          <w:szCs w:val="18"/>
          <w:lang w:val="el-GR"/>
        </w:rPr>
        <w:t xml:space="preserve">1 </w:t>
      </w:r>
      <w:r w:rsidRPr="006A1797">
        <w:rPr>
          <w:rFonts w:ascii="Arial" w:hAnsi="Arial" w:cs="Arial"/>
          <w:bCs/>
          <w:color w:val="000000" w:themeColor="text1"/>
          <w:sz w:val="18"/>
          <w:szCs w:val="18"/>
          <w:lang w:val="el-GR"/>
        </w:rPr>
        <w:t>εκατ</w:t>
      </w:r>
      <w:r w:rsidRPr="008B1868">
        <w:rPr>
          <w:rFonts w:ascii="Arial" w:hAnsi="Arial" w:cs="Arial"/>
          <w:bCs/>
          <w:sz w:val="18"/>
          <w:szCs w:val="18"/>
          <w:lang w:val="el-GR"/>
        </w:rPr>
        <w:t>.</w:t>
      </w:r>
      <w:r w:rsidR="008B1868" w:rsidRPr="008B1868">
        <w:rPr>
          <w:rFonts w:ascii="Arial" w:hAnsi="Arial" w:cs="Arial"/>
          <w:bCs/>
          <w:sz w:val="18"/>
          <w:szCs w:val="18"/>
          <w:lang w:val="el-GR"/>
        </w:rPr>
        <w:t xml:space="preserve">, </w:t>
      </w:r>
      <w:r w:rsidR="00AD0C15" w:rsidRPr="006A1797">
        <w:rPr>
          <w:rFonts w:ascii="Arial" w:eastAsia="Batang" w:hAnsi="Arial" w:cs="Arial"/>
          <w:sz w:val="18"/>
          <w:szCs w:val="18"/>
          <w:lang w:val="el-GR" w:eastAsia="en-US"/>
        </w:rPr>
        <w:t>στα ίδια επίπεδα σε τριμηνιαία βάση</w:t>
      </w:r>
      <w:r w:rsidR="00AD0C15" w:rsidRPr="008B1868">
        <w:rPr>
          <w:rFonts w:ascii="Arial" w:eastAsia="Batang" w:hAnsi="Arial" w:cs="Arial"/>
          <w:sz w:val="18"/>
          <w:szCs w:val="18"/>
          <w:lang w:val="el-GR" w:eastAsia="en-US"/>
        </w:rPr>
        <w:t>.</w:t>
      </w:r>
    </w:p>
    <w:p w14:paraId="5819114A" w14:textId="77777777" w:rsidR="00F26350" w:rsidRPr="006B5511" w:rsidRDefault="00F26350" w:rsidP="00F26350">
      <w:pPr>
        <w:spacing w:after="0" w:line="240" w:lineRule="auto"/>
        <w:jc w:val="both"/>
        <w:rPr>
          <w:rFonts w:ascii="Arial" w:eastAsia="Batang" w:hAnsi="Arial" w:cs="Arial"/>
          <w:sz w:val="18"/>
          <w:szCs w:val="18"/>
          <w:highlight w:val="yellow"/>
          <w:lang w:val="el-GR" w:eastAsia="en-US"/>
        </w:rPr>
      </w:pPr>
    </w:p>
    <w:p w14:paraId="0AC78D64" w14:textId="5DCCEF23" w:rsidR="005C248D" w:rsidRDefault="00B71EE6" w:rsidP="00F26350">
      <w:pPr>
        <w:pStyle w:val="Default"/>
        <w:jc w:val="both"/>
        <w:rPr>
          <w:rFonts w:eastAsia="Batang"/>
          <w:color w:val="auto"/>
          <w:sz w:val="18"/>
          <w:szCs w:val="18"/>
          <w:highlight w:val="yellow"/>
          <w:lang w:val="el-GR" w:eastAsia="en-US"/>
        </w:rPr>
      </w:pPr>
      <w:r w:rsidRPr="00CB38F0">
        <w:rPr>
          <w:rFonts w:eastAsia="Batang"/>
          <w:b/>
          <w:bCs/>
          <w:color w:val="auto"/>
          <w:sz w:val="18"/>
          <w:szCs w:val="18"/>
          <w:lang w:val="el-GR" w:eastAsia="en-US"/>
        </w:rPr>
        <w:t>Τα συνολικά έσοδα</w:t>
      </w:r>
      <w:r w:rsidRPr="00CB38F0">
        <w:rPr>
          <w:rFonts w:eastAsia="Batang"/>
          <w:color w:val="auto"/>
          <w:sz w:val="18"/>
          <w:szCs w:val="18"/>
          <w:lang w:val="el-GR" w:eastAsia="en-US"/>
        </w:rPr>
        <w:t xml:space="preserve"> </w:t>
      </w:r>
      <w:r w:rsidR="005F4F31" w:rsidRPr="00CB38F0">
        <w:rPr>
          <w:rFonts w:eastAsia="Batang"/>
          <w:color w:val="auto"/>
          <w:sz w:val="18"/>
          <w:szCs w:val="18"/>
          <w:lang w:val="el-GR" w:eastAsia="en-US"/>
        </w:rPr>
        <w:t xml:space="preserve">για </w:t>
      </w:r>
      <w:r w:rsidR="00821384" w:rsidRPr="00CB38F0">
        <w:rPr>
          <w:rFonts w:eastAsia="Batang"/>
          <w:color w:val="auto"/>
          <w:sz w:val="18"/>
          <w:szCs w:val="18"/>
          <w:lang w:val="el-GR" w:eastAsia="en-US"/>
        </w:rPr>
        <w:t xml:space="preserve">το </w:t>
      </w:r>
      <w:r w:rsidR="005C248D" w:rsidRPr="00CB38F0">
        <w:rPr>
          <w:rFonts w:eastAsia="Batang"/>
          <w:color w:val="auto"/>
          <w:sz w:val="18"/>
          <w:szCs w:val="18"/>
          <w:lang w:val="el-GR" w:eastAsia="en-US"/>
        </w:rPr>
        <w:t xml:space="preserve">α’ εξάμηνο 2024 </w:t>
      </w:r>
      <w:r w:rsidRPr="00CB38F0">
        <w:rPr>
          <w:rFonts w:eastAsia="Batang"/>
          <w:color w:val="auto"/>
          <w:sz w:val="18"/>
          <w:szCs w:val="18"/>
          <w:lang w:val="el-GR" w:eastAsia="en-US"/>
        </w:rPr>
        <w:t>ανήλθαν σε €</w:t>
      </w:r>
      <w:r w:rsidR="008B1868" w:rsidRPr="006A1797">
        <w:rPr>
          <w:rFonts w:eastAsia="Times New Roman"/>
          <w:color w:val="auto"/>
          <w:sz w:val="18"/>
          <w:szCs w:val="20"/>
          <w:lang w:val="el-GR" w:eastAsia="el-GR"/>
        </w:rPr>
        <w:t>549</w:t>
      </w:r>
      <w:r w:rsidR="008B1868">
        <w:rPr>
          <w:rFonts w:eastAsia="Times New Roman"/>
          <w:color w:val="auto"/>
          <w:sz w:val="18"/>
          <w:szCs w:val="20"/>
          <w:lang w:val="el-GR" w:eastAsia="el-GR"/>
        </w:rPr>
        <w:t xml:space="preserve"> </w:t>
      </w:r>
      <w:r w:rsidRPr="00CB38F0">
        <w:rPr>
          <w:rFonts w:eastAsia="Batang"/>
          <w:color w:val="auto"/>
          <w:sz w:val="18"/>
          <w:szCs w:val="18"/>
          <w:lang w:val="el-GR" w:eastAsia="en-US"/>
        </w:rPr>
        <w:t>εκατ.</w:t>
      </w:r>
      <w:r w:rsidR="000645C3" w:rsidRPr="00CB38F0">
        <w:rPr>
          <w:rFonts w:eastAsia="Batang"/>
          <w:color w:val="auto"/>
          <w:sz w:val="18"/>
          <w:szCs w:val="18"/>
          <w:lang w:val="el-GR" w:eastAsia="en-US"/>
        </w:rPr>
        <w:t xml:space="preserve"> (</w:t>
      </w:r>
      <w:r w:rsidRPr="00CB38F0">
        <w:rPr>
          <w:rFonts w:eastAsia="Batang"/>
          <w:color w:val="auto"/>
          <w:sz w:val="18"/>
          <w:szCs w:val="18"/>
          <w:lang w:val="el-GR" w:eastAsia="en-US"/>
        </w:rPr>
        <w:t>σε σύγκριση με €</w:t>
      </w:r>
      <w:r w:rsidR="005C248D" w:rsidRPr="00CB38F0">
        <w:rPr>
          <w:rFonts w:eastAsia="Batang"/>
          <w:color w:val="auto"/>
          <w:sz w:val="18"/>
          <w:szCs w:val="18"/>
          <w:lang w:val="el-GR" w:eastAsia="en-US"/>
        </w:rPr>
        <w:t xml:space="preserve">511 </w:t>
      </w:r>
      <w:r w:rsidRPr="00CB38F0">
        <w:rPr>
          <w:rFonts w:eastAsia="Batang"/>
          <w:color w:val="auto"/>
          <w:sz w:val="18"/>
          <w:szCs w:val="18"/>
          <w:lang w:val="el-GR" w:eastAsia="en-US"/>
        </w:rPr>
        <w:t xml:space="preserve">εκατ. </w:t>
      </w:r>
      <w:r w:rsidR="00961B91" w:rsidRPr="00CB38F0">
        <w:rPr>
          <w:rFonts w:eastAsia="Batang"/>
          <w:color w:val="auto"/>
          <w:sz w:val="18"/>
          <w:szCs w:val="18"/>
          <w:lang w:val="el-GR" w:eastAsia="en-US"/>
        </w:rPr>
        <w:t xml:space="preserve">για </w:t>
      </w:r>
      <w:r w:rsidR="005C248D" w:rsidRPr="00CB38F0">
        <w:rPr>
          <w:rFonts w:eastAsia="Batang"/>
          <w:color w:val="auto"/>
          <w:sz w:val="18"/>
          <w:szCs w:val="18"/>
          <w:lang w:val="el-GR" w:eastAsia="en-US"/>
        </w:rPr>
        <w:t xml:space="preserve">α’ εξάμηνο </w:t>
      </w:r>
      <w:r w:rsidR="00812E58" w:rsidRPr="00CB38F0">
        <w:rPr>
          <w:rFonts w:eastAsia="Batang"/>
          <w:color w:val="auto"/>
          <w:sz w:val="18"/>
          <w:szCs w:val="18"/>
          <w:lang w:val="el-GR" w:eastAsia="en-US"/>
        </w:rPr>
        <w:t xml:space="preserve">2023, </w:t>
      </w:r>
      <w:r w:rsidR="005C248D" w:rsidRPr="00CB38F0">
        <w:rPr>
          <w:rFonts w:eastAsia="Batang"/>
          <w:color w:val="auto"/>
          <w:sz w:val="18"/>
          <w:szCs w:val="18"/>
          <w:lang w:val="el-GR" w:eastAsia="en-US"/>
        </w:rPr>
        <w:t xml:space="preserve">αυξημένα </w:t>
      </w:r>
      <w:r w:rsidR="00812E58" w:rsidRPr="00CB38F0">
        <w:rPr>
          <w:rFonts w:eastAsia="Batang"/>
          <w:color w:val="auto"/>
          <w:sz w:val="18"/>
          <w:szCs w:val="18"/>
          <w:lang w:val="el-GR" w:eastAsia="en-US"/>
        </w:rPr>
        <w:t xml:space="preserve">κατά </w:t>
      </w:r>
      <w:r w:rsidR="008B1868" w:rsidRPr="006A1797">
        <w:rPr>
          <w:rFonts w:eastAsia="Times New Roman"/>
          <w:color w:val="auto"/>
          <w:sz w:val="18"/>
          <w:szCs w:val="20"/>
          <w:lang w:val="el-GR" w:eastAsia="el-GR"/>
        </w:rPr>
        <w:t>7</w:t>
      </w:r>
      <w:r w:rsidR="00812E58" w:rsidRPr="00CB38F0">
        <w:rPr>
          <w:rFonts w:eastAsia="Batang"/>
          <w:color w:val="auto"/>
          <w:sz w:val="18"/>
          <w:szCs w:val="18"/>
          <w:lang w:val="el-GR" w:eastAsia="en-US"/>
        </w:rPr>
        <w:t xml:space="preserve">% σε </w:t>
      </w:r>
      <w:r w:rsidR="005C248D" w:rsidRPr="00CB38F0">
        <w:rPr>
          <w:rFonts w:eastAsia="Batang"/>
          <w:color w:val="auto"/>
          <w:sz w:val="18"/>
          <w:szCs w:val="18"/>
          <w:lang w:val="el-GR" w:eastAsia="en-US"/>
        </w:rPr>
        <w:t xml:space="preserve">ετήσια </w:t>
      </w:r>
      <w:r w:rsidR="00812E58" w:rsidRPr="00CB38F0">
        <w:rPr>
          <w:rFonts w:eastAsia="Batang"/>
          <w:color w:val="auto"/>
          <w:sz w:val="18"/>
          <w:szCs w:val="18"/>
          <w:lang w:val="el-GR" w:eastAsia="en-US"/>
        </w:rPr>
        <w:t>βάση), λ</w:t>
      </w:r>
      <w:r w:rsidRPr="00CB38F0">
        <w:rPr>
          <w:rFonts w:eastAsia="Batang"/>
          <w:color w:val="auto"/>
          <w:sz w:val="18"/>
          <w:szCs w:val="18"/>
          <w:lang w:val="el-GR" w:eastAsia="en-US"/>
        </w:rPr>
        <w:t xml:space="preserve">όγω </w:t>
      </w:r>
      <w:r w:rsidR="00B7134D" w:rsidRPr="00CB38F0">
        <w:rPr>
          <w:rFonts w:eastAsia="Batang"/>
          <w:color w:val="auto"/>
          <w:sz w:val="18"/>
          <w:szCs w:val="18"/>
          <w:lang w:val="el-GR" w:eastAsia="en-US"/>
        </w:rPr>
        <w:t>της</w:t>
      </w:r>
      <w:r w:rsidR="000539D2" w:rsidRPr="00CB38F0">
        <w:rPr>
          <w:rFonts w:eastAsia="Batang"/>
          <w:color w:val="auto"/>
          <w:sz w:val="18"/>
          <w:szCs w:val="18"/>
          <w:lang w:val="el-GR" w:eastAsia="en-US"/>
        </w:rPr>
        <w:t xml:space="preserve"> </w:t>
      </w:r>
      <w:r w:rsidR="005C248D" w:rsidRPr="00CB38F0">
        <w:rPr>
          <w:rFonts w:eastAsia="Batang"/>
          <w:color w:val="auto"/>
          <w:sz w:val="18"/>
          <w:szCs w:val="18"/>
          <w:lang w:val="el-GR" w:eastAsia="en-US"/>
        </w:rPr>
        <w:t xml:space="preserve">αύξησης </w:t>
      </w:r>
      <w:r w:rsidR="00812E58" w:rsidRPr="00CB38F0">
        <w:rPr>
          <w:rFonts w:eastAsia="Batang"/>
          <w:color w:val="auto"/>
          <w:sz w:val="18"/>
          <w:szCs w:val="18"/>
          <w:lang w:val="el-GR" w:eastAsia="en-US"/>
        </w:rPr>
        <w:t>στα</w:t>
      </w:r>
      <w:r w:rsidRPr="00CB38F0">
        <w:rPr>
          <w:rFonts w:eastAsia="Batang"/>
          <w:color w:val="auto"/>
          <w:sz w:val="18"/>
          <w:szCs w:val="18"/>
          <w:lang w:val="el-GR" w:eastAsia="en-US"/>
        </w:rPr>
        <w:t xml:space="preserve"> </w:t>
      </w:r>
      <w:r w:rsidR="00D57F6E" w:rsidRPr="00CB38F0">
        <w:rPr>
          <w:rFonts w:eastAsia="Batang"/>
          <w:color w:val="auto"/>
          <w:sz w:val="18"/>
          <w:szCs w:val="18"/>
          <w:lang w:val="el-GR" w:eastAsia="en-US"/>
        </w:rPr>
        <w:t xml:space="preserve">καθαρά </w:t>
      </w:r>
      <w:r w:rsidRPr="00CB38F0">
        <w:rPr>
          <w:rFonts w:eastAsia="Batang"/>
          <w:color w:val="auto"/>
          <w:sz w:val="18"/>
          <w:szCs w:val="18"/>
          <w:lang w:val="el-GR" w:eastAsia="en-US"/>
        </w:rPr>
        <w:t xml:space="preserve"> έσοδα</w:t>
      </w:r>
      <w:r w:rsidR="00D57F6E" w:rsidRPr="00CB38F0">
        <w:rPr>
          <w:rFonts w:eastAsia="Batang"/>
          <w:color w:val="auto"/>
          <w:sz w:val="18"/>
          <w:szCs w:val="18"/>
          <w:lang w:val="el-GR" w:eastAsia="en-US"/>
        </w:rPr>
        <w:t xml:space="preserve"> από τόκους</w:t>
      </w:r>
      <w:r w:rsidR="005C248D" w:rsidRPr="00CB38F0">
        <w:rPr>
          <w:rFonts w:eastAsia="Batang"/>
          <w:color w:val="auto"/>
          <w:sz w:val="18"/>
          <w:szCs w:val="18"/>
          <w:lang w:val="el-GR" w:eastAsia="en-US"/>
        </w:rPr>
        <w:t xml:space="preserve"> </w:t>
      </w:r>
      <w:r w:rsidRPr="00CB38F0">
        <w:rPr>
          <w:rFonts w:eastAsia="Batang"/>
          <w:color w:val="auto"/>
          <w:sz w:val="18"/>
          <w:szCs w:val="18"/>
          <w:lang w:val="el-GR" w:eastAsia="en-US"/>
        </w:rPr>
        <w:t>όπως επεξηγείται πιο πάνω.</w:t>
      </w:r>
      <w:r w:rsidR="005C248D" w:rsidRPr="005C248D">
        <w:rPr>
          <w:rFonts w:eastAsia="Batang"/>
          <w:color w:val="auto"/>
          <w:sz w:val="18"/>
          <w:szCs w:val="18"/>
          <w:lang w:val="el-GR" w:eastAsia="en-US"/>
        </w:rPr>
        <w:t xml:space="preserve"> </w:t>
      </w:r>
      <w:r w:rsidR="00812E58" w:rsidRPr="00CB38F0">
        <w:rPr>
          <w:rFonts w:eastAsia="Batang"/>
          <w:color w:val="auto"/>
          <w:sz w:val="18"/>
          <w:szCs w:val="18"/>
          <w:lang w:val="el-GR" w:eastAsia="en-US"/>
        </w:rPr>
        <w:t xml:space="preserve">Τα συνολικά έσοδα </w:t>
      </w:r>
      <w:r w:rsidR="005C248D" w:rsidRPr="00CB38F0">
        <w:rPr>
          <w:rFonts w:eastAsia="Batang"/>
          <w:color w:val="auto"/>
          <w:sz w:val="18"/>
          <w:szCs w:val="18"/>
          <w:lang w:val="el-GR" w:eastAsia="en-US"/>
        </w:rPr>
        <w:t>για το β’ τρίμηνο 2024 ανήλθαν σε €</w:t>
      </w:r>
      <w:r w:rsidR="008B1868" w:rsidRPr="006A1797">
        <w:rPr>
          <w:rFonts w:eastAsia="Times New Roman"/>
          <w:color w:val="auto"/>
          <w:sz w:val="18"/>
          <w:szCs w:val="20"/>
          <w:lang w:val="el-GR" w:eastAsia="el-GR"/>
        </w:rPr>
        <w:t>273</w:t>
      </w:r>
      <w:r w:rsidR="008B1868">
        <w:rPr>
          <w:rFonts w:eastAsia="Times New Roman"/>
          <w:color w:val="auto"/>
          <w:sz w:val="18"/>
          <w:szCs w:val="20"/>
          <w:lang w:val="el-GR" w:eastAsia="el-GR"/>
        </w:rPr>
        <w:t xml:space="preserve"> </w:t>
      </w:r>
      <w:r w:rsidR="005C248D" w:rsidRPr="00CB38F0">
        <w:rPr>
          <w:rFonts w:eastAsia="Batang"/>
          <w:color w:val="auto"/>
          <w:sz w:val="18"/>
          <w:szCs w:val="18"/>
          <w:lang w:val="el-GR" w:eastAsia="en-US"/>
        </w:rPr>
        <w:t xml:space="preserve">εκατ., σε σύγκριση με €276 εκατ. για το α’ τρίμηνο 2024. </w:t>
      </w:r>
    </w:p>
    <w:p w14:paraId="2634A4C9" w14:textId="77777777" w:rsidR="005C248D" w:rsidRDefault="005C248D" w:rsidP="00F26350">
      <w:pPr>
        <w:pStyle w:val="Default"/>
        <w:jc w:val="both"/>
        <w:rPr>
          <w:rFonts w:eastAsia="Batang"/>
          <w:color w:val="auto"/>
          <w:sz w:val="18"/>
          <w:szCs w:val="18"/>
          <w:highlight w:val="yellow"/>
          <w:lang w:val="el-GR" w:eastAsia="en-US"/>
        </w:rPr>
      </w:pPr>
    </w:p>
    <w:p w14:paraId="27181B07" w14:textId="2B9C9D72" w:rsidR="00F808E7" w:rsidRPr="00CF1753" w:rsidRDefault="00F808E7" w:rsidP="004953BA">
      <w:pPr>
        <w:spacing w:after="0" w:line="240" w:lineRule="auto"/>
        <w:rPr>
          <w:rFonts w:ascii="Arial" w:eastAsia="Batang" w:hAnsi="Arial" w:cs="Arial"/>
          <w:sz w:val="18"/>
          <w:szCs w:val="18"/>
          <w:highlight w:val="yellow"/>
          <w:lang w:val="el-GR" w:eastAsia="en-US"/>
        </w:rPr>
      </w:pPr>
    </w:p>
    <w:p w14:paraId="5E439728" w14:textId="77777777" w:rsidR="00C44847" w:rsidRPr="00CF1753" w:rsidRDefault="00C44847" w:rsidP="004953BA">
      <w:pPr>
        <w:spacing w:after="0" w:line="240" w:lineRule="auto"/>
        <w:rPr>
          <w:rFonts w:ascii="Arial" w:eastAsia="Batang" w:hAnsi="Arial" w:cs="Arial"/>
          <w:sz w:val="18"/>
          <w:szCs w:val="18"/>
          <w:highlight w:val="yellow"/>
          <w:lang w:val="el-GR" w:eastAsia="en-US"/>
        </w:rPr>
      </w:pPr>
    </w:p>
    <w:p w14:paraId="38CBF017" w14:textId="77777777" w:rsidR="00E06043" w:rsidRDefault="00E06043" w:rsidP="004953BA">
      <w:pPr>
        <w:spacing w:after="0" w:line="240" w:lineRule="auto"/>
        <w:rPr>
          <w:rFonts w:ascii="Arial" w:eastAsia="Batang" w:hAnsi="Arial" w:cs="Arial"/>
          <w:sz w:val="18"/>
          <w:szCs w:val="18"/>
          <w:highlight w:val="yellow"/>
          <w:lang w:val="el-GR" w:eastAsia="en-US"/>
        </w:rPr>
      </w:pPr>
    </w:p>
    <w:p w14:paraId="10F999F9" w14:textId="77777777" w:rsidR="00E06043" w:rsidRPr="006B5511" w:rsidRDefault="00E06043" w:rsidP="004953BA">
      <w:pPr>
        <w:spacing w:after="0" w:line="240" w:lineRule="auto"/>
        <w:rPr>
          <w:rFonts w:ascii="Arial" w:eastAsia="Batang" w:hAnsi="Arial" w:cs="Arial"/>
          <w:sz w:val="18"/>
          <w:szCs w:val="18"/>
          <w:highlight w:val="yellow"/>
          <w:lang w:val="el-GR" w:eastAsia="en-US"/>
        </w:rPr>
      </w:pPr>
    </w:p>
    <w:p w14:paraId="3250E12D" w14:textId="0EE7A14D" w:rsidR="002A4C13" w:rsidRPr="006B5511" w:rsidRDefault="002A4C13" w:rsidP="004953BA">
      <w:pPr>
        <w:spacing w:after="0" w:line="240" w:lineRule="auto"/>
        <w:rPr>
          <w:rFonts w:ascii="Arial" w:hAnsi="Arial" w:cs="Arial"/>
          <w:bCs/>
          <w:sz w:val="18"/>
          <w:szCs w:val="18"/>
          <w:highlight w:val="yellow"/>
          <w:lang w:val="el-GR"/>
        </w:rPr>
      </w:pPr>
    </w:p>
    <w:p w14:paraId="0D9B7FCC" w14:textId="63ECF505" w:rsidR="002A4C13" w:rsidRPr="00CB38F0" w:rsidRDefault="005C248D" w:rsidP="00653EE4">
      <w:pPr>
        <w:spacing w:after="0" w:line="240" w:lineRule="auto"/>
        <w:rPr>
          <w:rFonts w:ascii="Arial" w:hAnsi="Arial" w:cs="Arial"/>
          <w:b/>
          <w:bCs/>
          <w:color w:val="FF9900"/>
          <w:sz w:val="24"/>
          <w:szCs w:val="24"/>
          <w:lang w:val="el-GR"/>
        </w:rPr>
      </w:pPr>
      <w:r w:rsidRPr="00CB38F0">
        <w:rPr>
          <w:rFonts w:ascii="Arial" w:hAnsi="Arial" w:cs="Arial"/>
          <w:b/>
          <w:bCs/>
          <w:color w:val="FF9900"/>
          <w:sz w:val="24"/>
          <w:szCs w:val="24"/>
          <w:lang w:val="el-GR"/>
        </w:rPr>
        <w:lastRenderedPageBreak/>
        <w:t>Β</w:t>
      </w:r>
      <w:r w:rsidR="002A4C13" w:rsidRPr="00CB38F0">
        <w:rPr>
          <w:rFonts w:ascii="Arial" w:hAnsi="Arial" w:cs="Arial"/>
          <w:b/>
          <w:bCs/>
          <w:color w:val="FF9900"/>
          <w:sz w:val="24"/>
          <w:szCs w:val="24"/>
          <w:lang w:val="el-GR"/>
        </w:rPr>
        <w:t xml:space="preserve">.  Οικονομικά Αποτελέσματα Συγκροτήματος – Υποκείμενη Βάση </w:t>
      </w:r>
      <w:r w:rsidR="002A4C13" w:rsidRPr="00CB38F0">
        <w:rPr>
          <w:rFonts w:ascii="Arial" w:hAnsi="Arial" w:cs="Arial"/>
          <w:color w:val="FF9900"/>
          <w:sz w:val="24"/>
          <w:szCs w:val="24"/>
          <w:lang w:val="el-GR"/>
        </w:rPr>
        <w:t>(συνέχεια)</w:t>
      </w:r>
      <w:r w:rsidR="002A4C13" w:rsidRPr="00CB38F0">
        <w:rPr>
          <w:rFonts w:ascii="Arial" w:hAnsi="Arial" w:cs="Arial"/>
          <w:b/>
          <w:bCs/>
          <w:color w:val="FF9900"/>
          <w:sz w:val="24"/>
          <w:szCs w:val="24"/>
          <w:lang w:val="el-GR"/>
        </w:rPr>
        <w:t xml:space="preserve"> </w:t>
      </w:r>
    </w:p>
    <w:p w14:paraId="46A87E6F" w14:textId="5502F682" w:rsidR="00653EE4" w:rsidRPr="00CB38F0" w:rsidRDefault="00653EE4" w:rsidP="00653EE4">
      <w:pPr>
        <w:spacing w:after="0" w:line="240" w:lineRule="auto"/>
        <w:rPr>
          <w:rFonts w:ascii="Arial" w:hAnsi="Arial" w:cs="Arial"/>
          <w:b/>
          <w:bCs/>
          <w:color w:val="FF9900"/>
          <w:sz w:val="20"/>
          <w:szCs w:val="20"/>
          <w:lang w:val="el-GR"/>
        </w:rPr>
      </w:pPr>
    </w:p>
    <w:p w14:paraId="3F9670E3" w14:textId="00A0A7C0" w:rsidR="002A4C13" w:rsidRPr="00CB38F0" w:rsidRDefault="005C248D" w:rsidP="00DB30A6">
      <w:pPr>
        <w:spacing w:after="0" w:line="360" w:lineRule="auto"/>
        <w:ind w:left="851" w:hanging="851"/>
        <w:rPr>
          <w:rFonts w:ascii="Arial" w:hAnsi="Arial" w:cs="Arial"/>
          <w:b/>
          <w:bCs/>
          <w:color w:val="FF9900"/>
          <w:sz w:val="23"/>
          <w:szCs w:val="23"/>
          <w:lang w:val="el-GR"/>
        </w:rPr>
      </w:pPr>
      <w:r w:rsidRPr="00CB38F0">
        <w:rPr>
          <w:rFonts w:ascii="Arial" w:hAnsi="Arial" w:cs="Arial"/>
          <w:b/>
          <w:bCs/>
          <w:color w:val="FF9900"/>
          <w:sz w:val="23"/>
          <w:szCs w:val="23"/>
          <w:lang w:val="el-GR"/>
        </w:rPr>
        <w:t>Β</w:t>
      </w:r>
      <w:r w:rsidR="002A4C13" w:rsidRPr="00CB38F0">
        <w:rPr>
          <w:rFonts w:ascii="Arial" w:hAnsi="Arial" w:cs="Arial"/>
          <w:b/>
          <w:bCs/>
          <w:color w:val="FF9900"/>
          <w:sz w:val="23"/>
          <w:szCs w:val="23"/>
          <w:lang w:val="el-GR"/>
        </w:rPr>
        <w:t>.</w:t>
      </w:r>
      <w:r w:rsidR="004369F4" w:rsidRPr="00CB38F0">
        <w:rPr>
          <w:rFonts w:ascii="Arial" w:hAnsi="Arial" w:cs="Arial"/>
          <w:b/>
          <w:bCs/>
          <w:color w:val="FF9900"/>
          <w:sz w:val="23"/>
          <w:szCs w:val="23"/>
          <w:lang w:val="el-GR"/>
        </w:rPr>
        <w:t>3</w:t>
      </w:r>
      <w:r w:rsidR="002A4C13" w:rsidRPr="00CB38F0">
        <w:rPr>
          <w:rFonts w:ascii="Arial" w:hAnsi="Arial" w:cs="Arial"/>
          <w:b/>
          <w:bCs/>
          <w:color w:val="FF9900"/>
          <w:sz w:val="23"/>
          <w:szCs w:val="23"/>
          <w:lang w:val="el-GR"/>
        </w:rPr>
        <w:t xml:space="preserve">. Ανάλυση Κατάστασης Λογαριασμού Αποτελεσμάτων </w:t>
      </w:r>
      <w:r w:rsidR="002A4C13" w:rsidRPr="00CB38F0">
        <w:rPr>
          <w:rFonts w:ascii="Arial" w:hAnsi="Arial" w:cs="Arial"/>
          <w:color w:val="FF9900"/>
          <w:sz w:val="24"/>
          <w:szCs w:val="24"/>
          <w:lang w:val="el-GR"/>
        </w:rPr>
        <w:t>(συνέχεια)</w:t>
      </w:r>
    </w:p>
    <w:p w14:paraId="027A3E0C" w14:textId="2E5028F3" w:rsidR="0078727B" w:rsidRPr="00CB38F0" w:rsidRDefault="005C248D" w:rsidP="004953BA">
      <w:pPr>
        <w:spacing w:after="0" w:line="240" w:lineRule="auto"/>
        <w:ind w:left="851" w:hanging="851"/>
        <w:rPr>
          <w:rFonts w:ascii="Arial" w:hAnsi="Arial" w:cs="Arial"/>
          <w:b/>
          <w:bCs/>
          <w:color w:val="FF9900"/>
          <w:lang w:val="el-GR"/>
        </w:rPr>
      </w:pPr>
      <w:r w:rsidRPr="00CB38F0">
        <w:rPr>
          <w:rFonts w:ascii="Arial" w:hAnsi="Arial" w:cs="Arial"/>
          <w:b/>
          <w:bCs/>
          <w:color w:val="FF9900"/>
          <w:lang w:val="el-GR"/>
        </w:rPr>
        <w:t>Β</w:t>
      </w:r>
      <w:r w:rsidR="00662EEA" w:rsidRPr="00CB38F0">
        <w:rPr>
          <w:rFonts w:ascii="Arial" w:hAnsi="Arial" w:cs="Arial"/>
          <w:b/>
          <w:bCs/>
          <w:color w:val="FF9900"/>
          <w:lang w:val="el-GR"/>
        </w:rPr>
        <w:t>.</w:t>
      </w:r>
      <w:r w:rsidR="004369F4" w:rsidRPr="00CB38F0">
        <w:rPr>
          <w:rFonts w:ascii="Arial" w:hAnsi="Arial" w:cs="Arial"/>
          <w:b/>
          <w:bCs/>
          <w:color w:val="FF9900"/>
          <w:lang w:val="el-GR"/>
        </w:rPr>
        <w:t>3</w:t>
      </w:r>
      <w:r w:rsidR="008043E9" w:rsidRPr="00CB38F0">
        <w:rPr>
          <w:rFonts w:ascii="Arial" w:hAnsi="Arial" w:cs="Arial"/>
          <w:b/>
          <w:bCs/>
          <w:color w:val="FF9900"/>
          <w:lang w:val="el-GR"/>
        </w:rPr>
        <w:t>.2</w:t>
      </w:r>
      <w:r w:rsidR="0078727B" w:rsidRPr="00CB38F0">
        <w:rPr>
          <w:rFonts w:ascii="Arial" w:hAnsi="Arial" w:cs="Arial"/>
          <w:b/>
          <w:bCs/>
          <w:color w:val="FF9900"/>
          <w:lang w:val="el-GR"/>
        </w:rPr>
        <w:t xml:space="preserve"> </w:t>
      </w:r>
      <w:r w:rsidR="003A3FF0" w:rsidRPr="00CB38F0">
        <w:rPr>
          <w:rFonts w:ascii="Arial" w:hAnsi="Arial" w:cs="Arial"/>
          <w:b/>
          <w:bCs/>
          <w:color w:val="FF9900"/>
          <w:lang w:val="el-GR"/>
        </w:rPr>
        <w:tab/>
      </w:r>
      <w:r w:rsidR="0078727B" w:rsidRPr="00CB38F0">
        <w:rPr>
          <w:rFonts w:ascii="Arial" w:hAnsi="Arial" w:cs="Arial"/>
          <w:b/>
          <w:bCs/>
          <w:color w:val="FF9900"/>
          <w:lang w:val="el-GR"/>
        </w:rPr>
        <w:t>Συνολικά Έξοδα</w:t>
      </w:r>
    </w:p>
    <w:tbl>
      <w:tblPr>
        <w:tblpPr w:leftFromText="180" w:rightFromText="180" w:vertAnchor="text" w:horzAnchor="margin" w:tblpXSpec="center" w:tblpY="384"/>
        <w:tblW w:w="10972" w:type="dxa"/>
        <w:tblLayout w:type="fixed"/>
        <w:tblCellMar>
          <w:left w:w="40" w:type="dxa"/>
          <w:right w:w="40" w:type="dxa"/>
        </w:tblCellMar>
        <w:tblLook w:val="0000" w:firstRow="0" w:lastRow="0" w:firstColumn="0" w:lastColumn="0" w:noHBand="0" w:noVBand="0"/>
      </w:tblPr>
      <w:tblGrid>
        <w:gridCol w:w="4848"/>
        <w:gridCol w:w="1137"/>
        <w:gridCol w:w="1101"/>
        <w:gridCol w:w="36"/>
        <w:gridCol w:w="939"/>
        <w:gridCol w:w="17"/>
        <w:gridCol w:w="794"/>
        <w:gridCol w:w="57"/>
        <w:gridCol w:w="937"/>
        <w:gridCol w:w="55"/>
        <w:gridCol w:w="992"/>
        <w:gridCol w:w="59"/>
      </w:tblGrid>
      <w:tr w:rsidR="00D115A5" w:rsidRPr="005C248D" w14:paraId="7A873395" w14:textId="77777777" w:rsidTr="00CB38F0">
        <w:trPr>
          <w:trHeight w:val="333"/>
        </w:trPr>
        <w:tc>
          <w:tcPr>
            <w:tcW w:w="4848"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77C7514F" w14:textId="40D7D712" w:rsidR="00D115A5" w:rsidRPr="00CB38F0" w:rsidRDefault="00D115A5" w:rsidP="00D115A5">
            <w:pPr>
              <w:tabs>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b/>
                <w:bCs/>
                <w:sz w:val="18"/>
                <w:szCs w:val="18"/>
                <w:lang w:eastAsia="el-GR"/>
              </w:rPr>
            </w:pPr>
            <w:r w:rsidRPr="00CB38F0">
              <w:rPr>
                <w:rFonts w:ascii="Arial" w:hAnsi="Arial" w:cs="Arial"/>
                <w:b/>
                <w:bCs/>
                <w:sz w:val="18"/>
                <w:szCs w:val="18"/>
              </w:rPr>
              <w:t>€ εκατ.</w:t>
            </w:r>
          </w:p>
        </w:tc>
        <w:tc>
          <w:tcPr>
            <w:tcW w:w="1137" w:type="dxa"/>
            <w:tcBorders>
              <w:top w:val="single" w:sz="4" w:space="0" w:color="808080" w:themeColor="background1" w:themeShade="80"/>
              <w:bottom w:val="single" w:sz="4" w:space="0" w:color="808080" w:themeColor="background1" w:themeShade="80"/>
            </w:tcBorders>
            <w:vAlign w:val="center"/>
          </w:tcPr>
          <w:p w14:paraId="1F337D50" w14:textId="77777777" w:rsidR="00D115A5" w:rsidRPr="00A30D62" w:rsidRDefault="00D115A5" w:rsidP="00D115A5">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lang w:val="el-GR" w:eastAsia="el-GR"/>
              </w:rPr>
            </w:pPr>
            <w:r w:rsidRPr="00A30D62">
              <w:rPr>
                <w:rFonts w:ascii="Arial" w:eastAsia="Times New Roman" w:hAnsi="Arial" w:cs="Arial"/>
                <w:b/>
                <w:bCs/>
                <w:sz w:val="18"/>
                <w:szCs w:val="18"/>
                <w:lang w:val="el-GR" w:eastAsia="el-GR"/>
              </w:rPr>
              <w:t>Α’</w:t>
            </w:r>
          </w:p>
          <w:p w14:paraId="675FDE03" w14:textId="155B1B90" w:rsidR="00D115A5" w:rsidRPr="00D115A5" w:rsidRDefault="00D115A5" w:rsidP="00D115A5">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lang w:val="el-GR" w:eastAsia="el-GR"/>
              </w:rPr>
            </w:pPr>
            <w:r w:rsidRPr="00A30D62">
              <w:rPr>
                <w:rFonts w:ascii="Arial" w:eastAsia="Times New Roman" w:hAnsi="Arial" w:cs="Arial"/>
                <w:b/>
                <w:bCs/>
                <w:sz w:val="18"/>
                <w:szCs w:val="18"/>
                <w:lang w:val="el-GR" w:eastAsia="el-GR"/>
              </w:rPr>
              <w:t>εξάμηνο 2024</w:t>
            </w:r>
          </w:p>
        </w:tc>
        <w:tc>
          <w:tcPr>
            <w:tcW w:w="1137" w:type="dxa"/>
            <w:gridSpan w:val="2"/>
            <w:tcBorders>
              <w:top w:val="single" w:sz="4" w:space="0" w:color="808080" w:themeColor="background1" w:themeShade="80"/>
              <w:bottom w:val="single" w:sz="4" w:space="0" w:color="808080" w:themeColor="background1" w:themeShade="80"/>
            </w:tcBorders>
            <w:vAlign w:val="center"/>
          </w:tcPr>
          <w:p w14:paraId="1209003D" w14:textId="77777777" w:rsidR="00D115A5" w:rsidRPr="00A30D62" w:rsidRDefault="00D115A5" w:rsidP="00D115A5">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lang w:val="el-GR" w:eastAsia="el-GR"/>
              </w:rPr>
            </w:pPr>
            <w:r w:rsidRPr="00A30D62">
              <w:rPr>
                <w:rFonts w:ascii="Arial" w:eastAsia="Times New Roman" w:hAnsi="Arial" w:cs="Arial"/>
                <w:b/>
                <w:bCs/>
                <w:sz w:val="18"/>
                <w:szCs w:val="18"/>
                <w:lang w:val="el-GR" w:eastAsia="el-GR"/>
              </w:rPr>
              <w:t>Α’</w:t>
            </w:r>
          </w:p>
          <w:p w14:paraId="34873EF5" w14:textId="3F5A399E" w:rsidR="00D115A5" w:rsidRPr="00CB38F0" w:rsidRDefault="00D115A5" w:rsidP="00D115A5">
            <w:pPr>
              <w:tabs>
                <w:tab w:val="left" w:pos="0"/>
                <w:tab w:val="left" w:pos="1416"/>
                <w:tab w:val="decimal" w:pos="4962"/>
                <w:tab w:val="decimal" w:pos="6521"/>
                <w:tab w:val="right" w:pos="7560"/>
                <w:tab w:val="decimal" w:pos="8220"/>
                <w:tab w:val="left" w:pos="8640"/>
                <w:tab w:val="right" w:pos="9000"/>
              </w:tabs>
              <w:suppressAutoHyphens/>
              <w:spacing w:after="0"/>
              <w:ind w:left="241" w:right="23"/>
              <w:jc w:val="center"/>
              <w:rPr>
                <w:rFonts w:ascii="Arial" w:eastAsia="Times New Roman" w:hAnsi="Arial" w:cs="Arial"/>
                <w:b/>
                <w:bCs/>
                <w:sz w:val="18"/>
                <w:szCs w:val="18"/>
                <w:lang w:eastAsia="el-GR"/>
              </w:rPr>
            </w:pPr>
            <w:r w:rsidRPr="00A30D62">
              <w:rPr>
                <w:rFonts w:ascii="Arial" w:eastAsia="Times New Roman" w:hAnsi="Arial" w:cs="Arial"/>
                <w:b/>
                <w:bCs/>
                <w:sz w:val="18"/>
                <w:szCs w:val="18"/>
                <w:lang w:val="el-GR" w:eastAsia="el-GR"/>
              </w:rPr>
              <w:t>εξάμηνο 2023</w:t>
            </w:r>
          </w:p>
        </w:tc>
        <w:tc>
          <w:tcPr>
            <w:tcW w:w="939" w:type="dxa"/>
            <w:tcBorders>
              <w:top w:val="single" w:sz="4" w:space="0" w:color="808080" w:themeColor="background1" w:themeShade="80"/>
              <w:bottom w:val="single" w:sz="4" w:space="0" w:color="808080" w:themeColor="background1" w:themeShade="80"/>
            </w:tcBorders>
            <w:vAlign w:val="center"/>
          </w:tcPr>
          <w:p w14:paraId="3548926E" w14:textId="77777777" w:rsidR="00D115A5" w:rsidRPr="00A30D62" w:rsidRDefault="00D115A5" w:rsidP="00D115A5">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lang w:val="el-GR" w:eastAsia="el-GR"/>
              </w:rPr>
            </w:pPr>
            <w:r w:rsidRPr="00A30D62">
              <w:rPr>
                <w:rFonts w:ascii="Arial" w:eastAsia="Times New Roman" w:hAnsi="Arial" w:cs="Arial"/>
                <w:b/>
                <w:bCs/>
                <w:sz w:val="18"/>
                <w:szCs w:val="18"/>
                <w:lang w:val="el-GR" w:eastAsia="el-GR"/>
              </w:rPr>
              <w:t>Β’</w:t>
            </w:r>
          </w:p>
          <w:p w14:paraId="4601A1C5" w14:textId="278D4CC6" w:rsidR="00D115A5" w:rsidRPr="00CB38F0" w:rsidRDefault="00D115A5" w:rsidP="00D115A5">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lang w:val="el-GR" w:eastAsia="el-GR"/>
              </w:rPr>
            </w:pPr>
            <w:r w:rsidRPr="00A30D62">
              <w:rPr>
                <w:rFonts w:ascii="Arial" w:eastAsia="Times New Roman" w:hAnsi="Arial" w:cs="Arial"/>
                <w:b/>
                <w:bCs/>
                <w:sz w:val="18"/>
                <w:szCs w:val="18"/>
                <w:lang w:val="el-GR" w:eastAsia="el-GR"/>
              </w:rPr>
              <w:t>τρίμηνο 2024</w:t>
            </w:r>
          </w:p>
        </w:tc>
        <w:tc>
          <w:tcPr>
            <w:tcW w:w="811" w:type="dxa"/>
            <w:gridSpan w:val="2"/>
            <w:tcBorders>
              <w:top w:val="single" w:sz="4" w:space="0" w:color="808080" w:themeColor="background1" w:themeShade="80"/>
              <w:bottom w:val="single" w:sz="4" w:space="0" w:color="808080" w:themeColor="background1" w:themeShade="80"/>
            </w:tcBorders>
            <w:vAlign w:val="center"/>
          </w:tcPr>
          <w:p w14:paraId="2DB1B260" w14:textId="77777777" w:rsidR="00D115A5" w:rsidRPr="00A30D62" w:rsidRDefault="00D115A5" w:rsidP="00D115A5">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lang w:val="el-GR" w:eastAsia="el-GR"/>
              </w:rPr>
            </w:pPr>
            <w:r w:rsidRPr="00A30D62">
              <w:rPr>
                <w:rFonts w:ascii="Arial" w:eastAsia="Times New Roman" w:hAnsi="Arial" w:cs="Arial"/>
                <w:b/>
                <w:bCs/>
                <w:sz w:val="18"/>
                <w:szCs w:val="18"/>
                <w:lang w:val="el-GR" w:eastAsia="el-GR"/>
              </w:rPr>
              <w:t>Α’</w:t>
            </w:r>
          </w:p>
          <w:p w14:paraId="663BDCEE" w14:textId="7C7428CB" w:rsidR="00D115A5" w:rsidRPr="00CB38F0" w:rsidRDefault="00D115A5" w:rsidP="00D115A5">
            <w:pPr>
              <w:tabs>
                <w:tab w:val="left" w:pos="0"/>
                <w:tab w:val="left" w:pos="1416"/>
                <w:tab w:val="decimal" w:pos="4962"/>
                <w:tab w:val="decimal" w:pos="6521"/>
                <w:tab w:val="right" w:pos="7560"/>
                <w:tab w:val="decimal" w:pos="8220"/>
                <w:tab w:val="left" w:pos="8640"/>
                <w:tab w:val="right" w:pos="9000"/>
              </w:tabs>
              <w:suppressAutoHyphens/>
              <w:spacing w:afterLines="20" w:after="48"/>
              <w:ind w:right="23"/>
              <w:jc w:val="center"/>
              <w:rPr>
                <w:rFonts w:ascii="Arial" w:eastAsia="Times New Roman" w:hAnsi="Arial" w:cs="Arial"/>
                <w:bCs/>
                <w:sz w:val="18"/>
                <w:szCs w:val="18"/>
                <w:lang w:val="el-GR" w:eastAsia="el-GR"/>
              </w:rPr>
            </w:pPr>
            <w:r w:rsidRPr="00A30D62">
              <w:rPr>
                <w:rFonts w:ascii="Arial" w:eastAsia="Times New Roman" w:hAnsi="Arial" w:cs="Arial"/>
                <w:b/>
                <w:bCs/>
                <w:sz w:val="18"/>
                <w:szCs w:val="18"/>
                <w:lang w:val="el-GR" w:eastAsia="el-GR"/>
              </w:rPr>
              <w:t>τρίμηνο 2024</w:t>
            </w:r>
          </w:p>
        </w:tc>
        <w:tc>
          <w:tcPr>
            <w:tcW w:w="994" w:type="dxa"/>
            <w:gridSpan w:val="2"/>
            <w:tcBorders>
              <w:top w:val="single" w:sz="4" w:space="0" w:color="808080" w:themeColor="background1" w:themeShade="80"/>
              <w:bottom w:val="single" w:sz="4" w:space="0" w:color="808080" w:themeColor="background1" w:themeShade="80"/>
            </w:tcBorders>
            <w:vAlign w:val="center"/>
          </w:tcPr>
          <w:p w14:paraId="56D66369" w14:textId="77777777" w:rsidR="00D115A5" w:rsidRPr="00A30D62" w:rsidRDefault="00D115A5" w:rsidP="00D115A5">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8"/>
                <w:szCs w:val="18"/>
                <w:lang w:val="el-GR" w:eastAsia="el-GR"/>
              </w:rPr>
            </w:pPr>
            <w:r w:rsidRPr="00A30D62">
              <w:rPr>
                <w:rFonts w:ascii="Arial" w:eastAsia="Times New Roman" w:hAnsi="Arial" w:cs="Arial"/>
                <w:bCs/>
                <w:sz w:val="18"/>
                <w:szCs w:val="18"/>
                <w:lang w:val="el-GR" w:eastAsia="el-GR"/>
              </w:rPr>
              <w:t>Τριμηνιαία μεταβολή</w:t>
            </w:r>
          </w:p>
          <w:p w14:paraId="7EB90D67" w14:textId="1ACA40AE" w:rsidR="00D115A5" w:rsidRPr="00CB38F0" w:rsidRDefault="00D115A5" w:rsidP="00D115A5">
            <w:pPr>
              <w:tabs>
                <w:tab w:val="left" w:pos="0"/>
                <w:tab w:val="left" w:pos="1416"/>
                <w:tab w:val="decimal" w:pos="4962"/>
                <w:tab w:val="decimal" w:pos="6521"/>
                <w:tab w:val="right" w:pos="7560"/>
                <w:tab w:val="decimal" w:pos="8220"/>
                <w:tab w:val="left" w:pos="8640"/>
                <w:tab w:val="right" w:pos="9000"/>
              </w:tabs>
              <w:suppressAutoHyphens/>
              <w:spacing w:after="0"/>
              <w:ind w:left="241" w:right="23"/>
              <w:jc w:val="center"/>
              <w:rPr>
                <w:rFonts w:ascii="Arial" w:eastAsia="Times New Roman" w:hAnsi="Arial" w:cs="Arial"/>
                <w:bCs/>
                <w:sz w:val="18"/>
                <w:szCs w:val="18"/>
                <w:lang w:val="el-GR" w:eastAsia="el-GR"/>
              </w:rPr>
            </w:pPr>
            <w:r w:rsidRPr="00A30D62">
              <w:rPr>
                <w:rFonts w:ascii="Arial" w:eastAsia="Times New Roman" w:hAnsi="Arial" w:cs="Arial"/>
                <w:bCs/>
                <w:sz w:val="18"/>
                <w:szCs w:val="18"/>
                <w:u w:val="single"/>
                <w:lang w:val="el-GR" w:eastAsia="el-GR"/>
              </w:rPr>
              <w:t>+</w:t>
            </w:r>
            <w:r w:rsidRPr="00A30D62">
              <w:rPr>
                <w:rFonts w:ascii="Arial" w:eastAsia="Times New Roman" w:hAnsi="Arial" w:cs="Arial"/>
                <w:bCs/>
                <w:sz w:val="18"/>
                <w:szCs w:val="18"/>
                <w:lang w:val="el-GR" w:eastAsia="el-GR"/>
              </w:rPr>
              <w:t>%</w:t>
            </w:r>
          </w:p>
        </w:tc>
        <w:tc>
          <w:tcPr>
            <w:tcW w:w="1106" w:type="dxa"/>
            <w:gridSpan w:val="3"/>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BC10974" w14:textId="77777777" w:rsidR="00D115A5" w:rsidRPr="00A30D62" w:rsidRDefault="00D115A5" w:rsidP="00D115A5">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8"/>
                <w:szCs w:val="18"/>
                <w:lang w:val="el-GR" w:eastAsia="el-GR"/>
              </w:rPr>
            </w:pPr>
            <w:r w:rsidRPr="00A30D62">
              <w:rPr>
                <w:rFonts w:ascii="Arial" w:eastAsia="Times New Roman" w:hAnsi="Arial" w:cs="Arial"/>
                <w:bCs/>
                <w:sz w:val="18"/>
                <w:szCs w:val="18"/>
                <w:lang w:val="el-GR" w:eastAsia="el-GR"/>
              </w:rPr>
              <w:t>Ετήσια μεταβολή</w:t>
            </w:r>
          </w:p>
          <w:p w14:paraId="1C441285" w14:textId="086F3D8A" w:rsidR="00D115A5" w:rsidRPr="00CB38F0" w:rsidRDefault="00D115A5" w:rsidP="00D115A5">
            <w:pPr>
              <w:tabs>
                <w:tab w:val="left" w:pos="0"/>
                <w:tab w:val="left" w:pos="1416"/>
                <w:tab w:val="decimal" w:pos="4962"/>
                <w:tab w:val="decimal" w:pos="6521"/>
                <w:tab w:val="right" w:pos="7560"/>
                <w:tab w:val="decimal" w:pos="8220"/>
                <w:tab w:val="left" w:pos="8640"/>
                <w:tab w:val="right" w:pos="9000"/>
              </w:tabs>
              <w:suppressAutoHyphens/>
              <w:spacing w:after="0"/>
              <w:ind w:left="241" w:right="23"/>
              <w:jc w:val="center"/>
              <w:rPr>
                <w:rFonts w:ascii="Arial" w:eastAsia="Times New Roman" w:hAnsi="Arial" w:cs="Arial"/>
                <w:bCs/>
                <w:sz w:val="18"/>
                <w:szCs w:val="18"/>
                <w:lang w:eastAsia="el-GR"/>
              </w:rPr>
            </w:pPr>
            <w:r w:rsidRPr="00A30D62">
              <w:rPr>
                <w:rFonts w:ascii="Arial" w:eastAsia="Times New Roman" w:hAnsi="Arial" w:cs="Arial"/>
                <w:bCs/>
                <w:sz w:val="18"/>
                <w:szCs w:val="18"/>
                <w:u w:val="single"/>
                <w:lang w:eastAsia="el-GR"/>
              </w:rPr>
              <w:t>+</w:t>
            </w:r>
            <w:r w:rsidRPr="00A30D62">
              <w:rPr>
                <w:rFonts w:ascii="Arial" w:eastAsia="Times New Roman" w:hAnsi="Arial" w:cs="Arial"/>
                <w:bCs/>
                <w:sz w:val="18"/>
                <w:szCs w:val="18"/>
                <w:lang w:eastAsia="el-GR"/>
              </w:rPr>
              <w:t>%</w:t>
            </w:r>
          </w:p>
        </w:tc>
      </w:tr>
      <w:tr w:rsidR="008B1868" w:rsidRPr="005C248D" w14:paraId="15353D84" w14:textId="77777777" w:rsidTr="006A1797">
        <w:trPr>
          <w:gridAfter w:val="1"/>
          <w:wAfter w:w="59" w:type="dxa"/>
          <w:trHeight w:val="305"/>
        </w:trPr>
        <w:tc>
          <w:tcPr>
            <w:tcW w:w="4848" w:type="dxa"/>
            <w:tcBorders>
              <w:top w:val="single" w:sz="4" w:space="0" w:color="808080" w:themeColor="background1" w:themeShade="80"/>
            </w:tcBorders>
            <w:vAlign w:val="center"/>
          </w:tcPr>
          <w:p w14:paraId="2FD2CEF8" w14:textId="52BF97AC" w:rsidR="008B1868" w:rsidRPr="00CB38F0" w:rsidRDefault="008B1868" w:rsidP="008B1868">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bCs/>
                <w:sz w:val="18"/>
                <w:szCs w:val="18"/>
                <w:lang w:eastAsia="el-GR"/>
              </w:rPr>
            </w:pPr>
            <w:r w:rsidRPr="00CB38F0">
              <w:rPr>
                <w:rFonts w:ascii="Arial" w:hAnsi="Arial" w:cs="Arial"/>
                <w:sz w:val="18"/>
                <w:szCs w:val="18"/>
              </w:rPr>
              <w:t>Κόστος προσωπικού</w:t>
            </w:r>
          </w:p>
        </w:tc>
        <w:tc>
          <w:tcPr>
            <w:tcW w:w="1137" w:type="dxa"/>
            <w:tcBorders>
              <w:top w:val="single" w:sz="4" w:space="0" w:color="808080" w:themeColor="background1" w:themeShade="80"/>
            </w:tcBorders>
            <w:vAlign w:val="center"/>
          </w:tcPr>
          <w:p w14:paraId="7C921975" w14:textId="4EBB766A" w:rsidR="008B1868" w:rsidRPr="00D115A5"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8"/>
                <w:szCs w:val="20"/>
                <w:lang w:eastAsia="el-GR"/>
              </w:rPr>
            </w:pPr>
            <w:r>
              <w:rPr>
                <w:rFonts w:ascii="Arial" w:eastAsia="Times New Roman" w:hAnsi="Arial" w:cs="Arial"/>
                <w:sz w:val="18"/>
                <w:szCs w:val="20"/>
                <w:lang w:eastAsia="el-GR"/>
              </w:rPr>
              <w:t>(96)</w:t>
            </w:r>
          </w:p>
        </w:tc>
        <w:tc>
          <w:tcPr>
            <w:tcW w:w="1101" w:type="dxa"/>
            <w:tcBorders>
              <w:top w:val="single" w:sz="4" w:space="0" w:color="808080" w:themeColor="background1" w:themeShade="80"/>
            </w:tcBorders>
            <w:vAlign w:val="center"/>
          </w:tcPr>
          <w:p w14:paraId="455AD30A" w14:textId="19FEF8BE"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8"/>
                <w:szCs w:val="18"/>
                <w:lang w:eastAsia="el-GR"/>
              </w:rPr>
            </w:pPr>
            <w:r w:rsidRPr="00AA1DCA">
              <w:rPr>
                <w:rFonts w:ascii="Arial" w:eastAsia="Times New Roman" w:hAnsi="Arial" w:cs="Arial"/>
                <w:sz w:val="18"/>
                <w:szCs w:val="20"/>
                <w:lang w:eastAsia="el-GR"/>
              </w:rPr>
              <w:t>(93)</w:t>
            </w:r>
          </w:p>
        </w:tc>
        <w:tc>
          <w:tcPr>
            <w:tcW w:w="992" w:type="dxa"/>
            <w:gridSpan w:val="3"/>
            <w:tcBorders>
              <w:top w:val="single" w:sz="4" w:space="0" w:color="808080" w:themeColor="background1" w:themeShade="80"/>
            </w:tcBorders>
            <w:vAlign w:val="center"/>
          </w:tcPr>
          <w:p w14:paraId="0E3AEDE5" w14:textId="2485AF6D"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8"/>
                <w:szCs w:val="18"/>
                <w:lang w:eastAsia="el-GR"/>
              </w:rPr>
            </w:pPr>
            <w:r>
              <w:rPr>
                <w:rFonts w:ascii="Arial" w:eastAsia="Times New Roman" w:hAnsi="Arial" w:cs="Arial"/>
                <w:sz w:val="18"/>
                <w:szCs w:val="20"/>
                <w:lang w:eastAsia="el-GR"/>
              </w:rPr>
              <w:t>(48)</w:t>
            </w:r>
          </w:p>
        </w:tc>
        <w:tc>
          <w:tcPr>
            <w:tcW w:w="851" w:type="dxa"/>
            <w:gridSpan w:val="2"/>
            <w:tcBorders>
              <w:top w:val="single" w:sz="4" w:space="0" w:color="808080" w:themeColor="background1" w:themeShade="80"/>
            </w:tcBorders>
            <w:vAlign w:val="center"/>
          </w:tcPr>
          <w:p w14:paraId="4BB31503" w14:textId="6599617F"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8"/>
                <w:szCs w:val="18"/>
                <w:lang w:eastAsia="el-GR"/>
              </w:rPr>
            </w:pPr>
            <w:r w:rsidRPr="006B40E4">
              <w:rPr>
                <w:rFonts w:ascii="Arial" w:eastAsia="Times New Roman" w:hAnsi="Arial" w:cs="Arial"/>
                <w:sz w:val="18"/>
                <w:szCs w:val="20"/>
                <w:lang w:eastAsia="el-GR"/>
              </w:rPr>
              <w:t>(4</w:t>
            </w:r>
            <w:r>
              <w:rPr>
                <w:rFonts w:ascii="Arial" w:eastAsia="Times New Roman" w:hAnsi="Arial" w:cs="Arial"/>
                <w:sz w:val="18"/>
                <w:szCs w:val="20"/>
                <w:lang w:eastAsia="el-GR"/>
              </w:rPr>
              <w:t>8</w:t>
            </w:r>
            <w:r w:rsidRPr="006B40E4">
              <w:rPr>
                <w:rFonts w:ascii="Arial" w:eastAsia="Times New Roman" w:hAnsi="Arial" w:cs="Arial"/>
                <w:sz w:val="18"/>
                <w:szCs w:val="20"/>
                <w:lang w:eastAsia="el-GR"/>
              </w:rPr>
              <w:t>)</w:t>
            </w:r>
          </w:p>
        </w:tc>
        <w:tc>
          <w:tcPr>
            <w:tcW w:w="992" w:type="dxa"/>
            <w:gridSpan w:val="2"/>
            <w:tcBorders>
              <w:top w:val="single" w:sz="4" w:space="0" w:color="808080" w:themeColor="background1" w:themeShade="80"/>
            </w:tcBorders>
            <w:vAlign w:val="center"/>
          </w:tcPr>
          <w:p w14:paraId="4FC6629D" w14:textId="483E221F"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8"/>
                <w:szCs w:val="18"/>
                <w:lang w:eastAsia="el-GR"/>
              </w:rPr>
            </w:pPr>
            <w:r>
              <w:rPr>
                <w:rFonts w:ascii="Arial" w:eastAsia="Times New Roman" w:hAnsi="Arial" w:cs="Arial"/>
                <w:sz w:val="18"/>
                <w:szCs w:val="20"/>
                <w:lang w:eastAsia="el-GR"/>
              </w:rPr>
              <w:t>1%</w:t>
            </w:r>
          </w:p>
        </w:tc>
        <w:tc>
          <w:tcPr>
            <w:tcW w:w="992" w:type="dxa"/>
            <w:tcBorders>
              <w:top w:val="single" w:sz="4" w:space="0" w:color="808080" w:themeColor="background1" w:themeShade="80"/>
            </w:tcBorders>
            <w:shd w:val="clear" w:color="auto" w:fill="auto"/>
            <w:vAlign w:val="center"/>
          </w:tcPr>
          <w:p w14:paraId="08C1FDE0" w14:textId="12AFE910"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8"/>
                <w:szCs w:val="18"/>
                <w:lang w:eastAsia="el-GR"/>
              </w:rPr>
            </w:pPr>
            <w:r>
              <w:rPr>
                <w:rFonts w:ascii="Arial" w:eastAsia="Times New Roman" w:hAnsi="Arial" w:cs="Arial"/>
                <w:sz w:val="18"/>
                <w:szCs w:val="20"/>
                <w:lang w:eastAsia="el-GR"/>
              </w:rPr>
              <w:t>3%</w:t>
            </w:r>
          </w:p>
        </w:tc>
      </w:tr>
      <w:tr w:rsidR="008B1868" w:rsidRPr="005C248D" w14:paraId="21532B4B" w14:textId="77777777" w:rsidTr="006A1797">
        <w:trPr>
          <w:gridAfter w:val="1"/>
          <w:wAfter w:w="59" w:type="dxa"/>
          <w:trHeight w:val="305"/>
        </w:trPr>
        <w:tc>
          <w:tcPr>
            <w:tcW w:w="4848" w:type="dxa"/>
            <w:tcBorders>
              <w:bottom w:val="single" w:sz="4" w:space="0" w:color="808080" w:themeColor="background1" w:themeShade="80"/>
            </w:tcBorders>
            <w:vAlign w:val="center"/>
          </w:tcPr>
          <w:p w14:paraId="36859AD7" w14:textId="73D025B8" w:rsidR="008B1868" w:rsidRPr="00CB38F0" w:rsidRDefault="008B1868" w:rsidP="008B1868">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bCs/>
                <w:sz w:val="18"/>
                <w:szCs w:val="18"/>
                <w:lang w:eastAsia="el-GR"/>
              </w:rPr>
            </w:pPr>
            <w:r w:rsidRPr="00CB38F0">
              <w:rPr>
                <w:rFonts w:ascii="Arial" w:hAnsi="Arial" w:cs="Arial"/>
                <w:sz w:val="18"/>
                <w:szCs w:val="18"/>
              </w:rPr>
              <w:t>Άλλα λειτουργικά έξοδα</w:t>
            </w:r>
          </w:p>
        </w:tc>
        <w:tc>
          <w:tcPr>
            <w:tcW w:w="1137" w:type="dxa"/>
            <w:tcBorders>
              <w:bottom w:val="single" w:sz="4" w:space="0" w:color="808080" w:themeColor="background1" w:themeShade="80"/>
            </w:tcBorders>
            <w:vAlign w:val="center"/>
          </w:tcPr>
          <w:p w14:paraId="4C809E32" w14:textId="5E06EFB5" w:rsidR="008B1868" w:rsidRPr="00D115A5"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8"/>
                <w:szCs w:val="20"/>
                <w:lang w:eastAsia="el-GR"/>
              </w:rPr>
            </w:pPr>
            <w:r>
              <w:rPr>
                <w:rFonts w:ascii="Arial" w:eastAsia="Times New Roman" w:hAnsi="Arial" w:cs="Arial"/>
                <w:sz w:val="18"/>
                <w:szCs w:val="20"/>
                <w:lang w:eastAsia="el-GR"/>
              </w:rPr>
              <w:t>(71)</w:t>
            </w:r>
          </w:p>
        </w:tc>
        <w:tc>
          <w:tcPr>
            <w:tcW w:w="1101" w:type="dxa"/>
            <w:tcBorders>
              <w:bottom w:val="single" w:sz="4" w:space="0" w:color="808080" w:themeColor="background1" w:themeShade="80"/>
            </w:tcBorders>
            <w:vAlign w:val="center"/>
          </w:tcPr>
          <w:p w14:paraId="3E91F230" w14:textId="018CD093"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8"/>
                <w:szCs w:val="18"/>
                <w:lang w:eastAsia="el-GR"/>
              </w:rPr>
            </w:pPr>
            <w:r w:rsidRPr="00AA1DCA">
              <w:rPr>
                <w:rFonts w:ascii="Arial" w:eastAsia="Times New Roman" w:hAnsi="Arial" w:cs="Arial"/>
                <w:sz w:val="18"/>
                <w:szCs w:val="20"/>
                <w:lang w:eastAsia="el-GR"/>
              </w:rPr>
              <w:t>(69)</w:t>
            </w:r>
          </w:p>
        </w:tc>
        <w:tc>
          <w:tcPr>
            <w:tcW w:w="992" w:type="dxa"/>
            <w:gridSpan w:val="3"/>
            <w:tcBorders>
              <w:bottom w:val="single" w:sz="4" w:space="0" w:color="808080" w:themeColor="background1" w:themeShade="80"/>
            </w:tcBorders>
            <w:vAlign w:val="center"/>
          </w:tcPr>
          <w:p w14:paraId="782F4259" w14:textId="7FAF9335"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8"/>
                <w:szCs w:val="18"/>
                <w:lang w:eastAsia="el-GR"/>
              </w:rPr>
            </w:pPr>
            <w:r>
              <w:rPr>
                <w:rFonts w:ascii="Arial" w:eastAsia="Times New Roman" w:hAnsi="Arial" w:cs="Arial"/>
                <w:sz w:val="18"/>
                <w:szCs w:val="20"/>
                <w:lang w:eastAsia="el-GR"/>
              </w:rPr>
              <w:t>(38)</w:t>
            </w:r>
          </w:p>
        </w:tc>
        <w:tc>
          <w:tcPr>
            <w:tcW w:w="851" w:type="dxa"/>
            <w:gridSpan w:val="2"/>
            <w:tcBorders>
              <w:bottom w:val="single" w:sz="4" w:space="0" w:color="808080" w:themeColor="background1" w:themeShade="80"/>
            </w:tcBorders>
            <w:vAlign w:val="center"/>
          </w:tcPr>
          <w:p w14:paraId="3A806897" w14:textId="122A4F01"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8"/>
                <w:szCs w:val="18"/>
                <w:lang w:eastAsia="el-GR"/>
              </w:rPr>
            </w:pPr>
            <w:r w:rsidRPr="006B40E4">
              <w:rPr>
                <w:rFonts w:ascii="Arial" w:eastAsia="Times New Roman" w:hAnsi="Arial" w:cs="Arial"/>
                <w:sz w:val="18"/>
                <w:szCs w:val="20"/>
                <w:lang w:eastAsia="el-GR"/>
              </w:rPr>
              <w:t>(3</w:t>
            </w:r>
            <w:r>
              <w:rPr>
                <w:rFonts w:ascii="Arial" w:eastAsia="Times New Roman" w:hAnsi="Arial" w:cs="Arial"/>
                <w:sz w:val="18"/>
                <w:szCs w:val="20"/>
                <w:lang w:eastAsia="el-GR"/>
              </w:rPr>
              <w:t>3</w:t>
            </w:r>
            <w:r w:rsidRPr="006B40E4">
              <w:rPr>
                <w:rFonts w:ascii="Arial" w:eastAsia="Times New Roman" w:hAnsi="Arial" w:cs="Arial"/>
                <w:sz w:val="18"/>
                <w:szCs w:val="20"/>
                <w:lang w:eastAsia="el-GR"/>
              </w:rPr>
              <w:t>)</w:t>
            </w:r>
          </w:p>
        </w:tc>
        <w:tc>
          <w:tcPr>
            <w:tcW w:w="992" w:type="dxa"/>
            <w:gridSpan w:val="2"/>
            <w:tcBorders>
              <w:bottom w:val="single" w:sz="4" w:space="0" w:color="808080" w:themeColor="background1" w:themeShade="80"/>
            </w:tcBorders>
            <w:vAlign w:val="center"/>
          </w:tcPr>
          <w:p w14:paraId="2CEC1F46" w14:textId="7C25844C" w:rsidR="008B1868" w:rsidRPr="00CB38F0" w:rsidDel="00027A6E"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8"/>
                <w:szCs w:val="18"/>
                <w:lang w:eastAsia="el-GR"/>
              </w:rPr>
            </w:pPr>
            <w:r>
              <w:rPr>
                <w:rFonts w:ascii="Arial" w:eastAsia="Times New Roman" w:hAnsi="Arial" w:cs="Arial"/>
                <w:sz w:val="18"/>
                <w:szCs w:val="20"/>
                <w:lang w:eastAsia="el-GR"/>
              </w:rPr>
              <w:t>15%</w:t>
            </w:r>
          </w:p>
        </w:tc>
        <w:tc>
          <w:tcPr>
            <w:tcW w:w="992" w:type="dxa"/>
            <w:tcBorders>
              <w:bottom w:val="single" w:sz="4" w:space="0" w:color="808080" w:themeColor="background1" w:themeShade="80"/>
            </w:tcBorders>
            <w:shd w:val="clear" w:color="auto" w:fill="auto"/>
            <w:vAlign w:val="center"/>
          </w:tcPr>
          <w:p w14:paraId="797890AD" w14:textId="46514006"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8"/>
                <w:szCs w:val="18"/>
                <w:lang w:eastAsia="el-GR"/>
              </w:rPr>
            </w:pPr>
            <w:r>
              <w:rPr>
                <w:rFonts w:ascii="Arial" w:eastAsia="Times New Roman" w:hAnsi="Arial" w:cs="Arial"/>
                <w:sz w:val="18"/>
                <w:szCs w:val="20"/>
                <w:lang w:eastAsia="el-GR"/>
              </w:rPr>
              <w:t>4%</w:t>
            </w:r>
          </w:p>
        </w:tc>
      </w:tr>
      <w:tr w:rsidR="008B1868" w:rsidRPr="005C248D" w14:paraId="59C19C01" w14:textId="77777777" w:rsidTr="006A1797">
        <w:trPr>
          <w:gridAfter w:val="1"/>
          <w:wAfter w:w="59" w:type="dxa"/>
          <w:trHeight w:val="305"/>
        </w:trPr>
        <w:tc>
          <w:tcPr>
            <w:tcW w:w="4848"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0EB0AC33" w14:textId="313C3F96" w:rsidR="008B1868" w:rsidRPr="00CB38F0" w:rsidRDefault="008B1868" w:rsidP="008B1868">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b/>
                <w:bCs/>
                <w:sz w:val="18"/>
                <w:szCs w:val="18"/>
                <w:lang w:eastAsia="el-GR"/>
              </w:rPr>
            </w:pPr>
            <w:r w:rsidRPr="00CB38F0">
              <w:rPr>
                <w:rFonts w:ascii="Arial" w:hAnsi="Arial" w:cs="Arial"/>
                <w:b/>
                <w:bCs/>
                <w:sz w:val="18"/>
                <w:szCs w:val="18"/>
              </w:rPr>
              <w:t>Σύνολο λειτουργικών εξόδων</w:t>
            </w:r>
          </w:p>
        </w:tc>
        <w:tc>
          <w:tcPr>
            <w:tcW w:w="1137" w:type="dxa"/>
            <w:tcBorders>
              <w:top w:val="single" w:sz="4" w:space="0" w:color="808080" w:themeColor="background1" w:themeShade="80"/>
              <w:bottom w:val="single" w:sz="4" w:space="0" w:color="808080" w:themeColor="background1" w:themeShade="80"/>
            </w:tcBorders>
            <w:vAlign w:val="center"/>
          </w:tcPr>
          <w:p w14:paraId="5D17AA10" w14:textId="4DD1711E" w:rsidR="008B1868" w:rsidRPr="00D115A5"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b/>
                <w:bCs/>
                <w:sz w:val="18"/>
                <w:szCs w:val="20"/>
                <w:lang w:eastAsia="el-GR"/>
              </w:rPr>
            </w:pPr>
            <w:r>
              <w:rPr>
                <w:rFonts w:ascii="Arial" w:eastAsia="Times New Roman" w:hAnsi="Arial" w:cs="Arial"/>
                <w:b/>
                <w:bCs/>
                <w:sz w:val="18"/>
                <w:szCs w:val="20"/>
                <w:lang w:eastAsia="el-GR"/>
              </w:rPr>
              <w:t>(167)</w:t>
            </w:r>
          </w:p>
        </w:tc>
        <w:tc>
          <w:tcPr>
            <w:tcW w:w="1101" w:type="dxa"/>
            <w:tcBorders>
              <w:top w:val="single" w:sz="4" w:space="0" w:color="808080" w:themeColor="background1" w:themeShade="80"/>
              <w:bottom w:val="single" w:sz="4" w:space="0" w:color="808080" w:themeColor="background1" w:themeShade="80"/>
            </w:tcBorders>
            <w:vAlign w:val="center"/>
          </w:tcPr>
          <w:p w14:paraId="2ACACCBD" w14:textId="42CC2F3B"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b/>
                <w:bCs/>
                <w:sz w:val="18"/>
                <w:szCs w:val="18"/>
                <w:lang w:eastAsia="el-GR"/>
              </w:rPr>
            </w:pPr>
            <w:r w:rsidRPr="006B40E4">
              <w:rPr>
                <w:rFonts w:ascii="Arial" w:eastAsia="Times New Roman" w:hAnsi="Arial" w:cs="Arial"/>
                <w:b/>
                <w:bCs/>
                <w:sz w:val="18"/>
                <w:szCs w:val="20"/>
                <w:lang w:eastAsia="el-GR"/>
              </w:rPr>
              <w:t>(16</w:t>
            </w:r>
            <w:r>
              <w:rPr>
                <w:rFonts w:ascii="Arial" w:eastAsia="Times New Roman" w:hAnsi="Arial" w:cs="Arial"/>
                <w:b/>
                <w:bCs/>
                <w:sz w:val="18"/>
                <w:szCs w:val="20"/>
                <w:lang w:eastAsia="el-GR"/>
              </w:rPr>
              <w:t>2</w:t>
            </w:r>
            <w:r w:rsidRPr="006B40E4">
              <w:rPr>
                <w:rFonts w:ascii="Arial" w:eastAsia="Times New Roman" w:hAnsi="Arial" w:cs="Arial"/>
                <w:b/>
                <w:bCs/>
                <w:sz w:val="18"/>
                <w:szCs w:val="20"/>
                <w:lang w:eastAsia="el-GR"/>
              </w:rPr>
              <w:t>)</w:t>
            </w:r>
          </w:p>
        </w:tc>
        <w:tc>
          <w:tcPr>
            <w:tcW w:w="992" w:type="dxa"/>
            <w:gridSpan w:val="3"/>
            <w:tcBorders>
              <w:top w:val="single" w:sz="4" w:space="0" w:color="808080" w:themeColor="background1" w:themeShade="80"/>
              <w:bottom w:val="single" w:sz="4" w:space="0" w:color="808080" w:themeColor="background1" w:themeShade="80"/>
            </w:tcBorders>
            <w:vAlign w:val="center"/>
          </w:tcPr>
          <w:p w14:paraId="597C9E69" w14:textId="4D1E761B"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b/>
                <w:bCs/>
                <w:sz w:val="18"/>
                <w:szCs w:val="18"/>
                <w:lang w:eastAsia="el-GR"/>
              </w:rPr>
            </w:pPr>
            <w:r>
              <w:rPr>
                <w:rFonts w:ascii="Arial" w:eastAsia="Times New Roman" w:hAnsi="Arial" w:cs="Arial"/>
                <w:b/>
                <w:bCs/>
                <w:sz w:val="18"/>
                <w:szCs w:val="20"/>
                <w:lang w:eastAsia="el-GR"/>
              </w:rPr>
              <w:t>(86)</w:t>
            </w:r>
          </w:p>
        </w:tc>
        <w:tc>
          <w:tcPr>
            <w:tcW w:w="851" w:type="dxa"/>
            <w:gridSpan w:val="2"/>
            <w:tcBorders>
              <w:top w:val="single" w:sz="4" w:space="0" w:color="808080" w:themeColor="background1" w:themeShade="80"/>
              <w:bottom w:val="single" w:sz="4" w:space="0" w:color="808080" w:themeColor="background1" w:themeShade="80"/>
            </w:tcBorders>
            <w:vAlign w:val="center"/>
          </w:tcPr>
          <w:p w14:paraId="0C4534EC" w14:textId="2E3CBBF5"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b/>
                <w:bCs/>
                <w:sz w:val="18"/>
                <w:szCs w:val="18"/>
                <w:lang w:eastAsia="el-GR"/>
              </w:rPr>
            </w:pPr>
            <w:r w:rsidRPr="006B40E4">
              <w:rPr>
                <w:rFonts w:ascii="Arial" w:eastAsia="Times New Roman" w:hAnsi="Arial" w:cs="Arial"/>
                <w:b/>
                <w:bCs/>
                <w:sz w:val="18"/>
                <w:szCs w:val="20"/>
                <w:lang w:eastAsia="el-GR"/>
              </w:rPr>
              <w:t>(8</w:t>
            </w:r>
            <w:r>
              <w:rPr>
                <w:rFonts w:ascii="Arial" w:eastAsia="Times New Roman" w:hAnsi="Arial" w:cs="Arial"/>
                <w:b/>
                <w:bCs/>
                <w:sz w:val="18"/>
                <w:szCs w:val="20"/>
                <w:lang w:eastAsia="el-GR"/>
              </w:rPr>
              <w:t>1</w:t>
            </w:r>
            <w:r w:rsidRPr="006B40E4">
              <w:rPr>
                <w:rFonts w:ascii="Arial" w:eastAsia="Times New Roman" w:hAnsi="Arial" w:cs="Arial"/>
                <w:b/>
                <w:bCs/>
                <w:sz w:val="18"/>
                <w:szCs w:val="20"/>
                <w:lang w:eastAsia="el-GR"/>
              </w:rPr>
              <w:t>)</w:t>
            </w:r>
          </w:p>
        </w:tc>
        <w:tc>
          <w:tcPr>
            <w:tcW w:w="992" w:type="dxa"/>
            <w:gridSpan w:val="2"/>
            <w:tcBorders>
              <w:top w:val="single" w:sz="4" w:space="0" w:color="808080" w:themeColor="background1" w:themeShade="80"/>
              <w:bottom w:val="single" w:sz="4" w:space="0" w:color="808080" w:themeColor="background1" w:themeShade="80"/>
            </w:tcBorders>
            <w:vAlign w:val="center"/>
          </w:tcPr>
          <w:p w14:paraId="2AACC3F4" w14:textId="6B037174"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8"/>
                <w:szCs w:val="18"/>
                <w:lang w:eastAsia="el-GR"/>
              </w:rPr>
            </w:pPr>
            <w:r>
              <w:rPr>
                <w:rFonts w:ascii="Arial" w:eastAsia="Times New Roman" w:hAnsi="Arial" w:cs="Arial"/>
                <w:b/>
                <w:bCs/>
                <w:sz w:val="18"/>
                <w:szCs w:val="20"/>
                <w:lang w:eastAsia="el-GR"/>
              </w:rPr>
              <w:t>7%</w:t>
            </w:r>
          </w:p>
        </w:tc>
        <w:tc>
          <w:tcPr>
            <w:tcW w:w="992"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0E62FB9" w14:textId="7E246BF8"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8"/>
                <w:szCs w:val="18"/>
                <w:lang w:eastAsia="el-GR"/>
              </w:rPr>
            </w:pPr>
            <w:r>
              <w:rPr>
                <w:rFonts w:ascii="Arial" w:eastAsia="Times New Roman" w:hAnsi="Arial" w:cs="Arial"/>
                <w:b/>
                <w:bCs/>
                <w:sz w:val="18"/>
                <w:szCs w:val="20"/>
                <w:lang w:eastAsia="el-GR"/>
              </w:rPr>
              <w:t>4%</w:t>
            </w:r>
          </w:p>
        </w:tc>
      </w:tr>
      <w:tr w:rsidR="008B1868" w:rsidRPr="005C248D" w14:paraId="277CD411" w14:textId="77777777" w:rsidTr="006A1797">
        <w:trPr>
          <w:gridAfter w:val="1"/>
          <w:wAfter w:w="59" w:type="dxa"/>
          <w:trHeight w:val="305"/>
        </w:trPr>
        <w:tc>
          <w:tcPr>
            <w:tcW w:w="4848" w:type="dxa"/>
            <w:tcBorders>
              <w:top w:val="single" w:sz="4" w:space="0" w:color="808080" w:themeColor="background1" w:themeShade="80"/>
            </w:tcBorders>
            <w:vAlign w:val="center"/>
          </w:tcPr>
          <w:p w14:paraId="738ABD5C" w14:textId="60032B88" w:rsidR="008B1868" w:rsidRPr="00CB38F0" w:rsidRDefault="008B1868" w:rsidP="008B1868">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bCs/>
                <w:sz w:val="18"/>
                <w:szCs w:val="18"/>
                <w:lang w:val="el-GR" w:eastAsia="el-GR"/>
              </w:rPr>
            </w:pPr>
            <w:bookmarkStart w:id="19" w:name="_Hlk149746261"/>
            <w:r w:rsidRPr="00CB38F0">
              <w:rPr>
                <w:rFonts w:ascii="Arial" w:hAnsi="Arial" w:cs="Arial"/>
                <w:sz w:val="18"/>
                <w:szCs w:val="18"/>
                <w:lang w:val="el-GR"/>
              </w:rPr>
              <w:t>Ειδικός φόρος επί των καταθέσεων και άλλα τέλη/εισφορές</w:t>
            </w:r>
          </w:p>
        </w:tc>
        <w:tc>
          <w:tcPr>
            <w:tcW w:w="1137" w:type="dxa"/>
            <w:tcBorders>
              <w:top w:val="single" w:sz="4" w:space="0" w:color="808080" w:themeColor="background1" w:themeShade="80"/>
            </w:tcBorders>
            <w:vAlign w:val="center"/>
          </w:tcPr>
          <w:p w14:paraId="190376A3" w14:textId="6C0CEB26"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8"/>
                <w:szCs w:val="20"/>
                <w:lang w:val="el-GR" w:eastAsia="el-GR"/>
              </w:rPr>
            </w:pPr>
            <w:r>
              <w:rPr>
                <w:rFonts w:ascii="Arial" w:eastAsia="Times New Roman" w:hAnsi="Arial" w:cs="Arial"/>
                <w:sz w:val="18"/>
                <w:szCs w:val="20"/>
                <w:lang w:eastAsia="el-GR"/>
              </w:rPr>
              <w:t>(19)</w:t>
            </w:r>
          </w:p>
        </w:tc>
        <w:tc>
          <w:tcPr>
            <w:tcW w:w="1101" w:type="dxa"/>
            <w:tcBorders>
              <w:top w:val="single" w:sz="4" w:space="0" w:color="808080" w:themeColor="background1" w:themeShade="80"/>
            </w:tcBorders>
            <w:vAlign w:val="center"/>
          </w:tcPr>
          <w:p w14:paraId="2C8F5AF3" w14:textId="564EFA9C"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8"/>
                <w:szCs w:val="18"/>
                <w:lang w:eastAsia="el-GR"/>
              </w:rPr>
            </w:pPr>
            <w:r w:rsidRPr="00AA1DCA">
              <w:rPr>
                <w:rFonts w:ascii="Arial" w:eastAsia="Times New Roman" w:hAnsi="Arial" w:cs="Arial"/>
                <w:sz w:val="18"/>
                <w:szCs w:val="20"/>
                <w:lang w:eastAsia="el-GR"/>
              </w:rPr>
              <w:t>(18)</w:t>
            </w:r>
          </w:p>
        </w:tc>
        <w:tc>
          <w:tcPr>
            <w:tcW w:w="992" w:type="dxa"/>
            <w:gridSpan w:val="3"/>
            <w:tcBorders>
              <w:top w:val="single" w:sz="4" w:space="0" w:color="808080" w:themeColor="background1" w:themeShade="80"/>
            </w:tcBorders>
            <w:vAlign w:val="center"/>
          </w:tcPr>
          <w:p w14:paraId="5BE83969" w14:textId="198692C9"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8"/>
                <w:szCs w:val="18"/>
                <w:lang w:eastAsia="el-GR"/>
              </w:rPr>
            </w:pPr>
            <w:r>
              <w:rPr>
                <w:rFonts w:ascii="Arial" w:eastAsia="Times New Roman" w:hAnsi="Arial" w:cs="Arial"/>
                <w:sz w:val="18"/>
                <w:szCs w:val="20"/>
                <w:lang w:eastAsia="el-GR"/>
              </w:rPr>
              <w:t>(8)</w:t>
            </w:r>
          </w:p>
        </w:tc>
        <w:tc>
          <w:tcPr>
            <w:tcW w:w="851" w:type="dxa"/>
            <w:gridSpan w:val="2"/>
            <w:tcBorders>
              <w:top w:val="single" w:sz="4" w:space="0" w:color="808080" w:themeColor="background1" w:themeShade="80"/>
            </w:tcBorders>
            <w:vAlign w:val="center"/>
          </w:tcPr>
          <w:p w14:paraId="223E3C23" w14:textId="2EF113B5"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8"/>
                <w:szCs w:val="18"/>
                <w:lang w:eastAsia="el-GR"/>
              </w:rPr>
            </w:pPr>
            <w:r w:rsidRPr="006B40E4">
              <w:rPr>
                <w:rFonts w:ascii="Arial" w:eastAsia="Times New Roman" w:hAnsi="Arial" w:cs="Arial"/>
                <w:sz w:val="18"/>
                <w:szCs w:val="20"/>
                <w:lang w:eastAsia="el-GR"/>
              </w:rPr>
              <w:t>(11)</w:t>
            </w:r>
          </w:p>
        </w:tc>
        <w:tc>
          <w:tcPr>
            <w:tcW w:w="992" w:type="dxa"/>
            <w:gridSpan w:val="2"/>
            <w:tcBorders>
              <w:top w:val="single" w:sz="4" w:space="0" w:color="808080" w:themeColor="background1" w:themeShade="80"/>
            </w:tcBorders>
            <w:vAlign w:val="center"/>
          </w:tcPr>
          <w:p w14:paraId="1C7AE28B" w14:textId="718DC2D8"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8"/>
                <w:szCs w:val="18"/>
                <w:lang w:eastAsia="el-GR"/>
              </w:rPr>
            </w:pPr>
            <w:r>
              <w:rPr>
                <w:rFonts w:ascii="Arial" w:eastAsia="Times New Roman" w:hAnsi="Arial" w:cs="Arial"/>
                <w:sz w:val="18"/>
                <w:szCs w:val="20"/>
                <w:lang w:eastAsia="el-GR"/>
              </w:rPr>
              <w:t>-38%</w:t>
            </w:r>
          </w:p>
        </w:tc>
        <w:tc>
          <w:tcPr>
            <w:tcW w:w="992" w:type="dxa"/>
            <w:tcBorders>
              <w:top w:val="single" w:sz="4" w:space="0" w:color="808080" w:themeColor="background1" w:themeShade="80"/>
            </w:tcBorders>
            <w:shd w:val="clear" w:color="auto" w:fill="auto"/>
            <w:vAlign w:val="center"/>
          </w:tcPr>
          <w:p w14:paraId="3151BAED" w14:textId="6678CC3B"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8"/>
                <w:szCs w:val="18"/>
                <w:lang w:eastAsia="el-GR"/>
              </w:rPr>
            </w:pPr>
            <w:r>
              <w:rPr>
                <w:rFonts w:ascii="Arial" w:eastAsia="Times New Roman" w:hAnsi="Arial" w:cs="Arial"/>
                <w:sz w:val="18"/>
                <w:szCs w:val="20"/>
                <w:lang w:eastAsia="el-GR"/>
              </w:rPr>
              <w:t>3%</w:t>
            </w:r>
          </w:p>
        </w:tc>
      </w:tr>
      <w:bookmarkEnd w:id="19"/>
      <w:tr w:rsidR="008B1868" w:rsidRPr="005C248D" w14:paraId="01175C05" w14:textId="77777777" w:rsidTr="006A1797">
        <w:trPr>
          <w:gridAfter w:val="1"/>
          <w:wAfter w:w="59" w:type="dxa"/>
          <w:trHeight w:val="305"/>
        </w:trPr>
        <w:tc>
          <w:tcPr>
            <w:tcW w:w="4848"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7AE04BF7" w14:textId="4B2C4711" w:rsidR="008B1868" w:rsidRPr="00CB38F0" w:rsidRDefault="008B1868" w:rsidP="008B1868">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b/>
                <w:bCs/>
                <w:sz w:val="18"/>
                <w:szCs w:val="18"/>
                <w:lang w:eastAsia="el-GR"/>
              </w:rPr>
            </w:pPr>
            <w:r w:rsidRPr="00CB38F0">
              <w:rPr>
                <w:rFonts w:ascii="Arial" w:hAnsi="Arial" w:cs="Arial"/>
                <w:b/>
                <w:bCs/>
                <w:sz w:val="18"/>
                <w:szCs w:val="18"/>
              </w:rPr>
              <w:t>Σύνολο εξόδων</w:t>
            </w:r>
          </w:p>
        </w:tc>
        <w:tc>
          <w:tcPr>
            <w:tcW w:w="1137" w:type="dxa"/>
            <w:tcBorders>
              <w:top w:val="single" w:sz="4" w:space="0" w:color="808080" w:themeColor="background1" w:themeShade="80"/>
              <w:bottom w:val="single" w:sz="4" w:space="0" w:color="808080" w:themeColor="background1" w:themeShade="80"/>
            </w:tcBorders>
            <w:vAlign w:val="center"/>
          </w:tcPr>
          <w:p w14:paraId="369599D6" w14:textId="4D52C8AE" w:rsidR="008B1868" w:rsidRPr="00D115A5"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b/>
                <w:bCs/>
                <w:sz w:val="18"/>
                <w:szCs w:val="20"/>
                <w:lang w:eastAsia="el-GR"/>
              </w:rPr>
            </w:pPr>
            <w:r>
              <w:rPr>
                <w:rFonts w:ascii="Arial" w:eastAsia="Times New Roman" w:hAnsi="Arial" w:cs="Arial"/>
                <w:b/>
                <w:bCs/>
                <w:sz w:val="18"/>
                <w:szCs w:val="20"/>
                <w:lang w:eastAsia="el-GR"/>
              </w:rPr>
              <w:t>(186)</w:t>
            </w:r>
          </w:p>
        </w:tc>
        <w:tc>
          <w:tcPr>
            <w:tcW w:w="1101" w:type="dxa"/>
            <w:tcBorders>
              <w:top w:val="single" w:sz="4" w:space="0" w:color="808080" w:themeColor="background1" w:themeShade="80"/>
              <w:bottom w:val="single" w:sz="4" w:space="0" w:color="808080" w:themeColor="background1" w:themeShade="80"/>
            </w:tcBorders>
            <w:vAlign w:val="center"/>
          </w:tcPr>
          <w:p w14:paraId="09CF40FD" w14:textId="2AAB1012"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b/>
                <w:bCs/>
                <w:sz w:val="18"/>
                <w:szCs w:val="18"/>
                <w:lang w:eastAsia="el-GR"/>
              </w:rPr>
            </w:pPr>
            <w:r w:rsidRPr="00435905">
              <w:rPr>
                <w:rFonts w:ascii="Arial" w:eastAsia="Times New Roman" w:hAnsi="Arial" w:cs="Arial"/>
                <w:b/>
                <w:bCs/>
                <w:sz w:val="18"/>
                <w:szCs w:val="20"/>
                <w:lang w:val="en-US" w:eastAsia="el-GR"/>
              </w:rPr>
              <w:t>(180)</w:t>
            </w:r>
          </w:p>
        </w:tc>
        <w:tc>
          <w:tcPr>
            <w:tcW w:w="992" w:type="dxa"/>
            <w:gridSpan w:val="3"/>
            <w:tcBorders>
              <w:top w:val="single" w:sz="4" w:space="0" w:color="808080" w:themeColor="background1" w:themeShade="80"/>
              <w:bottom w:val="single" w:sz="4" w:space="0" w:color="808080" w:themeColor="background1" w:themeShade="80"/>
            </w:tcBorders>
            <w:vAlign w:val="center"/>
          </w:tcPr>
          <w:p w14:paraId="5797BAA3" w14:textId="3E24EF7C"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b/>
                <w:bCs/>
                <w:sz w:val="18"/>
                <w:szCs w:val="18"/>
                <w:lang w:val="en-US" w:eastAsia="el-GR"/>
              </w:rPr>
            </w:pPr>
            <w:r>
              <w:rPr>
                <w:rFonts w:ascii="Arial" w:eastAsia="Times New Roman" w:hAnsi="Arial" w:cs="Arial"/>
                <w:b/>
                <w:bCs/>
                <w:sz w:val="18"/>
                <w:szCs w:val="20"/>
                <w:lang w:eastAsia="el-GR"/>
              </w:rPr>
              <w:t>(94)</w:t>
            </w:r>
          </w:p>
        </w:tc>
        <w:tc>
          <w:tcPr>
            <w:tcW w:w="851" w:type="dxa"/>
            <w:gridSpan w:val="2"/>
            <w:tcBorders>
              <w:top w:val="single" w:sz="4" w:space="0" w:color="808080" w:themeColor="background1" w:themeShade="80"/>
              <w:bottom w:val="single" w:sz="4" w:space="0" w:color="808080" w:themeColor="background1" w:themeShade="80"/>
            </w:tcBorders>
            <w:vAlign w:val="center"/>
          </w:tcPr>
          <w:p w14:paraId="3859F9AD" w14:textId="7F945123"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b/>
                <w:bCs/>
                <w:sz w:val="18"/>
                <w:szCs w:val="18"/>
                <w:lang w:eastAsia="el-GR"/>
              </w:rPr>
            </w:pPr>
            <w:r w:rsidRPr="006B40E4">
              <w:rPr>
                <w:rFonts w:ascii="Arial" w:eastAsia="Times New Roman" w:hAnsi="Arial" w:cs="Arial"/>
                <w:b/>
                <w:bCs/>
                <w:sz w:val="18"/>
                <w:szCs w:val="20"/>
                <w:lang w:eastAsia="el-GR"/>
              </w:rPr>
              <w:t>(9</w:t>
            </w:r>
            <w:r>
              <w:rPr>
                <w:rFonts w:ascii="Arial" w:eastAsia="Times New Roman" w:hAnsi="Arial" w:cs="Arial"/>
                <w:b/>
                <w:bCs/>
                <w:sz w:val="18"/>
                <w:szCs w:val="20"/>
                <w:lang w:eastAsia="el-GR"/>
              </w:rPr>
              <w:t>2</w:t>
            </w:r>
            <w:r w:rsidRPr="006B40E4">
              <w:rPr>
                <w:rFonts w:ascii="Arial" w:eastAsia="Times New Roman" w:hAnsi="Arial" w:cs="Arial"/>
                <w:b/>
                <w:bCs/>
                <w:sz w:val="18"/>
                <w:szCs w:val="20"/>
                <w:lang w:eastAsia="el-GR"/>
              </w:rPr>
              <w:t>)</w:t>
            </w:r>
          </w:p>
        </w:tc>
        <w:tc>
          <w:tcPr>
            <w:tcW w:w="992" w:type="dxa"/>
            <w:gridSpan w:val="2"/>
            <w:tcBorders>
              <w:top w:val="single" w:sz="4" w:space="0" w:color="808080" w:themeColor="background1" w:themeShade="80"/>
              <w:bottom w:val="single" w:sz="4" w:space="0" w:color="808080" w:themeColor="background1" w:themeShade="80"/>
            </w:tcBorders>
            <w:vAlign w:val="center"/>
          </w:tcPr>
          <w:p w14:paraId="6B0786E2" w14:textId="77F99A4E"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8"/>
                <w:szCs w:val="18"/>
                <w:lang w:eastAsia="el-GR"/>
              </w:rPr>
            </w:pPr>
            <w:r>
              <w:rPr>
                <w:rFonts w:ascii="Arial" w:eastAsia="Times New Roman" w:hAnsi="Arial" w:cs="Arial"/>
                <w:b/>
                <w:bCs/>
                <w:sz w:val="18"/>
                <w:szCs w:val="20"/>
                <w:lang w:eastAsia="el-GR"/>
              </w:rPr>
              <w:t>1%</w:t>
            </w:r>
          </w:p>
        </w:tc>
        <w:tc>
          <w:tcPr>
            <w:tcW w:w="992"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ACE8D81" w14:textId="3DA1A66F"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8"/>
                <w:szCs w:val="18"/>
                <w:lang w:eastAsia="el-GR"/>
              </w:rPr>
            </w:pPr>
            <w:r>
              <w:rPr>
                <w:rFonts w:ascii="Arial" w:eastAsia="Times New Roman" w:hAnsi="Arial" w:cs="Arial"/>
                <w:b/>
                <w:bCs/>
                <w:sz w:val="18"/>
                <w:szCs w:val="20"/>
                <w:lang w:eastAsia="el-GR"/>
              </w:rPr>
              <w:t>4%</w:t>
            </w:r>
          </w:p>
        </w:tc>
      </w:tr>
      <w:tr w:rsidR="008B1868" w:rsidRPr="005C248D" w14:paraId="1DB1415D" w14:textId="77777777" w:rsidTr="006A1797">
        <w:trPr>
          <w:gridAfter w:val="1"/>
          <w:wAfter w:w="59" w:type="dxa"/>
          <w:trHeight w:val="305"/>
        </w:trPr>
        <w:tc>
          <w:tcPr>
            <w:tcW w:w="4848"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7831CA3C" w14:textId="1CA17309" w:rsidR="008B1868" w:rsidRPr="00CB38F0" w:rsidRDefault="008B1868" w:rsidP="008B1868">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b/>
                <w:sz w:val="18"/>
                <w:szCs w:val="18"/>
                <w:lang w:eastAsia="el-GR"/>
              </w:rPr>
            </w:pPr>
            <w:r w:rsidRPr="00CB38F0">
              <w:rPr>
                <w:rFonts w:ascii="Arial" w:hAnsi="Arial" w:cs="Arial"/>
                <w:sz w:val="18"/>
                <w:szCs w:val="18"/>
              </w:rPr>
              <w:t>Δείκτης κόστος προς έσοδα</w:t>
            </w:r>
          </w:p>
        </w:tc>
        <w:tc>
          <w:tcPr>
            <w:tcW w:w="1137" w:type="dxa"/>
            <w:tcBorders>
              <w:top w:val="single" w:sz="4" w:space="0" w:color="808080" w:themeColor="background1" w:themeShade="80"/>
              <w:bottom w:val="single" w:sz="4" w:space="0" w:color="808080" w:themeColor="background1" w:themeShade="80"/>
            </w:tcBorders>
            <w:vAlign w:val="center"/>
          </w:tcPr>
          <w:p w14:paraId="172B838C" w14:textId="557CDB43" w:rsidR="008B1868" w:rsidRPr="00D115A5"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b/>
                <w:bCs/>
                <w:sz w:val="18"/>
                <w:szCs w:val="20"/>
                <w:lang w:eastAsia="el-GR"/>
              </w:rPr>
            </w:pPr>
            <w:r w:rsidRPr="00113558">
              <w:rPr>
                <w:rFonts w:ascii="Arial" w:eastAsia="Times New Roman" w:hAnsi="Arial" w:cs="Arial"/>
                <w:sz w:val="18"/>
                <w:szCs w:val="20"/>
                <w:lang w:eastAsia="el-GR"/>
              </w:rPr>
              <w:t>34%</w:t>
            </w:r>
          </w:p>
        </w:tc>
        <w:tc>
          <w:tcPr>
            <w:tcW w:w="1101" w:type="dxa"/>
            <w:tcBorders>
              <w:top w:val="single" w:sz="4" w:space="0" w:color="808080" w:themeColor="background1" w:themeShade="80"/>
              <w:bottom w:val="single" w:sz="4" w:space="0" w:color="808080" w:themeColor="background1" w:themeShade="80"/>
            </w:tcBorders>
            <w:vAlign w:val="center"/>
          </w:tcPr>
          <w:p w14:paraId="29285643" w14:textId="7D7AD327"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b/>
                <w:bCs/>
                <w:sz w:val="18"/>
                <w:szCs w:val="18"/>
                <w:lang w:eastAsia="el-GR"/>
              </w:rPr>
            </w:pPr>
            <w:r w:rsidRPr="004D3E2D">
              <w:rPr>
                <w:rFonts w:ascii="Arial" w:hAnsi="Arial" w:cs="Arial"/>
                <w:sz w:val="18"/>
                <w:szCs w:val="18"/>
              </w:rPr>
              <w:t>35%</w:t>
            </w:r>
          </w:p>
        </w:tc>
        <w:tc>
          <w:tcPr>
            <w:tcW w:w="992" w:type="dxa"/>
            <w:gridSpan w:val="3"/>
            <w:tcBorders>
              <w:top w:val="single" w:sz="4" w:space="0" w:color="808080" w:themeColor="background1" w:themeShade="80"/>
              <w:bottom w:val="single" w:sz="4" w:space="0" w:color="808080" w:themeColor="background1" w:themeShade="80"/>
            </w:tcBorders>
            <w:vAlign w:val="center"/>
          </w:tcPr>
          <w:p w14:paraId="1206AF35" w14:textId="477776A6"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hAnsi="Arial" w:cs="Arial"/>
                <w:sz w:val="18"/>
                <w:szCs w:val="18"/>
              </w:rPr>
            </w:pPr>
            <w:r>
              <w:rPr>
                <w:rFonts w:ascii="Arial" w:eastAsia="Times New Roman" w:hAnsi="Arial" w:cs="Arial"/>
                <w:sz w:val="18"/>
                <w:szCs w:val="20"/>
                <w:lang w:eastAsia="el-GR"/>
              </w:rPr>
              <w:t>34%</w:t>
            </w:r>
          </w:p>
        </w:tc>
        <w:tc>
          <w:tcPr>
            <w:tcW w:w="851" w:type="dxa"/>
            <w:gridSpan w:val="2"/>
            <w:tcBorders>
              <w:top w:val="single" w:sz="4" w:space="0" w:color="808080" w:themeColor="background1" w:themeShade="80"/>
              <w:bottom w:val="single" w:sz="4" w:space="0" w:color="808080" w:themeColor="background1" w:themeShade="80"/>
            </w:tcBorders>
            <w:vAlign w:val="center"/>
          </w:tcPr>
          <w:p w14:paraId="28158EE9" w14:textId="6C036F68"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hAnsi="Arial" w:cs="Arial"/>
                <w:sz w:val="18"/>
                <w:szCs w:val="18"/>
              </w:rPr>
            </w:pPr>
            <w:r w:rsidRPr="00A80F70">
              <w:rPr>
                <w:rFonts w:ascii="Arial" w:hAnsi="Arial" w:cs="Arial"/>
                <w:sz w:val="18"/>
                <w:szCs w:val="18"/>
              </w:rPr>
              <w:t>3</w:t>
            </w:r>
            <w:r>
              <w:rPr>
                <w:rFonts w:ascii="Arial" w:hAnsi="Arial" w:cs="Arial"/>
                <w:sz w:val="18"/>
                <w:szCs w:val="18"/>
              </w:rPr>
              <w:t>3</w:t>
            </w:r>
            <w:r w:rsidRPr="00A80F70">
              <w:rPr>
                <w:rFonts w:ascii="Arial" w:hAnsi="Arial" w:cs="Arial"/>
                <w:sz w:val="18"/>
                <w:szCs w:val="18"/>
              </w:rPr>
              <w:t>%</w:t>
            </w:r>
          </w:p>
        </w:tc>
        <w:tc>
          <w:tcPr>
            <w:tcW w:w="992" w:type="dxa"/>
            <w:gridSpan w:val="2"/>
            <w:tcBorders>
              <w:top w:val="single" w:sz="4" w:space="0" w:color="808080" w:themeColor="background1" w:themeShade="80"/>
              <w:bottom w:val="single" w:sz="4" w:space="0" w:color="808080" w:themeColor="background1" w:themeShade="80"/>
            </w:tcBorders>
            <w:vAlign w:val="center"/>
          </w:tcPr>
          <w:p w14:paraId="66D87E4B" w14:textId="732CF7D2"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8"/>
                <w:szCs w:val="18"/>
                <w:lang w:eastAsia="el-GR"/>
              </w:rPr>
            </w:pPr>
            <w:r>
              <w:rPr>
                <w:rFonts w:ascii="Arial" w:eastAsia="Times New Roman" w:hAnsi="Arial" w:cs="Arial"/>
                <w:sz w:val="18"/>
                <w:szCs w:val="20"/>
                <w:lang w:eastAsia="el-GR"/>
              </w:rPr>
              <w:t>1 p.p.</w:t>
            </w:r>
          </w:p>
        </w:tc>
        <w:tc>
          <w:tcPr>
            <w:tcW w:w="992"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A71E029" w14:textId="4B0F3630"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8"/>
                <w:szCs w:val="18"/>
                <w:lang w:eastAsia="el-GR"/>
              </w:rPr>
            </w:pPr>
            <w:r>
              <w:rPr>
                <w:rFonts w:ascii="Arial" w:eastAsia="Times New Roman" w:hAnsi="Arial" w:cs="Arial"/>
                <w:sz w:val="18"/>
                <w:szCs w:val="20"/>
                <w:lang w:eastAsia="el-GR"/>
              </w:rPr>
              <w:t xml:space="preserve">-1 </w:t>
            </w:r>
            <w:r>
              <w:rPr>
                <w:rFonts w:ascii="Arial" w:eastAsia="Times New Roman" w:hAnsi="Arial" w:cs="Arial"/>
                <w:sz w:val="18"/>
                <w:szCs w:val="20"/>
                <w:lang w:val="el-GR" w:eastAsia="el-GR"/>
              </w:rPr>
              <w:t>ε</w:t>
            </w:r>
            <w:r>
              <w:rPr>
                <w:rFonts w:ascii="Arial" w:eastAsia="Times New Roman" w:hAnsi="Arial" w:cs="Arial"/>
                <w:sz w:val="18"/>
                <w:szCs w:val="20"/>
                <w:lang w:eastAsia="el-GR"/>
              </w:rPr>
              <w:t>.</w:t>
            </w:r>
            <w:r>
              <w:rPr>
                <w:rFonts w:ascii="Arial" w:eastAsia="Times New Roman" w:hAnsi="Arial" w:cs="Arial"/>
                <w:sz w:val="18"/>
                <w:szCs w:val="20"/>
                <w:lang w:val="el-GR" w:eastAsia="el-GR"/>
              </w:rPr>
              <w:t>μ</w:t>
            </w:r>
            <w:r>
              <w:rPr>
                <w:rFonts w:ascii="Arial" w:eastAsia="Times New Roman" w:hAnsi="Arial" w:cs="Arial"/>
                <w:sz w:val="18"/>
                <w:szCs w:val="20"/>
                <w:lang w:eastAsia="el-GR"/>
              </w:rPr>
              <w:t>.</w:t>
            </w:r>
          </w:p>
        </w:tc>
      </w:tr>
      <w:tr w:rsidR="008B1868" w:rsidRPr="005C248D" w14:paraId="0FB82CF9" w14:textId="77777777" w:rsidTr="006A1797">
        <w:trPr>
          <w:gridAfter w:val="1"/>
          <w:wAfter w:w="59" w:type="dxa"/>
          <w:trHeight w:val="305"/>
        </w:trPr>
        <w:tc>
          <w:tcPr>
            <w:tcW w:w="4848"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342556AA" w14:textId="47D3C9BE" w:rsidR="008B1868" w:rsidRPr="00CB38F0" w:rsidRDefault="008B1868" w:rsidP="008B1868">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b/>
                <w:sz w:val="18"/>
                <w:szCs w:val="18"/>
                <w:lang w:val="el-GR" w:eastAsia="el-GR"/>
              </w:rPr>
            </w:pPr>
            <w:r w:rsidRPr="00CB38F0">
              <w:rPr>
                <w:rFonts w:ascii="Arial" w:hAnsi="Arial" w:cs="Arial"/>
                <w:sz w:val="18"/>
                <w:szCs w:val="18"/>
                <w:lang w:val="el-GR"/>
              </w:rPr>
              <w:t>Δείκτης κόστος προς έσοδα αναπροσαρμοσμένος για τον ειδικό φόρο επί των καταθέσεων και άλλα τέλη/εισφορές</w:t>
            </w:r>
          </w:p>
        </w:tc>
        <w:tc>
          <w:tcPr>
            <w:tcW w:w="1137" w:type="dxa"/>
            <w:tcBorders>
              <w:top w:val="single" w:sz="4" w:space="0" w:color="808080" w:themeColor="background1" w:themeShade="80"/>
              <w:bottom w:val="single" w:sz="4" w:space="0" w:color="808080" w:themeColor="background1" w:themeShade="80"/>
            </w:tcBorders>
            <w:vAlign w:val="center"/>
          </w:tcPr>
          <w:p w14:paraId="080A17E1" w14:textId="28980707"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b/>
                <w:bCs/>
                <w:sz w:val="18"/>
                <w:szCs w:val="20"/>
                <w:lang w:val="el-GR" w:eastAsia="el-GR"/>
              </w:rPr>
            </w:pPr>
            <w:r w:rsidRPr="00113558">
              <w:rPr>
                <w:rFonts w:ascii="Arial" w:eastAsia="Times New Roman" w:hAnsi="Arial" w:cs="Arial"/>
                <w:sz w:val="18"/>
                <w:szCs w:val="20"/>
                <w:lang w:eastAsia="el-GR"/>
              </w:rPr>
              <w:t>30%</w:t>
            </w:r>
          </w:p>
        </w:tc>
        <w:tc>
          <w:tcPr>
            <w:tcW w:w="1101" w:type="dxa"/>
            <w:tcBorders>
              <w:top w:val="single" w:sz="4" w:space="0" w:color="808080" w:themeColor="background1" w:themeShade="80"/>
              <w:bottom w:val="single" w:sz="4" w:space="0" w:color="808080" w:themeColor="background1" w:themeShade="80"/>
            </w:tcBorders>
            <w:vAlign w:val="center"/>
          </w:tcPr>
          <w:p w14:paraId="177A9559" w14:textId="5C8C3496"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b/>
                <w:bCs/>
                <w:sz w:val="18"/>
                <w:szCs w:val="18"/>
                <w:lang w:eastAsia="el-GR"/>
              </w:rPr>
            </w:pPr>
            <w:r>
              <w:rPr>
                <w:rFonts w:ascii="Arial" w:hAnsi="Arial" w:cs="Arial"/>
                <w:sz w:val="18"/>
                <w:szCs w:val="18"/>
              </w:rPr>
              <w:t>32</w:t>
            </w:r>
            <w:r w:rsidRPr="004D3E2D">
              <w:rPr>
                <w:rFonts w:ascii="Arial" w:hAnsi="Arial" w:cs="Arial"/>
                <w:sz w:val="18"/>
                <w:szCs w:val="18"/>
              </w:rPr>
              <w:t>%</w:t>
            </w:r>
          </w:p>
        </w:tc>
        <w:tc>
          <w:tcPr>
            <w:tcW w:w="992" w:type="dxa"/>
            <w:gridSpan w:val="3"/>
            <w:tcBorders>
              <w:top w:val="single" w:sz="4" w:space="0" w:color="808080" w:themeColor="background1" w:themeShade="80"/>
              <w:bottom w:val="single" w:sz="4" w:space="0" w:color="808080" w:themeColor="background1" w:themeShade="80"/>
            </w:tcBorders>
            <w:vAlign w:val="center"/>
          </w:tcPr>
          <w:p w14:paraId="2AD74292" w14:textId="174BADB9"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hAnsi="Arial" w:cs="Arial"/>
                <w:sz w:val="18"/>
                <w:szCs w:val="18"/>
              </w:rPr>
            </w:pPr>
            <w:r>
              <w:rPr>
                <w:rFonts w:ascii="Arial" w:eastAsia="Times New Roman" w:hAnsi="Arial" w:cs="Arial"/>
                <w:sz w:val="18"/>
                <w:szCs w:val="20"/>
                <w:lang w:eastAsia="el-GR"/>
              </w:rPr>
              <w:t>32%</w:t>
            </w:r>
          </w:p>
        </w:tc>
        <w:tc>
          <w:tcPr>
            <w:tcW w:w="851" w:type="dxa"/>
            <w:gridSpan w:val="2"/>
            <w:tcBorders>
              <w:top w:val="single" w:sz="4" w:space="0" w:color="808080" w:themeColor="background1" w:themeShade="80"/>
              <w:bottom w:val="single" w:sz="4" w:space="0" w:color="808080" w:themeColor="background1" w:themeShade="80"/>
            </w:tcBorders>
            <w:vAlign w:val="center"/>
          </w:tcPr>
          <w:p w14:paraId="6423BD72" w14:textId="09CA52B6"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hAnsi="Arial" w:cs="Arial"/>
                <w:sz w:val="18"/>
                <w:szCs w:val="18"/>
              </w:rPr>
            </w:pPr>
            <w:r>
              <w:rPr>
                <w:rFonts w:ascii="Arial" w:hAnsi="Arial" w:cs="Arial"/>
                <w:sz w:val="18"/>
                <w:szCs w:val="18"/>
              </w:rPr>
              <w:t>29</w:t>
            </w:r>
            <w:r w:rsidRPr="00A80F70">
              <w:rPr>
                <w:rFonts w:ascii="Arial" w:hAnsi="Arial" w:cs="Arial"/>
                <w:sz w:val="18"/>
                <w:szCs w:val="18"/>
              </w:rPr>
              <w:t>%</w:t>
            </w:r>
          </w:p>
        </w:tc>
        <w:tc>
          <w:tcPr>
            <w:tcW w:w="992" w:type="dxa"/>
            <w:gridSpan w:val="2"/>
            <w:tcBorders>
              <w:top w:val="single" w:sz="4" w:space="0" w:color="808080" w:themeColor="background1" w:themeShade="80"/>
              <w:bottom w:val="single" w:sz="4" w:space="0" w:color="808080" w:themeColor="background1" w:themeShade="80"/>
            </w:tcBorders>
            <w:vAlign w:val="center"/>
          </w:tcPr>
          <w:p w14:paraId="5F5445BA" w14:textId="5A5286D6"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8"/>
                <w:szCs w:val="18"/>
                <w:lang w:eastAsia="el-GR"/>
              </w:rPr>
            </w:pPr>
            <w:r>
              <w:rPr>
                <w:rFonts w:ascii="Arial" w:eastAsia="Times New Roman" w:hAnsi="Arial" w:cs="Arial"/>
                <w:sz w:val="18"/>
                <w:szCs w:val="20"/>
                <w:lang w:eastAsia="el-GR"/>
              </w:rPr>
              <w:t>3 p.p.</w:t>
            </w:r>
          </w:p>
        </w:tc>
        <w:tc>
          <w:tcPr>
            <w:tcW w:w="992"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F03CC0F" w14:textId="3885B9C5" w:rsidR="008B1868" w:rsidRPr="00CB38F0" w:rsidRDefault="008B1868" w:rsidP="008B1868">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8"/>
                <w:szCs w:val="18"/>
                <w:lang w:eastAsia="el-GR"/>
              </w:rPr>
            </w:pPr>
            <w:r>
              <w:rPr>
                <w:rFonts w:ascii="Arial" w:eastAsia="Times New Roman" w:hAnsi="Arial" w:cs="Arial"/>
                <w:sz w:val="18"/>
                <w:szCs w:val="20"/>
                <w:lang w:eastAsia="el-GR"/>
              </w:rPr>
              <w:t xml:space="preserve">-2 </w:t>
            </w:r>
            <w:r>
              <w:rPr>
                <w:rFonts w:ascii="Arial" w:eastAsia="Times New Roman" w:hAnsi="Arial" w:cs="Arial"/>
                <w:sz w:val="18"/>
                <w:szCs w:val="20"/>
                <w:lang w:val="el-GR" w:eastAsia="el-GR"/>
              </w:rPr>
              <w:t>ε</w:t>
            </w:r>
            <w:r>
              <w:rPr>
                <w:rFonts w:ascii="Arial" w:eastAsia="Times New Roman" w:hAnsi="Arial" w:cs="Arial"/>
                <w:sz w:val="18"/>
                <w:szCs w:val="20"/>
                <w:lang w:eastAsia="el-GR"/>
              </w:rPr>
              <w:t>.</w:t>
            </w:r>
            <w:r>
              <w:rPr>
                <w:rFonts w:ascii="Arial" w:eastAsia="Times New Roman" w:hAnsi="Arial" w:cs="Arial"/>
                <w:sz w:val="18"/>
                <w:szCs w:val="20"/>
                <w:lang w:val="el-GR" w:eastAsia="el-GR"/>
              </w:rPr>
              <w:t>μ</w:t>
            </w:r>
            <w:r>
              <w:rPr>
                <w:rFonts w:ascii="Arial" w:eastAsia="Times New Roman" w:hAnsi="Arial" w:cs="Arial"/>
                <w:sz w:val="18"/>
                <w:szCs w:val="20"/>
                <w:lang w:eastAsia="el-GR"/>
              </w:rPr>
              <w:t>.</w:t>
            </w:r>
          </w:p>
        </w:tc>
      </w:tr>
      <w:tr w:rsidR="00D115A5" w:rsidRPr="00CF1753" w14:paraId="56109160" w14:textId="77777777" w:rsidTr="00D022B5">
        <w:trPr>
          <w:gridAfter w:val="1"/>
          <w:wAfter w:w="59" w:type="dxa"/>
          <w:trHeight w:val="70"/>
        </w:trPr>
        <w:tc>
          <w:tcPr>
            <w:tcW w:w="1091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765110" w14:textId="0642BCA1" w:rsidR="00D115A5" w:rsidRPr="00CB38F0" w:rsidRDefault="00D115A5" w:rsidP="002354D5">
            <w:pPr>
              <w:tabs>
                <w:tab w:val="left" w:pos="0"/>
                <w:tab w:val="left" w:pos="1416"/>
                <w:tab w:val="decimal" w:pos="4962"/>
                <w:tab w:val="decimal" w:pos="6521"/>
                <w:tab w:val="right" w:pos="7560"/>
                <w:tab w:val="decimal" w:pos="8220"/>
                <w:tab w:val="left" w:pos="8640"/>
                <w:tab w:val="right" w:pos="9000"/>
              </w:tabs>
              <w:suppressAutoHyphens/>
              <w:spacing w:after="0" w:line="240" w:lineRule="auto"/>
              <w:ind w:right="20"/>
              <w:rPr>
                <w:rFonts w:ascii="Arial" w:eastAsia="Times New Roman" w:hAnsi="Arial" w:cs="Arial"/>
                <w:sz w:val="18"/>
                <w:szCs w:val="18"/>
                <w:lang w:val="el-GR" w:eastAsia="el-GR"/>
              </w:rPr>
            </w:pPr>
            <w:r w:rsidRPr="00CB38F0">
              <w:rPr>
                <w:rFonts w:ascii="Arial" w:hAnsi="Arial" w:cs="Arial"/>
                <w:color w:val="000000" w:themeColor="text1"/>
                <w:sz w:val="14"/>
                <w:szCs w:val="14"/>
                <w:lang w:val="el-GR"/>
              </w:rPr>
              <w:t>Ε.μ. = εκατοστιαίες μονάδες, μ.β.= μονάδες βάσης, 100 μονάδες βάσης = 1 εκατοστιαία μονάδα</w:t>
            </w:r>
          </w:p>
        </w:tc>
      </w:tr>
    </w:tbl>
    <w:p w14:paraId="1C68A9A5" w14:textId="77777777" w:rsidR="00B8620D" w:rsidRPr="006B5511" w:rsidRDefault="00B8620D" w:rsidP="000C4E0F">
      <w:pPr>
        <w:spacing w:after="0" w:line="240" w:lineRule="auto"/>
        <w:rPr>
          <w:rFonts w:ascii="Arial" w:hAnsi="Arial" w:cs="Arial"/>
          <w:b/>
          <w:bCs/>
          <w:sz w:val="20"/>
          <w:szCs w:val="20"/>
          <w:highlight w:val="yellow"/>
          <w:lang w:val="el-GR"/>
        </w:rPr>
      </w:pPr>
    </w:p>
    <w:p w14:paraId="35C10B2B" w14:textId="77777777" w:rsidR="003F626D" w:rsidRPr="00CB38F0" w:rsidRDefault="003F626D" w:rsidP="00BC4C32">
      <w:pPr>
        <w:spacing w:after="0" w:line="240" w:lineRule="auto"/>
        <w:jc w:val="both"/>
        <w:rPr>
          <w:rFonts w:ascii="Arial" w:eastAsia="Times New Roman" w:hAnsi="Arial" w:cs="Arial"/>
          <w:b/>
          <w:sz w:val="16"/>
          <w:szCs w:val="16"/>
          <w:lang w:val="el-GR" w:eastAsia="el-GR"/>
        </w:rPr>
      </w:pPr>
    </w:p>
    <w:p w14:paraId="61304E8C" w14:textId="27D81253" w:rsidR="0023522D" w:rsidRPr="006A1797" w:rsidRDefault="00B71EE6" w:rsidP="00C002AC">
      <w:pPr>
        <w:spacing w:after="0" w:line="240" w:lineRule="auto"/>
        <w:jc w:val="both"/>
        <w:rPr>
          <w:rFonts w:ascii="Arial" w:eastAsia="Times New Roman" w:hAnsi="Arial" w:cs="Arial"/>
          <w:sz w:val="18"/>
          <w:szCs w:val="18"/>
          <w:lang w:val="el-GR" w:eastAsia="el-GR"/>
        </w:rPr>
      </w:pPr>
      <w:r w:rsidRPr="00CB38F0">
        <w:rPr>
          <w:rFonts w:ascii="Arial" w:eastAsia="Times New Roman" w:hAnsi="Arial" w:cs="Arial"/>
          <w:b/>
          <w:sz w:val="18"/>
          <w:szCs w:val="18"/>
          <w:lang w:val="el-GR" w:eastAsia="el-GR"/>
        </w:rPr>
        <w:t>Τα συνολικά έξοδα</w:t>
      </w:r>
      <w:r w:rsidRPr="00CB38F0">
        <w:rPr>
          <w:rFonts w:ascii="Arial" w:eastAsia="Times New Roman" w:hAnsi="Arial" w:cs="Arial"/>
          <w:sz w:val="18"/>
          <w:szCs w:val="18"/>
          <w:lang w:val="el-GR" w:eastAsia="el-GR"/>
        </w:rPr>
        <w:t xml:space="preserve"> για </w:t>
      </w:r>
      <w:r w:rsidR="004369F4" w:rsidRPr="00CB38F0">
        <w:rPr>
          <w:rFonts w:ascii="Arial" w:eastAsia="Times New Roman" w:hAnsi="Arial" w:cs="Arial"/>
          <w:sz w:val="18"/>
          <w:szCs w:val="18"/>
          <w:lang w:val="el-GR" w:eastAsia="el-GR"/>
        </w:rPr>
        <w:t xml:space="preserve">το </w:t>
      </w:r>
      <w:r w:rsidR="00A7541E" w:rsidRPr="00CB38F0">
        <w:rPr>
          <w:rFonts w:ascii="Arial" w:eastAsia="Times New Roman" w:hAnsi="Arial" w:cs="Arial"/>
          <w:sz w:val="18"/>
          <w:szCs w:val="18"/>
          <w:lang w:val="el-GR" w:eastAsia="el-GR"/>
        </w:rPr>
        <w:t>α΄ εξάμηνο 2024</w:t>
      </w:r>
      <w:r w:rsidR="00A7541E" w:rsidRPr="00CB38F0">
        <w:rPr>
          <w:rFonts w:ascii="Arial" w:hAnsi="Arial" w:cs="Arial"/>
          <w:sz w:val="18"/>
          <w:szCs w:val="18"/>
          <w:lang w:val="el-GR"/>
        </w:rPr>
        <w:t xml:space="preserve"> </w:t>
      </w:r>
      <w:r w:rsidR="00A7541E" w:rsidRPr="00CB38F0">
        <w:rPr>
          <w:rFonts w:ascii="Arial" w:eastAsia="Times New Roman" w:hAnsi="Arial" w:cs="Arial"/>
          <w:sz w:val="18"/>
          <w:szCs w:val="18"/>
          <w:lang w:val="el-GR" w:eastAsia="el-GR"/>
        </w:rPr>
        <w:t xml:space="preserve">ανήλθαν σε </w:t>
      </w:r>
      <w:r w:rsidR="00A7541E" w:rsidRPr="00CB38F0">
        <w:rPr>
          <w:rFonts w:ascii="Arial" w:hAnsi="Arial" w:cs="Arial"/>
          <w:sz w:val="18"/>
          <w:szCs w:val="18"/>
          <w:lang w:val="el-GR" w:eastAsia="el-GR"/>
        </w:rPr>
        <w:t>€</w:t>
      </w:r>
      <w:r w:rsidR="008B1868" w:rsidRPr="006A1797">
        <w:rPr>
          <w:rFonts w:ascii="Arial" w:eastAsia="Times New Roman" w:hAnsi="Arial" w:cs="Arial"/>
          <w:sz w:val="18"/>
          <w:szCs w:val="20"/>
          <w:lang w:val="el-GR" w:eastAsia="el-GR"/>
        </w:rPr>
        <w:t xml:space="preserve">186 </w:t>
      </w:r>
      <w:r w:rsidR="00A7541E" w:rsidRPr="00CB38F0">
        <w:rPr>
          <w:rFonts w:ascii="Arial" w:hAnsi="Arial" w:cs="Arial"/>
          <w:sz w:val="18"/>
          <w:szCs w:val="18"/>
          <w:lang w:val="el-GR" w:eastAsia="el-GR"/>
        </w:rPr>
        <w:t xml:space="preserve">εκατ. (σε σύγκριση με €180 εκατ. για </w:t>
      </w:r>
      <w:r w:rsidR="00A7541E" w:rsidRPr="00CB38F0">
        <w:rPr>
          <w:rFonts w:ascii="Arial" w:eastAsia="Batang" w:hAnsi="Arial" w:cs="Arial"/>
          <w:sz w:val="18"/>
          <w:szCs w:val="18"/>
          <w:lang w:val="el-GR" w:eastAsia="en-US"/>
        </w:rPr>
        <w:t xml:space="preserve">το </w:t>
      </w:r>
      <w:r w:rsidR="00A7541E" w:rsidRPr="00CB38F0">
        <w:rPr>
          <w:rFonts w:ascii="Arial" w:eastAsia="Times New Roman" w:hAnsi="Arial" w:cs="Arial"/>
          <w:sz w:val="18"/>
          <w:szCs w:val="18"/>
          <w:lang w:val="el-GR" w:eastAsia="el-GR"/>
        </w:rPr>
        <w:t xml:space="preserve">α’ εξάμηνο 2023, αυξημένα κατά </w:t>
      </w:r>
      <w:r w:rsidR="008B1868" w:rsidRPr="006A1797">
        <w:rPr>
          <w:rFonts w:ascii="Arial" w:eastAsia="Times New Roman" w:hAnsi="Arial" w:cs="Arial"/>
          <w:sz w:val="18"/>
          <w:szCs w:val="20"/>
          <w:lang w:val="el-GR" w:eastAsia="el-GR"/>
        </w:rPr>
        <w:t>4</w:t>
      </w:r>
      <w:r w:rsidR="00A7541E" w:rsidRPr="00CB38F0">
        <w:rPr>
          <w:rFonts w:ascii="Arial" w:eastAsia="Times New Roman" w:hAnsi="Arial" w:cs="Arial"/>
          <w:sz w:val="18"/>
          <w:szCs w:val="18"/>
          <w:lang w:val="el-GR" w:eastAsia="el-GR"/>
        </w:rPr>
        <w:t>% σε ετήσια βάση)</w:t>
      </w:r>
      <w:r w:rsidR="00A7541E" w:rsidRPr="00CB38F0">
        <w:rPr>
          <w:rFonts w:ascii="Arial" w:hAnsi="Arial" w:cs="Arial"/>
          <w:sz w:val="18"/>
          <w:szCs w:val="18"/>
          <w:lang w:val="el-GR" w:eastAsia="el-GR"/>
        </w:rPr>
        <w:t xml:space="preserve">, εκ των οποίων </w:t>
      </w:r>
      <w:r w:rsidR="00A7541E" w:rsidRPr="006A1797">
        <w:rPr>
          <w:rFonts w:ascii="Arial" w:eastAsia="Times New Roman" w:hAnsi="Arial" w:cs="Arial"/>
          <w:color w:val="000000" w:themeColor="text1"/>
          <w:sz w:val="18"/>
          <w:szCs w:val="18"/>
          <w:lang w:val="el-GR" w:eastAsia="el-GR"/>
        </w:rPr>
        <w:t>52</w:t>
      </w:r>
      <w:r w:rsidR="00A7541E" w:rsidRPr="00CB38F0">
        <w:rPr>
          <w:rFonts w:ascii="Arial" w:hAnsi="Arial" w:cs="Arial"/>
          <w:sz w:val="18"/>
          <w:szCs w:val="18"/>
          <w:lang w:val="el-GR" w:eastAsia="el-GR"/>
        </w:rPr>
        <w:t>% αφορά το κόστος προσωπικού (€</w:t>
      </w:r>
      <w:r w:rsidR="008B1868" w:rsidRPr="006A1797">
        <w:rPr>
          <w:rFonts w:ascii="Arial" w:eastAsia="Times New Roman" w:hAnsi="Arial" w:cs="Arial"/>
          <w:sz w:val="18"/>
          <w:szCs w:val="20"/>
          <w:lang w:val="el-GR" w:eastAsia="el-GR"/>
        </w:rPr>
        <w:t>96</w:t>
      </w:r>
      <w:r w:rsidR="008B1868">
        <w:rPr>
          <w:rFonts w:ascii="Arial" w:eastAsia="Times New Roman" w:hAnsi="Arial" w:cs="Arial"/>
          <w:sz w:val="18"/>
          <w:szCs w:val="20"/>
          <w:lang w:val="el-GR" w:eastAsia="el-GR"/>
        </w:rPr>
        <w:t xml:space="preserve"> </w:t>
      </w:r>
      <w:r w:rsidR="00A7541E" w:rsidRPr="00CB38F0">
        <w:rPr>
          <w:rFonts w:ascii="Arial" w:hAnsi="Arial" w:cs="Arial"/>
          <w:sz w:val="18"/>
          <w:szCs w:val="18"/>
          <w:lang w:val="el-GR" w:eastAsia="el-GR"/>
        </w:rPr>
        <w:t xml:space="preserve">εκατ.), </w:t>
      </w:r>
      <w:r w:rsidR="008B1868" w:rsidRPr="006A1797">
        <w:rPr>
          <w:rFonts w:ascii="Arial" w:eastAsia="Times New Roman" w:hAnsi="Arial" w:cs="Arial"/>
          <w:sz w:val="18"/>
          <w:szCs w:val="20"/>
          <w:lang w:val="el-GR" w:eastAsia="el-GR"/>
        </w:rPr>
        <w:t>38</w:t>
      </w:r>
      <w:r w:rsidR="00A7541E" w:rsidRPr="00CB38F0">
        <w:rPr>
          <w:rFonts w:ascii="Arial" w:hAnsi="Arial" w:cs="Arial"/>
          <w:sz w:val="18"/>
          <w:szCs w:val="18"/>
          <w:lang w:val="el-GR" w:eastAsia="el-GR"/>
        </w:rPr>
        <w:t>% αφορά τα άλλα λειτουργικά έξοδα (€</w:t>
      </w:r>
      <w:r w:rsidR="008B1868" w:rsidRPr="006A1797">
        <w:rPr>
          <w:rFonts w:ascii="Arial" w:eastAsia="Times New Roman" w:hAnsi="Arial" w:cs="Arial"/>
          <w:sz w:val="18"/>
          <w:szCs w:val="20"/>
          <w:lang w:val="el-GR" w:eastAsia="el-GR"/>
        </w:rPr>
        <w:t>71</w:t>
      </w:r>
      <w:r w:rsidR="008B1868">
        <w:rPr>
          <w:rFonts w:ascii="Arial" w:eastAsia="Times New Roman" w:hAnsi="Arial" w:cs="Arial"/>
          <w:sz w:val="18"/>
          <w:szCs w:val="20"/>
          <w:lang w:val="el-GR" w:eastAsia="el-GR"/>
        </w:rPr>
        <w:t xml:space="preserve"> </w:t>
      </w:r>
      <w:r w:rsidR="00A7541E" w:rsidRPr="00CB38F0">
        <w:rPr>
          <w:rFonts w:ascii="Arial" w:hAnsi="Arial" w:cs="Arial"/>
          <w:sz w:val="18"/>
          <w:szCs w:val="18"/>
          <w:lang w:val="el-GR" w:eastAsia="el-GR"/>
        </w:rPr>
        <w:t xml:space="preserve">εκατ.) και </w:t>
      </w:r>
      <w:r w:rsidR="008B1868" w:rsidRPr="006A1797">
        <w:rPr>
          <w:rFonts w:ascii="Arial" w:eastAsia="Times New Roman" w:hAnsi="Arial" w:cs="Arial"/>
          <w:sz w:val="18"/>
          <w:szCs w:val="20"/>
          <w:lang w:val="el-GR" w:eastAsia="el-GR"/>
        </w:rPr>
        <w:t>10</w:t>
      </w:r>
      <w:r w:rsidR="00A7541E" w:rsidRPr="00CB38F0">
        <w:rPr>
          <w:rFonts w:ascii="Arial" w:hAnsi="Arial" w:cs="Arial"/>
          <w:sz w:val="18"/>
          <w:szCs w:val="18"/>
          <w:lang w:val="el-GR" w:eastAsia="el-GR"/>
        </w:rPr>
        <w:t>% αφορά τον ειδικό</w:t>
      </w:r>
      <w:r w:rsidR="00A7541E" w:rsidRPr="008B1868">
        <w:rPr>
          <w:rFonts w:ascii="Arial" w:hAnsi="Arial" w:cs="Arial"/>
          <w:sz w:val="18"/>
          <w:szCs w:val="18"/>
          <w:lang w:val="el-GR" w:eastAsia="el-GR"/>
        </w:rPr>
        <w:t xml:space="preserve"> φόρο επί των καταθέσεων και άλλα τέλη/εισφορές (€</w:t>
      </w:r>
      <w:r w:rsidR="008B1868" w:rsidRPr="006A1797">
        <w:rPr>
          <w:rFonts w:ascii="Arial" w:eastAsia="Times New Roman" w:hAnsi="Arial" w:cs="Arial"/>
          <w:sz w:val="18"/>
          <w:szCs w:val="20"/>
          <w:lang w:val="el-GR" w:eastAsia="el-GR"/>
        </w:rPr>
        <w:t>19</w:t>
      </w:r>
      <w:r w:rsidR="008B1868" w:rsidRPr="008B1868">
        <w:rPr>
          <w:rFonts w:ascii="Arial" w:eastAsia="Times New Roman" w:hAnsi="Arial" w:cs="Arial"/>
          <w:sz w:val="18"/>
          <w:szCs w:val="20"/>
          <w:lang w:val="el-GR" w:eastAsia="el-GR"/>
        </w:rPr>
        <w:t xml:space="preserve"> </w:t>
      </w:r>
      <w:r w:rsidR="00A7541E" w:rsidRPr="008B1868">
        <w:rPr>
          <w:rFonts w:ascii="Arial" w:hAnsi="Arial" w:cs="Arial"/>
          <w:sz w:val="18"/>
          <w:szCs w:val="18"/>
          <w:lang w:val="el-GR" w:eastAsia="el-GR"/>
        </w:rPr>
        <w:t xml:space="preserve">εκατ.). </w:t>
      </w:r>
      <w:r w:rsidR="00A7541E" w:rsidRPr="006A1797">
        <w:rPr>
          <w:rFonts w:ascii="Arial" w:hAnsi="Arial" w:cs="Arial"/>
          <w:sz w:val="18"/>
          <w:szCs w:val="18"/>
          <w:lang w:val="el-GR" w:eastAsia="el-GR"/>
        </w:rPr>
        <w:t>Η ετήσια αύξηση οφείλεται στο υψηλότερο κόστος προσωπικού.</w:t>
      </w:r>
      <w:r w:rsidR="00A7541E" w:rsidRPr="008B1868">
        <w:rPr>
          <w:rFonts w:ascii="Arial" w:eastAsia="Times New Roman" w:hAnsi="Arial" w:cs="Arial"/>
          <w:b/>
          <w:sz w:val="18"/>
          <w:szCs w:val="18"/>
          <w:lang w:val="el-GR" w:eastAsia="el-GR"/>
        </w:rPr>
        <w:t xml:space="preserve"> </w:t>
      </w:r>
      <w:r w:rsidR="00A7541E" w:rsidRPr="008B1868">
        <w:rPr>
          <w:rFonts w:ascii="Arial" w:eastAsia="Times New Roman" w:hAnsi="Arial" w:cs="Arial"/>
          <w:bCs/>
          <w:sz w:val="18"/>
          <w:szCs w:val="18"/>
          <w:lang w:val="el-GR" w:eastAsia="el-GR"/>
        </w:rPr>
        <w:t>Τα συνολικά έξοδα για το β</w:t>
      </w:r>
      <w:r w:rsidR="0023522D" w:rsidRPr="008B1868">
        <w:rPr>
          <w:rFonts w:ascii="Arial" w:eastAsia="Times New Roman" w:hAnsi="Arial" w:cs="Arial"/>
          <w:sz w:val="18"/>
          <w:szCs w:val="18"/>
          <w:lang w:val="el-GR" w:eastAsia="el-GR"/>
        </w:rPr>
        <w:t>΄ τρίμηνο 2024</w:t>
      </w:r>
      <w:r w:rsidR="00F8557E" w:rsidRPr="008B1868">
        <w:rPr>
          <w:rFonts w:ascii="Arial" w:hAnsi="Arial" w:cs="Arial"/>
          <w:sz w:val="18"/>
          <w:szCs w:val="18"/>
          <w:lang w:val="el-GR"/>
        </w:rPr>
        <w:t xml:space="preserve"> </w:t>
      </w:r>
      <w:r w:rsidRPr="008B1868">
        <w:rPr>
          <w:rFonts w:ascii="Arial" w:eastAsia="Times New Roman" w:hAnsi="Arial" w:cs="Arial"/>
          <w:sz w:val="18"/>
          <w:szCs w:val="18"/>
          <w:lang w:val="el-GR" w:eastAsia="el-GR"/>
        </w:rPr>
        <w:t xml:space="preserve">ανήλθαν σε </w:t>
      </w:r>
      <w:r w:rsidRPr="008B1868">
        <w:rPr>
          <w:rFonts w:ascii="Arial" w:hAnsi="Arial" w:cs="Arial"/>
          <w:sz w:val="18"/>
          <w:szCs w:val="18"/>
          <w:lang w:val="el-GR" w:eastAsia="el-GR"/>
        </w:rPr>
        <w:t>€</w:t>
      </w:r>
      <w:r w:rsidR="008B1868" w:rsidRPr="006A1797">
        <w:rPr>
          <w:rFonts w:ascii="Arial" w:eastAsia="Times New Roman" w:hAnsi="Arial" w:cs="Arial"/>
          <w:bCs/>
          <w:sz w:val="18"/>
          <w:szCs w:val="20"/>
          <w:lang w:val="el-GR" w:eastAsia="el-GR"/>
        </w:rPr>
        <w:t>94</w:t>
      </w:r>
      <w:r w:rsidR="008B1868" w:rsidRPr="008B1868">
        <w:rPr>
          <w:rFonts w:ascii="Arial" w:eastAsia="Times New Roman" w:hAnsi="Arial" w:cs="Arial"/>
          <w:bCs/>
          <w:sz w:val="18"/>
          <w:szCs w:val="20"/>
          <w:lang w:val="el-GR" w:eastAsia="el-GR"/>
        </w:rPr>
        <w:t xml:space="preserve"> </w:t>
      </w:r>
      <w:r w:rsidRPr="008B1868">
        <w:rPr>
          <w:rFonts w:ascii="Arial" w:hAnsi="Arial" w:cs="Arial"/>
          <w:sz w:val="18"/>
          <w:szCs w:val="18"/>
          <w:lang w:val="el-GR" w:eastAsia="el-GR"/>
        </w:rPr>
        <w:t>εκατ. (σε σύγκριση με €</w:t>
      </w:r>
      <w:r w:rsidR="00A7541E" w:rsidRPr="008B1868">
        <w:rPr>
          <w:rFonts w:ascii="Arial" w:hAnsi="Arial" w:cs="Arial"/>
          <w:sz w:val="18"/>
          <w:szCs w:val="18"/>
          <w:lang w:val="el-GR" w:eastAsia="el-GR"/>
        </w:rPr>
        <w:t xml:space="preserve">92 </w:t>
      </w:r>
      <w:r w:rsidRPr="008B1868">
        <w:rPr>
          <w:rFonts w:ascii="Arial" w:hAnsi="Arial" w:cs="Arial"/>
          <w:sz w:val="18"/>
          <w:szCs w:val="18"/>
          <w:lang w:val="el-GR" w:eastAsia="el-GR"/>
        </w:rPr>
        <w:t xml:space="preserve">εκατ. </w:t>
      </w:r>
      <w:r w:rsidR="00F8557E" w:rsidRPr="008B1868">
        <w:rPr>
          <w:rFonts w:ascii="Arial" w:hAnsi="Arial" w:cs="Arial"/>
          <w:sz w:val="18"/>
          <w:szCs w:val="18"/>
          <w:lang w:val="el-GR" w:eastAsia="el-GR"/>
        </w:rPr>
        <w:t xml:space="preserve">για </w:t>
      </w:r>
      <w:r w:rsidR="00F8557E" w:rsidRPr="008B1868">
        <w:rPr>
          <w:rFonts w:ascii="Arial" w:eastAsia="Batang" w:hAnsi="Arial" w:cs="Arial"/>
          <w:sz w:val="18"/>
          <w:szCs w:val="18"/>
          <w:lang w:val="el-GR" w:eastAsia="en-US"/>
        </w:rPr>
        <w:t xml:space="preserve">το </w:t>
      </w:r>
      <w:r w:rsidR="00A7541E" w:rsidRPr="008B1868">
        <w:rPr>
          <w:rFonts w:ascii="Arial" w:eastAsia="Times New Roman" w:hAnsi="Arial" w:cs="Arial"/>
          <w:sz w:val="18"/>
          <w:szCs w:val="18"/>
          <w:lang w:val="el-GR" w:eastAsia="el-GR"/>
        </w:rPr>
        <w:t xml:space="preserve">α’ </w:t>
      </w:r>
      <w:r w:rsidR="0023522D" w:rsidRPr="008B1868">
        <w:rPr>
          <w:rFonts w:ascii="Arial" w:eastAsia="Times New Roman" w:hAnsi="Arial" w:cs="Arial"/>
          <w:sz w:val="18"/>
          <w:szCs w:val="18"/>
          <w:lang w:val="el-GR" w:eastAsia="el-GR"/>
        </w:rPr>
        <w:t xml:space="preserve">τρίμηνο </w:t>
      </w:r>
      <w:r w:rsidR="00A7541E" w:rsidRPr="008B1868">
        <w:rPr>
          <w:rFonts w:ascii="Arial" w:eastAsia="Times New Roman" w:hAnsi="Arial" w:cs="Arial"/>
          <w:sz w:val="18"/>
          <w:szCs w:val="18"/>
          <w:lang w:val="el-GR" w:eastAsia="el-GR"/>
        </w:rPr>
        <w:t>2024</w:t>
      </w:r>
      <w:r w:rsidRPr="008B1868">
        <w:rPr>
          <w:rFonts w:ascii="Arial" w:eastAsia="Times New Roman" w:hAnsi="Arial" w:cs="Arial"/>
          <w:sz w:val="18"/>
          <w:szCs w:val="18"/>
          <w:lang w:val="el-GR" w:eastAsia="el-GR"/>
        </w:rPr>
        <w:t>,</w:t>
      </w:r>
      <w:r w:rsidR="008B1868" w:rsidRPr="008B1868">
        <w:rPr>
          <w:rFonts w:ascii="Arial" w:eastAsia="Times New Roman" w:hAnsi="Arial" w:cs="Arial"/>
          <w:sz w:val="18"/>
          <w:szCs w:val="18"/>
          <w:lang w:val="el-GR" w:eastAsia="el-GR"/>
        </w:rPr>
        <w:t xml:space="preserve"> </w:t>
      </w:r>
      <w:r w:rsidR="00A7541E" w:rsidRPr="008B1868">
        <w:rPr>
          <w:rFonts w:ascii="Arial" w:eastAsia="Times New Roman" w:hAnsi="Arial" w:cs="Arial"/>
          <w:sz w:val="18"/>
          <w:szCs w:val="18"/>
          <w:lang w:val="el-GR" w:eastAsia="el-GR"/>
        </w:rPr>
        <w:t>αυξημένα</w:t>
      </w:r>
      <w:r w:rsidR="0023522D" w:rsidRPr="008B1868">
        <w:rPr>
          <w:rFonts w:ascii="Arial" w:eastAsia="Times New Roman" w:hAnsi="Arial" w:cs="Arial"/>
          <w:sz w:val="18"/>
          <w:szCs w:val="18"/>
          <w:lang w:val="el-GR" w:eastAsia="el-GR"/>
        </w:rPr>
        <w:t xml:space="preserve"> </w:t>
      </w:r>
      <w:r w:rsidR="00A265CD" w:rsidRPr="008B1868">
        <w:rPr>
          <w:rFonts w:ascii="Arial" w:eastAsia="Times New Roman" w:hAnsi="Arial" w:cs="Arial"/>
          <w:sz w:val="18"/>
          <w:szCs w:val="18"/>
          <w:lang w:val="el-GR" w:eastAsia="el-GR"/>
        </w:rPr>
        <w:t xml:space="preserve">κατά </w:t>
      </w:r>
      <w:r w:rsidR="008B1868" w:rsidRPr="006A1797">
        <w:rPr>
          <w:rFonts w:ascii="Arial" w:eastAsia="Times New Roman" w:hAnsi="Arial" w:cs="Arial"/>
          <w:bCs/>
          <w:sz w:val="18"/>
          <w:szCs w:val="20"/>
          <w:lang w:val="el-GR" w:eastAsia="el-GR"/>
        </w:rPr>
        <w:t>1</w:t>
      </w:r>
      <w:r w:rsidR="00A265CD" w:rsidRPr="008B1868">
        <w:rPr>
          <w:rFonts w:ascii="Arial" w:eastAsia="Times New Roman" w:hAnsi="Arial" w:cs="Arial"/>
          <w:sz w:val="18"/>
          <w:szCs w:val="18"/>
          <w:lang w:val="el-GR" w:eastAsia="el-GR"/>
        </w:rPr>
        <w:t>%</w:t>
      </w:r>
      <w:r w:rsidR="006C0410" w:rsidRPr="008B1868">
        <w:rPr>
          <w:rFonts w:ascii="Arial" w:eastAsia="Times New Roman" w:hAnsi="Arial" w:cs="Arial"/>
          <w:sz w:val="18"/>
          <w:szCs w:val="18"/>
          <w:lang w:val="el-GR" w:eastAsia="el-GR"/>
        </w:rPr>
        <w:t xml:space="preserve"> </w:t>
      </w:r>
      <w:r w:rsidR="0023522D" w:rsidRPr="008B1868">
        <w:rPr>
          <w:rFonts w:ascii="Arial" w:eastAsia="Times New Roman" w:hAnsi="Arial" w:cs="Arial"/>
          <w:sz w:val="18"/>
          <w:szCs w:val="18"/>
          <w:lang w:val="el-GR" w:eastAsia="el-GR"/>
        </w:rPr>
        <w:t>σε τριμηνιαία βάση</w:t>
      </w:r>
      <w:r w:rsidR="008B1868">
        <w:rPr>
          <w:rFonts w:ascii="Arial" w:eastAsia="Times New Roman" w:hAnsi="Arial" w:cs="Arial"/>
          <w:sz w:val="18"/>
          <w:szCs w:val="18"/>
          <w:lang w:val="el-GR" w:eastAsia="el-GR"/>
        </w:rPr>
        <w:t>)</w:t>
      </w:r>
      <w:r w:rsidR="00A7541E" w:rsidRPr="008B1868">
        <w:rPr>
          <w:rFonts w:ascii="Arial" w:eastAsia="Times New Roman" w:hAnsi="Arial" w:cs="Arial"/>
          <w:sz w:val="18"/>
          <w:szCs w:val="18"/>
          <w:lang w:val="el-GR" w:eastAsia="el-GR"/>
        </w:rPr>
        <w:t xml:space="preserve">, </w:t>
      </w:r>
      <w:r w:rsidR="008B1868" w:rsidRPr="008B1868">
        <w:rPr>
          <w:rFonts w:ascii="Arial" w:eastAsia="Times New Roman" w:hAnsi="Arial" w:cs="Arial"/>
          <w:sz w:val="18"/>
          <w:szCs w:val="18"/>
          <w:lang w:val="el-GR" w:eastAsia="el-GR"/>
        </w:rPr>
        <w:t>καθώς η αύξηση στα άλλα λειτουργικά έξοδα ύψους 15% σε τριμηνιαία βάση αντισταθμίστηκε εν μέρη από την μείωση</w:t>
      </w:r>
      <w:r w:rsidR="00A7541E" w:rsidRPr="008B1868">
        <w:rPr>
          <w:rFonts w:ascii="Arial" w:hAnsi="Arial" w:cs="Arial"/>
          <w:sz w:val="18"/>
          <w:szCs w:val="18"/>
          <w:lang w:val="el-GR" w:eastAsia="el-GR"/>
        </w:rPr>
        <w:t xml:space="preserve"> του ειδικού φόρου επί των καταθέσεων και άλλων τέλων/εισφορών </w:t>
      </w:r>
      <w:r w:rsidR="008B1868" w:rsidRPr="008B1868">
        <w:rPr>
          <w:rFonts w:ascii="Arial" w:hAnsi="Arial" w:cs="Arial"/>
          <w:sz w:val="18"/>
          <w:szCs w:val="18"/>
          <w:lang w:val="el-GR" w:eastAsia="el-GR"/>
        </w:rPr>
        <w:t xml:space="preserve">κατά </w:t>
      </w:r>
      <w:r w:rsidR="008B1868" w:rsidRPr="006A1797">
        <w:rPr>
          <w:rFonts w:ascii="Arial" w:hAnsi="Arial" w:cs="Arial"/>
          <w:sz w:val="18"/>
          <w:szCs w:val="18"/>
          <w:lang w:val="el-GR" w:eastAsia="el-GR"/>
        </w:rPr>
        <w:t>38</w:t>
      </w:r>
      <w:r w:rsidR="00A7541E" w:rsidRPr="008B1868">
        <w:rPr>
          <w:rFonts w:ascii="Arial" w:hAnsi="Arial" w:cs="Arial"/>
          <w:sz w:val="18"/>
          <w:szCs w:val="18"/>
          <w:lang w:val="el-GR" w:eastAsia="el-GR"/>
        </w:rPr>
        <w:t>% σε τριμηνιαία βάση.</w:t>
      </w:r>
    </w:p>
    <w:p w14:paraId="50E9639D" w14:textId="29D532A6" w:rsidR="00B71EE6" w:rsidRPr="00D022B5" w:rsidRDefault="00B71EE6" w:rsidP="00F26350">
      <w:pPr>
        <w:spacing w:after="0" w:line="240" w:lineRule="auto"/>
        <w:jc w:val="both"/>
        <w:rPr>
          <w:rFonts w:ascii="Arial" w:hAnsi="Arial" w:cs="Arial"/>
          <w:sz w:val="12"/>
          <w:szCs w:val="12"/>
          <w:lang w:val="el-GR" w:eastAsia="el-GR"/>
        </w:rPr>
      </w:pPr>
    </w:p>
    <w:p w14:paraId="634D4801" w14:textId="3DF5DC73" w:rsidR="00A7541E" w:rsidRPr="00CB38F0" w:rsidRDefault="00B71EE6" w:rsidP="00885409">
      <w:pPr>
        <w:spacing w:after="0" w:line="240" w:lineRule="auto"/>
        <w:jc w:val="both"/>
        <w:rPr>
          <w:rFonts w:ascii="Arial" w:hAnsi="Arial" w:cs="Arial"/>
          <w:sz w:val="18"/>
          <w:szCs w:val="18"/>
          <w:vertAlign w:val="superscript"/>
          <w:lang w:val="el-GR" w:eastAsia="el-GR"/>
        </w:rPr>
      </w:pPr>
      <w:r w:rsidRPr="00CB38F0">
        <w:rPr>
          <w:rFonts w:ascii="Arial" w:hAnsi="Arial" w:cs="Arial"/>
          <w:b/>
          <w:bCs/>
          <w:sz w:val="18"/>
          <w:szCs w:val="18"/>
          <w:lang w:val="el-GR" w:eastAsia="el-GR"/>
        </w:rPr>
        <w:t xml:space="preserve">Το </w:t>
      </w:r>
      <w:r w:rsidR="00EC74C1" w:rsidRPr="00CB38F0">
        <w:rPr>
          <w:rFonts w:ascii="Arial" w:hAnsi="Arial" w:cs="Arial"/>
          <w:b/>
          <w:bCs/>
          <w:sz w:val="18"/>
          <w:szCs w:val="18"/>
          <w:lang w:val="el-GR" w:eastAsia="el-GR"/>
        </w:rPr>
        <w:t>σ</w:t>
      </w:r>
      <w:r w:rsidRPr="00CB38F0">
        <w:rPr>
          <w:rFonts w:ascii="Arial" w:hAnsi="Arial" w:cs="Arial"/>
          <w:b/>
          <w:bCs/>
          <w:sz w:val="18"/>
          <w:szCs w:val="18"/>
          <w:lang w:val="el-GR" w:eastAsia="el-GR"/>
        </w:rPr>
        <w:t>ύνολο λειτουργικών εξόδων</w:t>
      </w:r>
      <w:r w:rsidRPr="00CB38F0">
        <w:rPr>
          <w:rFonts w:ascii="Arial" w:hAnsi="Arial" w:cs="Arial"/>
          <w:sz w:val="18"/>
          <w:szCs w:val="18"/>
          <w:lang w:val="el-GR" w:eastAsia="el-GR"/>
        </w:rPr>
        <w:t xml:space="preserve"> για </w:t>
      </w:r>
      <w:r w:rsidRPr="00CB38F0">
        <w:rPr>
          <w:rFonts w:ascii="Arial" w:eastAsia="Times New Roman" w:hAnsi="Arial" w:cs="Arial"/>
          <w:sz w:val="18"/>
          <w:szCs w:val="20"/>
          <w:lang w:val="el-GR" w:eastAsia="el-GR"/>
        </w:rPr>
        <w:t>το</w:t>
      </w:r>
      <w:r w:rsidR="00C22DBE" w:rsidRPr="00CB38F0">
        <w:rPr>
          <w:rFonts w:ascii="Arial" w:hAnsi="Arial" w:cs="Arial"/>
          <w:sz w:val="18"/>
          <w:szCs w:val="18"/>
          <w:vertAlign w:val="superscript"/>
          <w:lang w:val="el-GR" w:eastAsia="el-GR"/>
        </w:rPr>
        <w:t xml:space="preserve"> </w:t>
      </w:r>
      <w:r w:rsidR="00A7541E" w:rsidRPr="00231511">
        <w:rPr>
          <w:rFonts w:ascii="Arial" w:eastAsia="Times New Roman" w:hAnsi="Arial" w:cs="Arial"/>
          <w:sz w:val="18"/>
          <w:szCs w:val="18"/>
          <w:lang w:val="el-GR" w:eastAsia="el-GR"/>
        </w:rPr>
        <w:t>α΄ εξάμηνο 2024</w:t>
      </w:r>
      <w:r w:rsidR="00A7541E" w:rsidRPr="00231511">
        <w:rPr>
          <w:rFonts w:ascii="Arial" w:hAnsi="Arial" w:cs="Arial"/>
          <w:sz w:val="18"/>
          <w:szCs w:val="18"/>
          <w:lang w:val="el-GR"/>
        </w:rPr>
        <w:t xml:space="preserve"> </w:t>
      </w:r>
      <w:r w:rsidR="00A7541E" w:rsidRPr="00231511">
        <w:rPr>
          <w:rFonts w:ascii="Arial" w:eastAsia="Times New Roman" w:hAnsi="Arial" w:cs="Arial"/>
          <w:sz w:val="18"/>
          <w:szCs w:val="18"/>
          <w:lang w:val="el-GR" w:eastAsia="el-GR"/>
        </w:rPr>
        <w:t xml:space="preserve">ανήλθαν σε </w:t>
      </w:r>
      <w:r w:rsidR="00A7541E" w:rsidRPr="00231511">
        <w:rPr>
          <w:rFonts w:ascii="Arial" w:hAnsi="Arial" w:cs="Arial"/>
          <w:sz w:val="18"/>
          <w:szCs w:val="18"/>
          <w:lang w:val="el-GR" w:eastAsia="el-GR"/>
        </w:rPr>
        <w:t>€</w:t>
      </w:r>
      <w:r w:rsidR="008B1868" w:rsidRPr="006A1797">
        <w:rPr>
          <w:rFonts w:ascii="Arial" w:eastAsia="Times New Roman" w:hAnsi="Arial" w:cs="Arial"/>
          <w:sz w:val="18"/>
          <w:szCs w:val="20"/>
          <w:lang w:val="el-GR" w:eastAsia="el-GR"/>
        </w:rPr>
        <w:t>167</w:t>
      </w:r>
      <w:r w:rsidR="008B1868">
        <w:rPr>
          <w:rFonts w:ascii="Arial" w:eastAsia="Times New Roman" w:hAnsi="Arial" w:cs="Arial"/>
          <w:sz w:val="18"/>
          <w:szCs w:val="20"/>
          <w:lang w:val="el-GR" w:eastAsia="el-GR"/>
        </w:rPr>
        <w:t xml:space="preserve"> </w:t>
      </w:r>
      <w:r w:rsidR="00A7541E" w:rsidRPr="00231511">
        <w:rPr>
          <w:rFonts w:ascii="Arial" w:hAnsi="Arial" w:cs="Arial"/>
          <w:sz w:val="18"/>
          <w:szCs w:val="18"/>
          <w:lang w:val="el-GR" w:eastAsia="el-GR"/>
        </w:rPr>
        <w:t xml:space="preserve">εκατ. (σε </w:t>
      </w:r>
      <w:r w:rsidR="00A7541E" w:rsidRPr="008B1868">
        <w:rPr>
          <w:rFonts w:ascii="Arial" w:hAnsi="Arial" w:cs="Arial"/>
          <w:sz w:val="18"/>
          <w:szCs w:val="18"/>
          <w:lang w:val="el-GR" w:eastAsia="el-GR"/>
        </w:rPr>
        <w:t>σύγκριση με €</w:t>
      </w:r>
      <w:r w:rsidR="00231511" w:rsidRPr="008B1868">
        <w:rPr>
          <w:rFonts w:ascii="Arial" w:hAnsi="Arial" w:cs="Arial"/>
          <w:sz w:val="18"/>
          <w:szCs w:val="18"/>
          <w:lang w:val="el-GR" w:eastAsia="el-GR"/>
        </w:rPr>
        <w:t>162</w:t>
      </w:r>
      <w:r w:rsidR="00A7541E" w:rsidRPr="008B1868">
        <w:rPr>
          <w:rFonts w:ascii="Arial" w:hAnsi="Arial" w:cs="Arial"/>
          <w:sz w:val="18"/>
          <w:szCs w:val="18"/>
          <w:lang w:val="el-GR" w:eastAsia="el-GR"/>
        </w:rPr>
        <w:t xml:space="preserve"> εκατ. για </w:t>
      </w:r>
      <w:r w:rsidR="00A7541E" w:rsidRPr="008B1868">
        <w:rPr>
          <w:rFonts w:ascii="Arial" w:eastAsia="Batang" w:hAnsi="Arial" w:cs="Arial"/>
          <w:sz w:val="18"/>
          <w:szCs w:val="18"/>
          <w:lang w:val="el-GR" w:eastAsia="en-US"/>
        </w:rPr>
        <w:t xml:space="preserve">το </w:t>
      </w:r>
      <w:r w:rsidR="00A7541E" w:rsidRPr="008B1868">
        <w:rPr>
          <w:rFonts w:ascii="Arial" w:eastAsia="Times New Roman" w:hAnsi="Arial" w:cs="Arial"/>
          <w:sz w:val="18"/>
          <w:szCs w:val="18"/>
          <w:lang w:val="el-GR" w:eastAsia="el-GR"/>
        </w:rPr>
        <w:t>α’ εξάμηνο 2023, αυξημέν</w:t>
      </w:r>
      <w:r w:rsidR="008B1868">
        <w:rPr>
          <w:rFonts w:ascii="Arial" w:eastAsia="Times New Roman" w:hAnsi="Arial" w:cs="Arial"/>
          <w:sz w:val="18"/>
          <w:szCs w:val="18"/>
          <w:lang w:val="el-GR" w:eastAsia="el-GR"/>
        </w:rPr>
        <w:t>ο</w:t>
      </w:r>
      <w:r w:rsidR="00A7541E" w:rsidRPr="008B1868">
        <w:rPr>
          <w:rFonts w:ascii="Arial" w:eastAsia="Times New Roman" w:hAnsi="Arial" w:cs="Arial"/>
          <w:sz w:val="18"/>
          <w:szCs w:val="18"/>
          <w:lang w:val="el-GR" w:eastAsia="el-GR"/>
        </w:rPr>
        <w:t xml:space="preserve"> κατά </w:t>
      </w:r>
      <w:r w:rsidR="008B1868" w:rsidRPr="006A1797">
        <w:rPr>
          <w:rFonts w:ascii="Arial" w:eastAsia="Times New Roman" w:hAnsi="Arial" w:cs="Arial"/>
          <w:sz w:val="18"/>
          <w:szCs w:val="20"/>
          <w:lang w:val="el-GR" w:eastAsia="el-GR"/>
        </w:rPr>
        <w:t>4</w:t>
      </w:r>
      <w:r w:rsidR="00A7541E" w:rsidRPr="008B1868">
        <w:rPr>
          <w:rFonts w:ascii="Arial" w:eastAsia="Times New Roman" w:hAnsi="Arial" w:cs="Arial"/>
          <w:sz w:val="18"/>
          <w:szCs w:val="18"/>
          <w:lang w:val="el-GR" w:eastAsia="el-GR"/>
        </w:rPr>
        <w:t>% σε ετήσια βάση)</w:t>
      </w:r>
      <w:r w:rsidR="00231511" w:rsidRPr="008B1868">
        <w:rPr>
          <w:rFonts w:ascii="Arial" w:eastAsia="Times New Roman" w:hAnsi="Arial" w:cs="Arial"/>
          <w:sz w:val="18"/>
          <w:szCs w:val="18"/>
          <w:lang w:val="el-GR" w:eastAsia="el-GR"/>
        </w:rPr>
        <w:t xml:space="preserve">, λόγω </w:t>
      </w:r>
      <w:r w:rsidR="008B1868">
        <w:rPr>
          <w:rFonts w:ascii="Arial" w:eastAsia="Times New Roman" w:hAnsi="Arial" w:cs="Arial"/>
          <w:sz w:val="18"/>
          <w:szCs w:val="18"/>
          <w:lang w:val="el-GR" w:eastAsia="el-GR"/>
        </w:rPr>
        <w:t xml:space="preserve">κυρίως </w:t>
      </w:r>
      <w:r w:rsidR="00231511" w:rsidRPr="006A1797">
        <w:rPr>
          <w:rFonts w:ascii="Arial" w:hAnsi="Arial" w:cs="Arial"/>
          <w:sz w:val="18"/>
          <w:szCs w:val="18"/>
          <w:lang w:val="el-GR" w:eastAsia="el-GR"/>
        </w:rPr>
        <w:t xml:space="preserve">του υψηλότερου κόστους προσωπικού. </w:t>
      </w:r>
      <w:r w:rsidR="00231511" w:rsidRPr="00CB38F0">
        <w:rPr>
          <w:rFonts w:ascii="Arial" w:hAnsi="Arial" w:cs="Arial"/>
          <w:sz w:val="18"/>
          <w:szCs w:val="18"/>
          <w:lang w:val="el-GR" w:eastAsia="el-GR"/>
        </w:rPr>
        <w:t>Το σύνολο λειτουργικών εξόδων για το β</w:t>
      </w:r>
      <w:r w:rsidR="008B1868">
        <w:rPr>
          <w:rFonts w:ascii="Arial" w:hAnsi="Arial" w:cs="Arial"/>
          <w:sz w:val="18"/>
          <w:szCs w:val="18"/>
          <w:lang w:val="el-GR" w:eastAsia="el-GR"/>
        </w:rPr>
        <w:t>’</w:t>
      </w:r>
      <w:r w:rsidR="00231511" w:rsidRPr="00CB38F0">
        <w:rPr>
          <w:rFonts w:ascii="Arial" w:hAnsi="Arial" w:cs="Arial"/>
          <w:sz w:val="18"/>
          <w:szCs w:val="18"/>
          <w:lang w:val="el-GR" w:eastAsia="el-GR"/>
        </w:rPr>
        <w:t xml:space="preserve"> τρίμηνο 2024</w:t>
      </w:r>
      <w:r w:rsidR="008B1868">
        <w:rPr>
          <w:rFonts w:ascii="Arial" w:hAnsi="Arial" w:cs="Arial"/>
          <w:sz w:val="18"/>
          <w:szCs w:val="18"/>
          <w:lang w:val="el-GR" w:eastAsia="el-GR"/>
        </w:rPr>
        <w:t xml:space="preserve"> ανήλθε σε €</w:t>
      </w:r>
      <w:r w:rsidR="008B1868" w:rsidRPr="006A1797">
        <w:rPr>
          <w:rFonts w:ascii="Arial" w:hAnsi="Arial" w:cs="Arial"/>
          <w:sz w:val="18"/>
          <w:szCs w:val="18"/>
          <w:lang w:val="el-GR" w:eastAsia="el-GR"/>
        </w:rPr>
        <w:t>86</w:t>
      </w:r>
      <w:r w:rsidR="008B1868">
        <w:rPr>
          <w:rFonts w:ascii="Arial" w:hAnsi="Arial" w:cs="Arial"/>
          <w:sz w:val="18"/>
          <w:szCs w:val="18"/>
          <w:lang w:val="el-GR" w:eastAsia="el-GR"/>
        </w:rPr>
        <w:t xml:space="preserve"> εκατ., σε σύγκριση με €81 εκατ. κατά το α’ τρίμηνο 2024.</w:t>
      </w:r>
      <w:r w:rsidR="00231511" w:rsidRPr="00CB38F0">
        <w:rPr>
          <w:rFonts w:ascii="Arial" w:hAnsi="Arial" w:cs="Arial"/>
          <w:sz w:val="18"/>
          <w:szCs w:val="18"/>
          <w:lang w:val="el-GR" w:eastAsia="el-GR"/>
        </w:rPr>
        <w:t xml:space="preserve"> </w:t>
      </w:r>
    </w:p>
    <w:p w14:paraId="4413649C" w14:textId="77777777" w:rsidR="00A7541E" w:rsidRPr="00D022B5" w:rsidRDefault="00A7541E" w:rsidP="00885409">
      <w:pPr>
        <w:spacing w:after="0" w:line="240" w:lineRule="auto"/>
        <w:jc w:val="both"/>
        <w:rPr>
          <w:rFonts w:ascii="Arial" w:hAnsi="Arial" w:cs="Arial"/>
          <w:sz w:val="12"/>
          <w:szCs w:val="12"/>
          <w:vertAlign w:val="superscript"/>
          <w:lang w:val="el-GR" w:eastAsia="el-GR"/>
        </w:rPr>
      </w:pPr>
    </w:p>
    <w:p w14:paraId="628A3D24" w14:textId="5082AF24" w:rsidR="00662068" w:rsidRDefault="008C092C" w:rsidP="008C092C">
      <w:pPr>
        <w:spacing w:after="0" w:line="240" w:lineRule="auto"/>
        <w:jc w:val="both"/>
        <w:rPr>
          <w:rFonts w:ascii="Arial" w:eastAsia="Times New Roman" w:hAnsi="Arial" w:cs="Arial"/>
          <w:sz w:val="18"/>
          <w:szCs w:val="18"/>
          <w:lang w:val="el-GR" w:eastAsia="el-GR"/>
        </w:rPr>
      </w:pPr>
      <w:r w:rsidRPr="006A1797">
        <w:rPr>
          <w:rFonts w:ascii="Arial" w:hAnsi="Arial" w:cs="Arial"/>
          <w:b/>
          <w:bCs/>
          <w:sz w:val="18"/>
          <w:szCs w:val="18"/>
          <w:lang w:val="el-GR" w:eastAsia="el-GR"/>
        </w:rPr>
        <w:t>Το κόστος προσωπικού</w:t>
      </w:r>
      <w:r w:rsidR="0023522D" w:rsidRPr="006A1797">
        <w:rPr>
          <w:rFonts w:ascii="Arial" w:hAnsi="Arial" w:cs="Arial"/>
          <w:sz w:val="18"/>
          <w:szCs w:val="18"/>
          <w:lang w:val="el-GR" w:eastAsia="el-GR"/>
        </w:rPr>
        <w:t xml:space="preserve"> για </w:t>
      </w:r>
      <w:r w:rsidR="0023522D" w:rsidRPr="006A1797">
        <w:rPr>
          <w:rFonts w:ascii="Arial" w:eastAsia="Times New Roman" w:hAnsi="Arial" w:cs="Arial"/>
          <w:sz w:val="18"/>
          <w:szCs w:val="20"/>
          <w:lang w:val="el-GR" w:eastAsia="el-GR"/>
        </w:rPr>
        <w:t>το</w:t>
      </w:r>
      <w:r w:rsidR="00231511" w:rsidRPr="0077091A">
        <w:rPr>
          <w:rFonts w:ascii="Arial" w:eastAsia="Times New Roman" w:hAnsi="Arial" w:cs="Arial"/>
          <w:sz w:val="18"/>
          <w:szCs w:val="18"/>
          <w:lang w:val="el-GR" w:eastAsia="el-GR"/>
        </w:rPr>
        <w:t xml:space="preserve"> α΄ εξάμηνο 2024</w:t>
      </w:r>
      <w:r w:rsidR="00231511" w:rsidRPr="0077091A">
        <w:rPr>
          <w:rFonts w:ascii="Arial" w:hAnsi="Arial" w:cs="Arial"/>
          <w:sz w:val="18"/>
          <w:szCs w:val="18"/>
          <w:lang w:val="el-GR"/>
        </w:rPr>
        <w:t xml:space="preserve"> </w:t>
      </w:r>
      <w:r w:rsidR="00E26717" w:rsidRPr="0077091A">
        <w:rPr>
          <w:rFonts w:ascii="Arial" w:eastAsia="Times New Roman" w:hAnsi="Arial" w:cs="Arial"/>
          <w:sz w:val="18"/>
          <w:szCs w:val="18"/>
          <w:lang w:val="el-GR" w:eastAsia="el-GR"/>
        </w:rPr>
        <w:t>ανήλθε</w:t>
      </w:r>
      <w:r w:rsidR="00231511" w:rsidRPr="0077091A">
        <w:rPr>
          <w:rFonts w:ascii="Arial" w:eastAsia="Times New Roman" w:hAnsi="Arial" w:cs="Arial"/>
          <w:sz w:val="18"/>
          <w:szCs w:val="18"/>
          <w:lang w:val="el-GR" w:eastAsia="el-GR"/>
        </w:rPr>
        <w:t xml:space="preserve"> σε </w:t>
      </w:r>
      <w:r w:rsidR="00231511" w:rsidRPr="0077091A">
        <w:rPr>
          <w:rFonts w:ascii="Arial" w:hAnsi="Arial" w:cs="Arial"/>
          <w:sz w:val="18"/>
          <w:szCs w:val="18"/>
          <w:lang w:val="el-GR" w:eastAsia="el-GR"/>
        </w:rPr>
        <w:t>€</w:t>
      </w:r>
      <w:r w:rsidR="00FE1B92" w:rsidRPr="006A1797">
        <w:rPr>
          <w:rFonts w:ascii="Arial" w:eastAsia="Times New Roman" w:hAnsi="Arial" w:cs="Arial"/>
          <w:bCs/>
          <w:sz w:val="18"/>
          <w:szCs w:val="20"/>
          <w:lang w:val="el-GR" w:eastAsia="el-GR"/>
        </w:rPr>
        <w:t xml:space="preserve">96 </w:t>
      </w:r>
      <w:r w:rsidR="00231511" w:rsidRPr="0077091A">
        <w:rPr>
          <w:rFonts w:ascii="Arial" w:hAnsi="Arial" w:cs="Arial"/>
          <w:sz w:val="18"/>
          <w:szCs w:val="18"/>
          <w:lang w:val="el-GR" w:eastAsia="el-GR"/>
        </w:rPr>
        <w:t>εκατ. (σε σύγκριση με €</w:t>
      </w:r>
      <w:r w:rsidR="00E26717" w:rsidRPr="0077091A">
        <w:rPr>
          <w:rFonts w:ascii="Arial" w:hAnsi="Arial" w:cs="Arial"/>
          <w:sz w:val="18"/>
          <w:szCs w:val="18"/>
          <w:lang w:val="el-GR" w:eastAsia="el-GR"/>
        </w:rPr>
        <w:t>93</w:t>
      </w:r>
      <w:r w:rsidR="00231511" w:rsidRPr="0077091A">
        <w:rPr>
          <w:rFonts w:ascii="Arial" w:hAnsi="Arial" w:cs="Arial"/>
          <w:sz w:val="18"/>
          <w:szCs w:val="18"/>
          <w:lang w:val="el-GR" w:eastAsia="el-GR"/>
        </w:rPr>
        <w:t xml:space="preserve"> εκατ. για </w:t>
      </w:r>
      <w:r w:rsidR="00231511" w:rsidRPr="0077091A">
        <w:rPr>
          <w:rFonts w:ascii="Arial" w:eastAsia="Batang" w:hAnsi="Arial" w:cs="Arial"/>
          <w:sz w:val="18"/>
          <w:szCs w:val="18"/>
          <w:lang w:val="el-GR" w:eastAsia="en-US"/>
        </w:rPr>
        <w:t xml:space="preserve">το </w:t>
      </w:r>
      <w:r w:rsidR="00231511" w:rsidRPr="0077091A">
        <w:rPr>
          <w:rFonts w:ascii="Arial" w:eastAsia="Times New Roman" w:hAnsi="Arial" w:cs="Arial"/>
          <w:sz w:val="18"/>
          <w:szCs w:val="18"/>
          <w:lang w:val="el-GR" w:eastAsia="el-GR"/>
        </w:rPr>
        <w:t xml:space="preserve">α’ εξάμηνο 2023, </w:t>
      </w:r>
      <w:r w:rsidR="00E26717" w:rsidRPr="0077091A">
        <w:rPr>
          <w:rFonts w:ascii="Arial" w:eastAsia="Times New Roman" w:hAnsi="Arial" w:cs="Arial"/>
          <w:sz w:val="18"/>
          <w:szCs w:val="18"/>
          <w:lang w:val="el-GR" w:eastAsia="el-GR"/>
        </w:rPr>
        <w:t>αυξημένο</w:t>
      </w:r>
      <w:r w:rsidR="0077091A" w:rsidRPr="006A1797">
        <w:rPr>
          <w:rFonts w:ascii="Arial" w:eastAsia="Times New Roman" w:hAnsi="Arial" w:cs="Arial"/>
          <w:sz w:val="18"/>
          <w:szCs w:val="18"/>
          <w:lang w:val="el-GR" w:eastAsia="el-GR"/>
        </w:rPr>
        <w:t xml:space="preserve"> </w:t>
      </w:r>
      <w:r w:rsidR="00231511" w:rsidRPr="0077091A">
        <w:rPr>
          <w:rFonts w:ascii="Arial" w:eastAsia="Times New Roman" w:hAnsi="Arial" w:cs="Arial"/>
          <w:sz w:val="18"/>
          <w:szCs w:val="18"/>
          <w:lang w:val="el-GR" w:eastAsia="el-GR"/>
        </w:rPr>
        <w:t xml:space="preserve">κατά </w:t>
      </w:r>
      <w:r w:rsidR="0077091A" w:rsidRPr="006A1797">
        <w:rPr>
          <w:rFonts w:ascii="Arial" w:eastAsia="Times New Roman" w:hAnsi="Arial" w:cs="Arial"/>
          <w:sz w:val="18"/>
          <w:szCs w:val="18"/>
          <w:lang w:val="el-GR" w:eastAsia="el-GR"/>
        </w:rPr>
        <w:t>3</w:t>
      </w:r>
      <w:r w:rsidR="00231511" w:rsidRPr="00231511">
        <w:rPr>
          <w:rFonts w:ascii="Arial" w:eastAsia="Times New Roman" w:hAnsi="Arial" w:cs="Arial"/>
          <w:sz w:val="18"/>
          <w:szCs w:val="18"/>
          <w:lang w:val="el-GR" w:eastAsia="el-GR"/>
        </w:rPr>
        <w:t>% σε ετήσια βάση)</w:t>
      </w:r>
      <w:r w:rsidR="00FE1B92">
        <w:rPr>
          <w:rFonts w:ascii="Arial" w:eastAsia="Times New Roman" w:hAnsi="Arial" w:cs="Arial"/>
          <w:sz w:val="18"/>
          <w:szCs w:val="18"/>
          <w:lang w:val="el-GR" w:eastAsia="el-GR"/>
        </w:rPr>
        <w:t xml:space="preserve"> και περιλαμβάνει πρόβλεψη </w:t>
      </w:r>
      <w:r w:rsidR="00FE1B92" w:rsidRPr="00FE1B92">
        <w:rPr>
          <w:rFonts w:ascii="Arial" w:eastAsia="Times New Roman" w:hAnsi="Arial" w:cs="Arial"/>
          <w:sz w:val="18"/>
          <w:szCs w:val="18"/>
          <w:lang w:val="el-GR" w:eastAsia="el-GR"/>
        </w:rPr>
        <w:t>για παροχές προσωπικού (μεταβλητές αποδοχές) βάσει απόδοσης ύψους περίπου</w:t>
      </w:r>
      <w:r w:rsidR="00FE1B92">
        <w:rPr>
          <w:rFonts w:ascii="Arial" w:eastAsia="Times New Roman" w:hAnsi="Arial" w:cs="Arial"/>
          <w:sz w:val="18"/>
          <w:szCs w:val="18"/>
          <w:lang w:val="el-GR" w:eastAsia="el-GR"/>
        </w:rPr>
        <w:t xml:space="preserve"> €5 εκατ. (σε σύγκριση με πρόβλεψη </w:t>
      </w:r>
      <w:r w:rsidR="00FE1B92" w:rsidRPr="00FE1B92">
        <w:rPr>
          <w:rFonts w:ascii="Arial" w:eastAsia="Times New Roman" w:hAnsi="Arial" w:cs="Arial"/>
          <w:sz w:val="18"/>
          <w:szCs w:val="18"/>
          <w:lang w:val="el-GR" w:eastAsia="el-GR"/>
        </w:rPr>
        <w:t>για παροχές προσωπικού (μεταβλητές αποδοχές) βάσει απόδοσης ύψους περίπου</w:t>
      </w:r>
      <w:r w:rsidR="00FE1B92">
        <w:rPr>
          <w:rFonts w:ascii="Arial" w:eastAsia="Times New Roman" w:hAnsi="Arial" w:cs="Arial"/>
          <w:sz w:val="18"/>
          <w:szCs w:val="18"/>
          <w:lang w:val="el-GR" w:eastAsia="el-GR"/>
        </w:rPr>
        <w:t xml:space="preserve"> </w:t>
      </w:r>
      <w:r w:rsidR="00FE1B92" w:rsidRPr="00FE1B92">
        <w:rPr>
          <w:rFonts w:ascii="Arial" w:eastAsia="Times New Roman" w:hAnsi="Arial" w:cs="Arial"/>
          <w:sz w:val="18"/>
          <w:szCs w:val="18"/>
          <w:lang w:val="el-GR" w:eastAsia="el-GR"/>
        </w:rPr>
        <w:t>€</w:t>
      </w:r>
      <w:r w:rsidR="00FE1B92">
        <w:rPr>
          <w:rFonts w:ascii="Arial" w:eastAsia="Times New Roman" w:hAnsi="Arial" w:cs="Arial"/>
          <w:sz w:val="18"/>
          <w:szCs w:val="18"/>
          <w:lang w:val="el-GR" w:eastAsia="el-GR"/>
        </w:rPr>
        <w:t>3.5</w:t>
      </w:r>
      <w:r w:rsidR="00FE1B92" w:rsidRPr="00FE1B92">
        <w:rPr>
          <w:rFonts w:ascii="Arial" w:eastAsia="Times New Roman" w:hAnsi="Arial" w:cs="Arial"/>
          <w:sz w:val="18"/>
          <w:szCs w:val="18"/>
          <w:lang w:val="el-GR" w:eastAsia="el-GR"/>
        </w:rPr>
        <w:t xml:space="preserve"> εκατ</w:t>
      </w:r>
      <w:r w:rsidR="00FE1B92">
        <w:rPr>
          <w:rFonts w:ascii="Arial" w:eastAsia="Times New Roman" w:hAnsi="Arial" w:cs="Arial"/>
          <w:sz w:val="18"/>
          <w:szCs w:val="18"/>
          <w:lang w:val="el-GR" w:eastAsia="el-GR"/>
        </w:rPr>
        <w:t xml:space="preserve">. και </w:t>
      </w:r>
      <w:r w:rsidR="00FE1B92" w:rsidRPr="00FE1B92">
        <w:rPr>
          <w:rFonts w:ascii="Arial" w:eastAsia="Times New Roman" w:hAnsi="Arial" w:cs="Arial"/>
          <w:sz w:val="18"/>
          <w:szCs w:val="18"/>
          <w:lang w:val="el-GR" w:eastAsia="el-GR"/>
        </w:rPr>
        <w:t>για παροχές τερματισμού</w:t>
      </w:r>
      <w:r w:rsidR="00FE1B92">
        <w:rPr>
          <w:rFonts w:ascii="Arial" w:eastAsia="Times New Roman" w:hAnsi="Arial" w:cs="Arial"/>
          <w:sz w:val="18"/>
          <w:szCs w:val="18"/>
          <w:lang w:val="el-GR" w:eastAsia="el-GR"/>
        </w:rPr>
        <w:t xml:space="preserve"> </w:t>
      </w:r>
      <w:r w:rsidR="00FE1B92" w:rsidRPr="00FE1B92">
        <w:rPr>
          <w:rFonts w:ascii="Arial" w:eastAsia="Times New Roman" w:hAnsi="Arial" w:cs="Arial"/>
          <w:sz w:val="18"/>
          <w:szCs w:val="18"/>
          <w:lang w:val="el-GR" w:eastAsia="el-GR"/>
        </w:rPr>
        <w:t>προσωπικού ύψους περίπου €</w:t>
      </w:r>
      <w:r w:rsidR="00FE1B92">
        <w:rPr>
          <w:rFonts w:ascii="Arial" w:eastAsia="Times New Roman" w:hAnsi="Arial" w:cs="Arial"/>
          <w:sz w:val="18"/>
          <w:szCs w:val="18"/>
          <w:lang w:val="el-GR" w:eastAsia="el-GR"/>
        </w:rPr>
        <w:t>2</w:t>
      </w:r>
      <w:r w:rsidR="00FE1B92" w:rsidRPr="00FE1B92">
        <w:rPr>
          <w:rFonts w:ascii="Arial" w:eastAsia="Times New Roman" w:hAnsi="Arial" w:cs="Arial"/>
          <w:sz w:val="18"/>
          <w:szCs w:val="18"/>
          <w:lang w:val="el-GR" w:eastAsia="el-GR"/>
        </w:rPr>
        <w:t>.</w:t>
      </w:r>
      <w:r w:rsidR="00FE1B92">
        <w:rPr>
          <w:rFonts w:ascii="Arial" w:eastAsia="Times New Roman" w:hAnsi="Arial" w:cs="Arial"/>
          <w:sz w:val="18"/>
          <w:szCs w:val="18"/>
          <w:lang w:val="el-GR" w:eastAsia="el-GR"/>
        </w:rPr>
        <w:t>8</w:t>
      </w:r>
      <w:r w:rsidR="00FE1B92" w:rsidRPr="00FE1B92">
        <w:rPr>
          <w:rFonts w:ascii="Arial" w:eastAsia="Times New Roman" w:hAnsi="Arial" w:cs="Arial"/>
          <w:sz w:val="18"/>
          <w:szCs w:val="18"/>
          <w:lang w:val="el-GR" w:eastAsia="el-GR"/>
        </w:rPr>
        <w:t xml:space="preserve"> εκατ</w:t>
      </w:r>
      <w:r w:rsidR="00FE1B92">
        <w:rPr>
          <w:rFonts w:ascii="Arial" w:eastAsia="Times New Roman" w:hAnsi="Arial" w:cs="Arial"/>
          <w:sz w:val="18"/>
          <w:szCs w:val="18"/>
          <w:lang w:val="el-GR" w:eastAsia="el-GR"/>
        </w:rPr>
        <w:t>. κατά το α’ εξάμηνο 2023).</w:t>
      </w:r>
      <w:r w:rsidR="00662068">
        <w:rPr>
          <w:rFonts w:ascii="Arial" w:eastAsia="Times New Roman" w:hAnsi="Arial" w:cs="Arial"/>
          <w:sz w:val="18"/>
          <w:szCs w:val="18"/>
          <w:lang w:val="el-GR" w:eastAsia="el-GR"/>
        </w:rPr>
        <w:t xml:space="preserve"> </w:t>
      </w:r>
      <w:r w:rsidR="00FE1B92" w:rsidRPr="00CB38F0">
        <w:rPr>
          <w:rFonts w:ascii="Arial" w:hAnsi="Arial" w:cs="Arial"/>
          <w:sz w:val="18"/>
          <w:szCs w:val="18"/>
          <w:lang w:val="el-GR"/>
        </w:rPr>
        <w:t>Εξαιρώντας</w:t>
      </w:r>
      <w:r w:rsidR="00FE1B92">
        <w:rPr>
          <w:rFonts w:ascii="Arial" w:hAnsi="Arial" w:cs="Arial"/>
          <w:sz w:val="18"/>
          <w:szCs w:val="18"/>
          <w:lang w:val="el-GR"/>
        </w:rPr>
        <w:t xml:space="preserve"> </w:t>
      </w:r>
      <w:r w:rsidR="00333E1A">
        <w:rPr>
          <w:rFonts w:ascii="Arial" w:hAnsi="Arial" w:cs="Arial"/>
          <w:sz w:val="18"/>
          <w:szCs w:val="18"/>
          <w:lang w:val="el-GR"/>
        </w:rPr>
        <w:t>τις πιο πάνω</w:t>
      </w:r>
      <w:r w:rsidR="00FE1B92" w:rsidRPr="006A1797">
        <w:rPr>
          <w:rFonts w:ascii="Arial" w:hAnsi="Arial" w:cs="Arial"/>
          <w:sz w:val="18"/>
          <w:szCs w:val="18"/>
          <w:lang w:val="el-GR"/>
        </w:rPr>
        <w:t xml:space="preserve"> </w:t>
      </w:r>
      <w:r w:rsidR="00333E1A">
        <w:rPr>
          <w:rFonts w:ascii="Arial" w:eastAsia="Times New Roman" w:hAnsi="Arial" w:cs="Arial"/>
          <w:sz w:val="18"/>
          <w:szCs w:val="18"/>
          <w:lang w:val="el-GR" w:eastAsia="el-GR"/>
        </w:rPr>
        <w:t>προβλέψεις</w:t>
      </w:r>
      <w:r w:rsidR="00FE1B92">
        <w:rPr>
          <w:rFonts w:ascii="Arial" w:eastAsia="Times New Roman" w:hAnsi="Arial" w:cs="Arial"/>
          <w:sz w:val="18"/>
          <w:szCs w:val="18"/>
          <w:lang w:val="el-GR" w:eastAsia="el-GR"/>
        </w:rPr>
        <w:t xml:space="preserve">, το κόστος προσωπικού αυξήθηκε κατά 5% σε ετήσια βάση, </w:t>
      </w:r>
      <w:r w:rsidR="00662068">
        <w:rPr>
          <w:rFonts w:ascii="Arial" w:eastAsia="Times New Roman" w:hAnsi="Arial" w:cs="Arial"/>
          <w:sz w:val="18"/>
          <w:szCs w:val="18"/>
          <w:lang w:val="el-GR" w:eastAsia="el-GR"/>
        </w:rPr>
        <w:t>αντικατοπτρίζοντας</w:t>
      </w:r>
      <w:r w:rsidR="00FE1B92">
        <w:rPr>
          <w:rFonts w:ascii="Arial" w:eastAsia="Times New Roman" w:hAnsi="Arial" w:cs="Arial"/>
          <w:sz w:val="18"/>
          <w:szCs w:val="18"/>
          <w:lang w:val="el-GR" w:eastAsia="el-GR"/>
        </w:rPr>
        <w:t xml:space="preserve"> </w:t>
      </w:r>
      <w:r w:rsidR="00662068">
        <w:rPr>
          <w:rFonts w:ascii="Arial" w:eastAsia="Times New Roman" w:hAnsi="Arial" w:cs="Arial"/>
          <w:sz w:val="18"/>
          <w:szCs w:val="18"/>
          <w:lang w:val="el-GR" w:eastAsia="el-GR"/>
        </w:rPr>
        <w:t>τις</w:t>
      </w:r>
      <w:r w:rsidR="00662068" w:rsidRPr="00662068">
        <w:rPr>
          <w:rFonts w:ascii="Arial" w:eastAsia="Times New Roman" w:hAnsi="Arial" w:cs="Arial"/>
          <w:sz w:val="18"/>
          <w:szCs w:val="18"/>
          <w:lang w:val="el-GR" w:eastAsia="el-GR"/>
        </w:rPr>
        <w:t xml:space="preserve"> μισθολογι</w:t>
      </w:r>
      <w:r w:rsidR="00662068">
        <w:rPr>
          <w:rFonts w:ascii="Arial" w:eastAsia="Times New Roman" w:hAnsi="Arial" w:cs="Arial"/>
          <w:sz w:val="18"/>
          <w:szCs w:val="18"/>
          <w:lang w:val="el-GR" w:eastAsia="el-GR"/>
        </w:rPr>
        <w:t xml:space="preserve">κές </w:t>
      </w:r>
      <w:r w:rsidR="00662068" w:rsidRPr="00662068">
        <w:rPr>
          <w:rFonts w:ascii="Arial" w:eastAsia="Times New Roman" w:hAnsi="Arial" w:cs="Arial"/>
          <w:sz w:val="18"/>
          <w:szCs w:val="18"/>
          <w:lang w:val="el-GR" w:eastAsia="el-GR"/>
        </w:rPr>
        <w:t>αυξήσε</w:t>
      </w:r>
      <w:r w:rsidR="00662068">
        <w:rPr>
          <w:rFonts w:ascii="Arial" w:eastAsia="Times New Roman" w:hAnsi="Arial" w:cs="Arial"/>
          <w:sz w:val="18"/>
          <w:szCs w:val="18"/>
          <w:lang w:val="el-GR" w:eastAsia="el-GR"/>
        </w:rPr>
        <w:t>ις</w:t>
      </w:r>
      <w:r w:rsidR="00662068" w:rsidRPr="00662068">
        <w:rPr>
          <w:rFonts w:ascii="Arial" w:eastAsia="Times New Roman" w:hAnsi="Arial" w:cs="Arial"/>
          <w:sz w:val="18"/>
          <w:szCs w:val="18"/>
          <w:lang w:val="el-GR" w:eastAsia="el-GR"/>
        </w:rPr>
        <w:t xml:space="preserve">, </w:t>
      </w:r>
      <w:r w:rsidR="00662068">
        <w:rPr>
          <w:rFonts w:ascii="Arial" w:eastAsia="Times New Roman" w:hAnsi="Arial" w:cs="Arial"/>
          <w:sz w:val="18"/>
          <w:szCs w:val="18"/>
          <w:lang w:val="el-GR" w:eastAsia="el-GR"/>
        </w:rPr>
        <w:t>τις</w:t>
      </w:r>
      <w:r w:rsidR="00662068" w:rsidRPr="00662068">
        <w:rPr>
          <w:rFonts w:ascii="Arial" w:eastAsia="Times New Roman" w:hAnsi="Arial" w:cs="Arial"/>
          <w:sz w:val="18"/>
          <w:szCs w:val="18"/>
          <w:lang w:val="el-GR" w:eastAsia="el-GR"/>
        </w:rPr>
        <w:t xml:space="preserve"> </w:t>
      </w:r>
      <w:r w:rsidR="00662068">
        <w:rPr>
          <w:rFonts w:ascii="Arial" w:eastAsia="Times New Roman" w:hAnsi="Arial" w:cs="Arial"/>
          <w:sz w:val="18"/>
          <w:szCs w:val="18"/>
          <w:lang w:val="el-GR" w:eastAsia="el-GR"/>
        </w:rPr>
        <w:t>υψηλότερες</w:t>
      </w:r>
      <w:r w:rsidR="00662068" w:rsidRPr="00662068">
        <w:rPr>
          <w:rFonts w:ascii="Arial" w:eastAsia="Times New Roman" w:hAnsi="Arial" w:cs="Arial"/>
          <w:sz w:val="18"/>
          <w:szCs w:val="18"/>
          <w:lang w:val="el-GR" w:eastAsia="el-GR"/>
        </w:rPr>
        <w:t xml:space="preserve"> αναπροσαρμογ</w:t>
      </w:r>
      <w:r w:rsidR="00662068">
        <w:rPr>
          <w:rFonts w:ascii="Arial" w:eastAsia="Times New Roman" w:hAnsi="Arial" w:cs="Arial"/>
          <w:sz w:val="18"/>
          <w:szCs w:val="18"/>
          <w:lang w:val="el-GR" w:eastAsia="el-GR"/>
        </w:rPr>
        <w:t>ές</w:t>
      </w:r>
      <w:r w:rsidR="00662068" w:rsidRPr="00662068">
        <w:rPr>
          <w:rFonts w:ascii="Arial" w:eastAsia="Times New Roman" w:hAnsi="Arial" w:cs="Arial"/>
          <w:sz w:val="18"/>
          <w:szCs w:val="18"/>
          <w:lang w:val="el-GR" w:eastAsia="el-GR"/>
        </w:rPr>
        <w:t xml:space="preserve"> για το κόστος διαβίωσης (αυτόματη τιμαριθμική</w:t>
      </w:r>
      <w:r w:rsidR="00662068">
        <w:rPr>
          <w:rFonts w:ascii="Arial" w:eastAsia="Times New Roman" w:hAnsi="Arial" w:cs="Arial"/>
          <w:sz w:val="18"/>
          <w:szCs w:val="18"/>
          <w:lang w:val="el-GR" w:eastAsia="el-GR"/>
        </w:rPr>
        <w:t xml:space="preserve"> </w:t>
      </w:r>
      <w:r w:rsidR="00662068" w:rsidRPr="00662068">
        <w:rPr>
          <w:rFonts w:ascii="Arial" w:eastAsia="Times New Roman" w:hAnsi="Arial" w:cs="Arial"/>
          <w:sz w:val="18"/>
          <w:szCs w:val="18"/>
          <w:lang w:val="el-GR" w:eastAsia="el-GR"/>
        </w:rPr>
        <w:t xml:space="preserve">αναπροσαρμογή (ΑΤΑ)) και </w:t>
      </w:r>
      <w:r w:rsidR="00662068">
        <w:rPr>
          <w:rFonts w:ascii="Arial" w:eastAsia="Times New Roman" w:hAnsi="Arial" w:cs="Arial"/>
          <w:sz w:val="18"/>
          <w:szCs w:val="18"/>
          <w:lang w:val="el-GR" w:eastAsia="el-GR"/>
        </w:rPr>
        <w:t>τις</w:t>
      </w:r>
      <w:r w:rsidR="00662068" w:rsidRPr="00662068">
        <w:rPr>
          <w:rFonts w:ascii="Arial" w:eastAsia="Times New Roman" w:hAnsi="Arial" w:cs="Arial"/>
          <w:sz w:val="18"/>
          <w:szCs w:val="18"/>
          <w:lang w:val="el-GR" w:eastAsia="el-GR"/>
        </w:rPr>
        <w:t xml:space="preserve"> υψηλότερ</w:t>
      </w:r>
      <w:r w:rsidR="00662068">
        <w:rPr>
          <w:rFonts w:ascii="Arial" w:eastAsia="Times New Roman" w:hAnsi="Arial" w:cs="Arial"/>
          <w:sz w:val="18"/>
          <w:szCs w:val="18"/>
          <w:lang w:val="el-GR" w:eastAsia="el-GR"/>
        </w:rPr>
        <w:t>ες</w:t>
      </w:r>
      <w:r w:rsidR="00662068" w:rsidRPr="00662068">
        <w:rPr>
          <w:rFonts w:ascii="Arial" w:eastAsia="Times New Roman" w:hAnsi="Arial" w:cs="Arial"/>
          <w:sz w:val="18"/>
          <w:szCs w:val="18"/>
          <w:lang w:val="el-GR" w:eastAsia="el-GR"/>
        </w:rPr>
        <w:t xml:space="preserve"> συνεισφορ</w:t>
      </w:r>
      <w:r w:rsidR="00662068">
        <w:rPr>
          <w:rFonts w:ascii="Arial" w:eastAsia="Times New Roman" w:hAnsi="Arial" w:cs="Arial"/>
          <w:sz w:val="18"/>
          <w:szCs w:val="18"/>
          <w:lang w:val="el-GR" w:eastAsia="el-GR"/>
        </w:rPr>
        <w:t>ές</w:t>
      </w:r>
      <w:r w:rsidR="00662068" w:rsidRPr="00662068">
        <w:rPr>
          <w:rFonts w:ascii="Arial" w:eastAsia="Times New Roman" w:hAnsi="Arial" w:cs="Arial"/>
          <w:sz w:val="18"/>
          <w:szCs w:val="18"/>
          <w:lang w:val="el-GR" w:eastAsia="el-GR"/>
        </w:rPr>
        <w:t xml:space="preserve"> του εργοδότη.</w:t>
      </w:r>
      <w:r w:rsidR="008A252B">
        <w:rPr>
          <w:rFonts w:ascii="Arial" w:eastAsia="Times New Roman" w:hAnsi="Arial" w:cs="Arial"/>
          <w:sz w:val="18"/>
          <w:szCs w:val="18"/>
          <w:lang w:val="el-GR" w:eastAsia="el-GR"/>
        </w:rPr>
        <w:t xml:space="preserve"> Τ</w:t>
      </w:r>
      <w:r w:rsidR="008A252B" w:rsidRPr="008A252B">
        <w:rPr>
          <w:rFonts w:ascii="Arial" w:eastAsia="Times New Roman" w:hAnsi="Arial" w:cs="Arial"/>
          <w:sz w:val="18"/>
          <w:szCs w:val="18"/>
          <w:lang w:val="el-GR" w:eastAsia="el-GR"/>
        </w:rPr>
        <w:t>ο κόστος προσωπικού</w:t>
      </w:r>
      <w:r w:rsidR="008A252B">
        <w:rPr>
          <w:rFonts w:ascii="Arial" w:eastAsia="Times New Roman" w:hAnsi="Arial" w:cs="Arial"/>
          <w:sz w:val="18"/>
          <w:szCs w:val="18"/>
          <w:lang w:val="el-GR" w:eastAsia="el-GR"/>
        </w:rPr>
        <w:t xml:space="preserve"> για το β’ τρίμηνο 2024 ανήλθε σε </w:t>
      </w:r>
      <w:r w:rsidR="008A252B" w:rsidRPr="008A252B">
        <w:rPr>
          <w:rFonts w:ascii="Arial" w:eastAsia="Times New Roman" w:hAnsi="Arial" w:cs="Arial"/>
          <w:sz w:val="18"/>
          <w:szCs w:val="18"/>
          <w:lang w:val="el-GR" w:eastAsia="el-GR"/>
        </w:rPr>
        <w:t xml:space="preserve">€48 </w:t>
      </w:r>
      <w:r w:rsidR="008A252B">
        <w:rPr>
          <w:rFonts w:ascii="Arial" w:eastAsia="Times New Roman" w:hAnsi="Arial" w:cs="Arial"/>
          <w:sz w:val="18"/>
          <w:szCs w:val="18"/>
          <w:lang w:val="el-GR" w:eastAsia="el-GR"/>
        </w:rPr>
        <w:t>εκατ. στα ίδια επίπεδα σε τριμηνιαία βάση.</w:t>
      </w:r>
    </w:p>
    <w:p w14:paraId="401A1731" w14:textId="77777777" w:rsidR="008A252B" w:rsidRPr="008A252B" w:rsidRDefault="008A252B" w:rsidP="008C092C">
      <w:pPr>
        <w:spacing w:after="0" w:line="240" w:lineRule="auto"/>
        <w:jc w:val="both"/>
        <w:rPr>
          <w:rFonts w:ascii="Arial" w:eastAsia="Times New Roman" w:hAnsi="Arial" w:cs="Arial"/>
          <w:sz w:val="12"/>
          <w:szCs w:val="12"/>
          <w:highlight w:val="yellow"/>
          <w:lang w:val="el-GR" w:eastAsia="el-GR"/>
        </w:rPr>
      </w:pPr>
    </w:p>
    <w:p w14:paraId="4BEC97DE" w14:textId="4AD24614" w:rsidR="008C092C" w:rsidRPr="00CB38F0" w:rsidRDefault="002403E1" w:rsidP="008C092C">
      <w:pPr>
        <w:spacing w:after="0" w:line="240" w:lineRule="auto"/>
        <w:jc w:val="both"/>
        <w:rPr>
          <w:rFonts w:ascii="Arial" w:hAnsi="Arial" w:cs="Arial"/>
          <w:sz w:val="18"/>
          <w:szCs w:val="18"/>
          <w:lang w:val="el-GR" w:eastAsia="el-GR"/>
        </w:rPr>
      </w:pPr>
      <w:r w:rsidRPr="00CB38F0">
        <w:rPr>
          <w:rFonts w:ascii="Arial" w:hAnsi="Arial" w:cs="Arial"/>
          <w:sz w:val="18"/>
          <w:szCs w:val="18"/>
          <w:lang w:val="el-GR" w:eastAsia="el-GR"/>
        </w:rPr>
        <w:t xml:space="preserve">Η πρόβλεψη για </w:t>
      </w:r>
      <w:r w:rsidR="0046100B" w:rsidRPr="00CB38F0">
        <w:rPr>
          <w:rFonts w:ascii="Arial" w:hAnsi="Arial" w:cs="Arial"/>
          <w:sz w:val="18"/>
          <w:szCs w:val="18"/>
          <w:lang w:val="el-GR" w:eastAsia="el-GR"/>
        </w:rPr>
        <w:t>παροχές προσωπικού</w:t>
      </w:r>
      <w:r w:rsidR="00A4763C" w:rsidRPr="00CB38F0">
        <w:rPr>
          <w:rFonts w:ascii="Arial" w:hAnsi="Arial" w:cs="Arial"/>
          <w:sz w:val="18"/>
          <w:szCs w:val="18"/>
          <w:lang w:val="el-GR" w:eastAsia="el-GR"/>
        </w:rPr>
        <w:t xml:space="preserve"> </w:t>
      </w:r>
      <w:r w:rsidRPr="00CB38F0">
        <w:rPr>
          <w:rFonts w:ascii="Arial" w:hAnsi="Arial" w:cs="Arial"/>
          <w:sz w:val="18"/>
          <w:szCs w:val="18"/>
          <w:lang w:val="el-GR" w:eastAsia="el-GR"/>
        </w:rPr>
        <w:t xml:space="preserve">βάσει απόδοσης, αφορά </w:t>
      </w:r>
      <w:r w:rsidR="0046100B" w:rsidRPr="00CB38F0">
        <w:rPr>
          <w:rFonts w:ascii="Arial" w:hAnsi="Arial" w:cs="Arial"/>
          <w:sz w:val="18"/>
          <w:szCs w:val="18"/>
          <w:lang w:val="el-GR" w:eastAsia="el-GR"/>
        </w:rPr>
        <w:t>το Βραχυπρόθεσμο Σχέδιο Παροχής Κινήτρων</w:t>
      </w:r>
      <w:r w:rsidR="00EA6F21" w:rsidRPr="00CB38F0">
        <w:rPr>
          <w:rFonts w:ascii="Arial" w:hAnsi="Arial" w:cs="Arial"/>
          <w:sz w:val="18"/>
          <w:szCs w:val="18"/>
          <w:lang w:val="el-GR" w:eastAsia="el-GR"/>
        </w:rPr>
        <w:t xml:space="preserve"> και το Μακροπρόθεσμο Σχεδίο Παροχής Κινήτρων.</w:t>
      </w:r>
      <w:r w:rsidRPr="00CB38F0">
        <w:rPr>
          <w:rFonts w:ascii="Arial" w:hAnsi="Arial" w:cs="Arial"/>
          <w:sz w:val="18"/>
          <w:szCs w:val="18"/>
          <w:lang w:val="el-GR" w:eastAsia="el-GR"/>
        </w:rPr>
        <w:t xml:space="preserve"> </w:t>
      </w:r>
      <w:r w:rsidR="00EA6F21" w:rsidRPr="00CB38F0">
        <w:rPr>
          <w:rFonts w:ascii="Arial" w:hAnsi="Arial" w:cs="Arial"/>
          <w:sz w:val="18"/>
          <w:szCs w:val="18"/>
          <w:lang w:val="el-GR" w:eastAsia="el-GR"/>
        </w:rPr>
        <w:t>Το Βραχυπρόθεσμο Σχέδιο Παροχής Κινήτρων αφορά μεταβλητή αμοιβή σε επιλέξιμα μέλη του προσωπικού βάσει απόδοσης, τόσο συνολικής απόδοσης ως προς την υλοποίηση της στρατηγικής του Συγκροτήματος όσο και ατομικής απόδοσης.</w:t>
      </w:r>
      <w:r w:rsidR="00625E7B" w:rsidRPr="00CB38F0">
        <w:rPr>
          <w:rFonts w:ascii="Arial" w:hAnsi="Arial" w:cs="Arial"/>
          <w:sz w:val="18"/>
          <w:szCs w:val="18"/>
          <w:lang w:val="el-GR" w:eastAsia="el-GR"/>
        </w:rPr>
        <w:t xml:space="preserve"> Το Μακροπρόθεσμο Σχέδιο Παροχής Κινήτρων προβλέπει παραχώρηση παροχών υπό τη μορφή συνήθων μετοχών της Εταιρίας στη βάση κριτηρίων κατοχύρωσης με όλους τους όρους απόδοσης να μην είναι όροι απόδοσης της αγοράς.</w:t>
      </w:r>
      <w:r w:rsidR="00625E7B" w:rsidRPr="00CB38F0" w:rsidDel="00B07E81">
        <w:rPr>
          <w:rFonts w:ascii="Arial" w:hAnsi="Arial" w:cs="Arial"/>
          <w:sz w:val="18"/>
          <w:szCs w:val="18"/>
          <w:lang w:val="el-GR" w:eastAsia="el-GR"/>
        </w:rPr>
        <w:t xml:space="preserve"> </w:t>
      </w:r>
    </w:p>
    <w:p w14:paraId="1C9EB46B" w14:textId="0F7C20E0" w:rsidR="003121AC" w:rsidRPr="00D022B5" w:rsidRDefault="003121AC" w:rsidP="008C092C">
      <w:pPr>
        <w:spacing w:after="0" w:line="240" w:lineRule="auto"/>
        <w:jc w:val="both"/>
        <w:rPr>
          <w:rFonts w:ascii="Arial" w:hAnsi="Arial" w:cs="Arial"/>
          <w:sz w:val="12"/>
          <w:szCs w:val="12"/>
          <w:lang w:val="el-GR" w:eastAsia="el-GR"/>
        </w:rPr>
      </w:pPr>
    </w:p>
    <w:p w14:paraId="5552DF24" w14:textId="77777777" w:rsidR="00D022B5" w:rsidRDefault="00625E7B" w:rsidP="00D022B5">
      <w:pPr>
        <w:spacing w:after="0" w:line="240" w:lineRule="auto"/>
        <w:jc w:val="both"/>
        <w:rPr>
          <w:rFonts w:ascii="Arial" w:hAnsi="Arial" w:cs="Arial"/>
          <w:sz w:val="18"/>
          <w:szCs w:val="18"/>
          <w:lang w:val="el-GR" w:eastAsia="el-GR"/>
        </w:rPr>
      </w:pPr>
      <w:r w:rsidRPr="00CB38F0">
        <w:rPr>
          <w:rFonts w:ascii="Arial" w:hAnsi="Arial" w:cs="Arial"/>
          <w:sz w:val="18"/>
          <w:szCs w:val="18"/>
          <w:lang w:val="el-GR" w:eastAsia="el-GR"/>
        </w:rPr>
        <w:t>Το Μακροπρόθεσμο Σχέδιο Παροχής Κινήτρων</w:t>
      </w:r>
      <w:r w:rsidR="002977FF" w:rsidRPr="00CB38F0">
        <w:rPr>
          <w:rFonts w:ascii="Arial" w:hAnsi="Arial" w:cs="Arial"/>
          <w:sz w:val="18"/>
          <w:szCs w:val="18"/>
          <w:lang w:val="el-GR" w:eastAsia="el-GR"/>
        </w:rPr>
        <w:t xml:space="preserve"> (ΜΣΠΚ) </w:t>
      </w:r>
      <w:r w:rsidRPr="00CB38F0">
        <w:rPr>
          <w:rFonts w:ascii="Arial" w:hAnsi="Arial" w:cs="Arial"/>
          <w:sz w:val="18"/>
          <w:szCs w:val="18"/>
          <w:lang w:val="el-GR" w:eastAsia="el-GR"/>
        </w:rPr>
        <w:t>εγκρίθηκε κ</w:t>
      </w:r>
      <w:r w:rsidR="000E2993" w:rsidRPr="00CB38F0">
        <w:rPr>
          <w:rFonts w:ascii="Arial" w:hAnsi="Arial" w:cs="Arial"/>
          <w:sz w:val="18"/>
          <w:szCs w:val="18"/>
          <w:lang w:val="el-GR" w:eastAsia="el-GR"/>
        </w:rPr>
        <w:t xml:space="preserve">ατά </w:t>
      </w:r>
      <w:r w:rsidR="00F25614" w:rsidRPr="00CB38F0">
        <w:rPr>
          <w:rFonts w:ascii="Arial" w:hAnsi="Arial" w:cs="Arial"/>
          <w:sz w:val="18"/>
          <w:szCs w:val="18"/>
          <w:lang w:val="el-GR" w:eastAsia="el-GR"/>
        </w:rPr>
        <w:t xml:space="preserve">την </w:t>
      </w:r>
      <w:r w:rsidR="000E2993" w:rsidRPr="00CB38F0">
        <w:rPr>
          <w:rFonts w:ascii="Arial" w:hAnsi="Arial" w:cs="Arial"/>
          <w:sz w:val="18"/>
          <w:szCs w:val="18"/>
          <w:lang w:val="el-GR" w:eastAsia="el-GR"/>
        </w:rPr>
        <w:t>Ετήσια Γενική Συνέλευση που πραγματοποιήθηκε τον Μάϊο 2022</w:t>
      </w:r>
      <w:r w:rsidRPr="00CB38F0">
        <w:rPr>
          <w:rFonts w:ascii="Arial" w:hAnsi="Arial" w:cs="Arial"/>
          <w:sz w:val="18"/>
          <w:szCs w:val="18"/>
          <w:lang w:val="el-GR" w:eastAsia="el-GR"/>
        </w:rPr>
        <w:t>.</w:t>
      </w:r>
      <w:r w:rsidR="007F1C1C" w:rsidRPr="00CB38F0">
        <w:rPr>
          <w:rFonts w:ascii="Arial" w:hAnsi="Arial" w:cs="Arial"/>
          <w:sz w:val="18"/>
          <w:szCs w:val="18"/>
          <w:lang w:val="el-GR" w:eastAsia="el-GR"/>
        </w:rPr>
        <w:t xml:space="preserve"> </w:t>
      </w:r>
      <w:r w:rsidR="002977FF" w:rsidRPr="00CB38F0">
        <w:rPr>
          <w:rFonts w:ascii="Arial" w:hAnsi="Arial" w:cs="Arial"/>
          <w:sz w:val="18"/>
          <w:szCs w:val="18"/>
          <w:lang w:val="el-GR" w:eastAsia="el-GR"/>
        </w:rPr>
        <w:t>Το</w:t>
      </w:r>
      <w:r w:rsidR="007F1C1C" w:rsidRPr="00CB38F0">
        <w:rPr>
          <w:rFonts w:ascii="Arial" w:hAnsi="Arial" w:cs="Arial"/>
          <w:sz w:val="18"/>
          <w:szCs w:val="18"/>
          <w:lang w:val="el-GR" w:eastAsia="el-GR"/>
        </w:rPr>
        <w:t xml:space="preserve"> </w:t>
      </w:r>
      <w:r w:rsidR="002977FF" w:rsidRPr="00CB38F0">
        <w:rPr>
          <w:rFonts w:ascii="Arial" w:hAnsi="Arial" w:cs="Arial"/>
          <w:sz w:val="18"/>
          <w:szCs w:val="18"/>
          <w:lang w:val="el-GR" w:eastAsia="el-GR"/>
        </w:rPr>
        <w:t xml:space="preserve">ΜΣΠΚ περιλαμβάνει τη χορήγηση μετοχών και βασίζεται στην επίτευξη σκοροκάρτας, με μέτρα και στόχους που έχουν τεθεί για την ευθυγράμμιση των αποτελεσμάτων με την υλοποίηση της στρατηγικής του Συγκροτήματος. Επί του παρόντος, σύμφωνα με το σχέδιο, οι εργαζόμενοι που είναι επιλέξιμοι για απονομές ΜΣΠΚ είναι τα μέλη της Διευρυμένης Εκτελεστικής Επιτροπής, συμπεριλαμβανομένων των εκτελεστικών διοικητικών συμβούλων. Το ΜΣΠΚ ορίζει ότι η απόδοση θα μετράτε σε περίοδο 3 ετών και θέτει οικονομικούς και μη οικονομικούς στόχους που πρέπει να επιτευχθούν. Στο τέλος της περιόδου απόδοσης, το αποτέλεσμα απόδοσης θα χρησιμοποιηθεί για την αξιολόγηση του ποσοστού των απονομών που θα απονεμηθούν. </w:t>
      </w:r>
      <w:r w:rsidR="000E2993" w:rsidRPr="00CB38F0">
        <w:rPr>
          <w:rFonts w:ascii="Arial" w:hAnsi="Arial" w:cs="Arial"/>
          <w:sz w:val="18"/>
          <w:szCs w:val="18"/>
          <w:lang w:val="el-GR" w:eastAsia="el-GR"/>
        </w:rPr>
        <w:t xml:space="preserve">Τον Δεκέμβριο 2022, το Συγκρότημα παραχώρησε 819,860 μετοχές, κάτω από το ΜΣΠΚ, σε 22 </w:t>
      </w:r>
      <w:r w:rsidR="007827C5" w:rsidRPr="00CB38F0">
        <w:rPr>
          <w:rFonts w:ascii="Arial" w:hAnsi="Arial" w:cs="Arial"/>
          <w:sz w:val="18"/>
          <w:szCs w:val="18"/>
          <w:lang w:val="el-GR" w:eastAsia="el-GR"/>
        </w:rPr>
        <w:t>επιλέξιμα μέλη του προσωπικού</w:t>
      </w:r>
      <w:r w:rsidR="000E2993" w:rsidRPr="00CB38F0">
        <w:rPr>
          <w:rFonts w:ascii="Arial" w:hAnsi="Arial" w:cs="Arial"/>
          <w:sz w:val="18"/>
          <w:szCs w:val="18"/>
          <w:lang w:val="el-GR" w:eastAsia="el-GR"/>
        </w:rPr>
        <w:t>, που αποτελούν τη Διευρυμένη Εκτελεστική Επιτροπή του Συγκροτήματος. Οι μετοχές που παραχωρήθηκαν τον Δεκέμβριο 2022 εξαρτώνται από την εκπλήρωση κριτηρίων απόδοσης για μία τριετή περίοδο (2022-2024) (με όλους τους όρους απόδοσης να μην είναι όροι απόδοσης</w:t>
      </w:r>
      <w:r w:rsidR="007827C5" w:rsidRPr="00CB38F0">
        <w:rPr>
          <w:rFonts w:ascii="Arial" w:hAnsi="Arial" w:cs="Arial"/>
          <w:sz w:val="18"/>
          <w:szCs w:val="18"/>
          <w:lang w:val="el-GR" w:eastAsia="el-GR"/>
        </w:rPr>
        <w:t xml:space="preserve"> της</w:t>
      </w:r>
      <w:r w:rsidR="000E2993" w:rsidRPr="00CB38F0">
        <w:rPr>
          <w:rFonts w:ascii="Arial" w:hAnsi="Arial" w:cs="Arial"/>
          <w:sz w:val="18"/>
          <w:szCs w:val="18"/>
          <w:lang w:val="el-GR" w:eastAsia="el-GR"/>
        </w:rPr>
        <w:t xml:space="preserve"> αγοράς)</w:t>
      </w:r>
      <w:r w:rsidR="007827C5" w:rsidRPr="00CB38F0">
        <w:rPr>
          <w:rFonts w:ascii="Arial" w:hAnsi="Arial" w:cs="Arial"/>
          <w:sz w:val="18"/>
          <w:szCs w:val="18"/>
          <w:lang w:val="el-GR" w:eastAsia="el-GR"/>
        </w:rPr>
        <w:t xml:space="preserve">. Τον Οκτώβριο 2023, το Συγκρότημα παραχώρησε 479,160 μετοχές σε 21 επιλέξιμα μέλη του προσωπικού που αποτελούν τη Διευρυμένη Εκτελεστική Επιτροπή του Συγκροτήματος. </w:t>
      </w:r>
      <w:r w:rsidR="007F1C1C" w:rsidRPr="00CB38F0">
        <w:rPr>
          <w:rFonts w:ascii="Arial" w:hAnsi="Arial" w:cs="Arial"/>
          <w:sz w:val="18"/>
          <w:szCs w:val="18"/>
          <w:lang w:val="el-GR" w:eastAsia="el-GR"/>
        </w:rPr>
        <w:t>Οι μετοχές που παραχωρήθηκαν τον Οκτώβριο 2023 εξαρτώνται από την εκπλήρωση κριτηρίων απόδοσης για μία τριετή περίοδο (2023-2025) (με όλους τους όρους απόδοσης να μην είναι όροι απόδοσης της αγοράς). Τον Απρίλιο  2024, το Συγκρότημα παραχώρησε 403,990 μετοχές σε 21 επιλέξιμα μέλη του προσωπικού που αποτελούν τη Διευρυμένη Εκτελεστική Επιτροπή του Συγκροτήματος.</w:t>
      </w:r>
      <w:r w:rsidR="00D022B5">
        <w:rPr>
          <w:rFonts w:ascii="Arial" w:hAnsi="Arial" w:cs="Arial"/>
          <w:sz w:val="18"/>
          <w:szCs w:val="18"/>
          <w:lang w:val="el-GR" w:eastAsia="el-GR"/>
        </w:rPr>
        <w:t xml:space="preserve"> </w:t>
      </w:r>
      <w:r w:rsidR="007F1C1C" w:rsidRPr="00CB38F0">
        <w:rPr>
          <w:rFonts w:ascii="Arial" w:hAnsi="Arial" w:cs="Arial"/>
          <w:sz w:val="18"/>
          <w:szCs w:val="18"/>
          <w:lang w:val="el-GR" w:eastAsia="el-GR"/>
        </w:rPr>
        <w:t>Οι μετοχές που παραχωρήθηκαν τον Απρίλιο 2024 εξαρτώνται από την εκπλήρωση κριτηρίων απόδοσης για μία τριετή περίοδο (2024-2026) (με όλους τους όρους απόδοσης να μην είναι όροι απόδοσης της αγοράς).</w:t>
      </w:r>
    </w:p>
    <w:p w14:paraId="7D2DF6C2" w14:textId="77777777" w:rsidR="00E06043" w:rsidRDefault="00E06043" w:rsidP="00D022B5">
      <w:pPr>
        <w:spacing w:after="0" w:line="240" w:lineRule="auto"/>
        <w:jc w:val="both"/>
        <w:rPr>
          <w:rFonts w:ascii="Arial" w:hAnsi="Arial" w:cs="Arial"/>
          <w:sz w:val="18"/>
          <w:szCs w:val="18"/>
          <w:lang w:val="el-GR" w:eastAsia="el-GR"/>
        </w:rPr>
      </w:pPr>
    </w:p>
    <w:p w14:paraId="76519D1A" w14:textId="77777777" w:rsidR="00E06043" w:rsidRDefault="00E06043" w:rsidP="00D022B5">
      <w:pPr>
        <w:spacing w:after="0" w:line="240" w:lineRule="auto"/>
        <w:jc w:val="both"/>
        <w:rPr>
          <w:rFonts w:ascii="Arial" w:hAnsi="Arial" w:cs="Arial"/>
          <w:sz w:val="18"/>
          <w:szCs w:val="18"/>
          <w:lang w:val="el-GR" w:eastAsia="el-GR"/>
        </w:rPr>
      </w:pPr>
    </w:p>
    <w:p w14:paraId="580D0D2A" w14:textId="63BC9953" w:rsidR="00662068" w:rsidRPr="00D022B5" w:rsidRDefault="00662068" w:rsidP="00D022B5">
      <w:pPr>
        <w:spacing w:after="0" w:line="240" w:lineRule="auto"/>
        <w:jc w:val="both"/>
        <w:rPr>
          <w:rFonts w:ascii="Arial" w:hAnsi="Arial" w:cs="Arial"/>
          <w:sz w:val="18"/>
          <w:szCs w:val="18"/>
          <w:lang w:val="el-GR" w:eastAsia="el-GR"/>
        </w:rPr>
      </w:pPr>
      <w:r w:rsidRPr="00CB38F0">
        <w:rPr>
          <w:rFonts w:ascii="Arial" w:hAnsi="Arial" w:cs="Arial"/>
          <w:b/>
          <w:bCs/>
          <w:color w:val="FF9900"/>
          <w:sz w:val="24"/>
          <w:szCs w:val="24"/>
          <w:lang w:val="el-GR"/>
        </w:rPr>
        <w:t xml:space="preserve">Β. Οικονομικά Αποτελέσματα Συγκροτήματος – Υποκείμενη Βάση </w:t>
      </w:r>
      <w:r w:rsidRPr="00CB38F0">
        <w:rPr>
          <w:rFonts w:ascii="Arial" w:hAnsi="Arial" w:cs="Arial"/>
          <w:color w:val="FF9900"/>
          <w:sz w:val="24"/>
          <w:szCs w:val="24"/>
          <w:lang w:val="el-GR"/>
        </w:rPr>
        <w:t xml:space="preserve">(συνέχεια) </w:t>
      </w:r>
    </w:p>
    <w:p w14:paraId="07BEFACC" w14:textId="77777777" w:rsidR="00662068" w:rsidRPr="00CB38F0" w:rsidRDefault="00662068" w:rsidP="00662068">
      <w:pPr>
        <w:spacing w:after="0" w:line="240" w:lineRule="auto"/>
        <w:rPr>
          <w:rFonts w:ascii="Arial" w:hAnsi="Arial" w:cs="Arial"/>
          <w:b/>
          <w:bCs/>
          <w:color w:val="FF9900"/>
          <w:sz w:val="20"/>
          <w:szCs w:val="20"/>
          <w:lang w:val="el-GR"/>
        </w:rPr>
      </w:pPr>
    </w:p>
    <w:p w14:paraId="44A82539" w14:textId="77777777" w:rsidR="00662068" w:rsidRPr="00CB38F0" w:rsidRDefault="00662068" w:rsidP="00662068">
      <w:pPr>
        <w:spacing w:after="0" w:line="360" w:lineRule="auto"/>
        <w:ind w:left="851" w:hanging="851"/>
        <w:rPr>
          <w:rFonts w:ascii="Arial" w:hAnsi="Arial" w:cs="Arial"/>
          <w:b/>
          <w:bCs/>
          <w:color w:val="FF9900"/>
          <w:sz w:val="23"/>
          <w:szCs w:val="23"/>
          <w:lang w:val="el-GR"/>
        </w:rPr>
      </w:pPr>
      <w:r w:rsidRPr="00CB38F0">
        <w:rPr>
          <w:rFonts w:ascii="Arial" w:hAnsi="Arial" w:cs="Arial"/>
          <w:b/>
          <w:bCs/>
          <w:color w:val="FF9900"/>
          <w:sz w:val="23"/>
          <w:szCs w:val="23"/>
          <w:lang w:val="el-GR"/>
        </w:rPr>
        <w:t xml:space="preserve">Β.3. Ανάλυση Κατάστασης Λογαριασμού Αποτελεσμάτων </w:t>
      </w:r>
      <w:r w:rsidRPr="00CB38F0">
        <w:rPr>
          <w:rFonts w:ascii="Arial" w:hAnsi="Arial" w:cs="Arial"/>
          <w:color w:val="FF9900"/>
          <w:sz w:val="23"/>
          <w:szCs w:val="23"/>
          <w:lang w:val="el-GR"/>
        </w:rPr>
        <w:t>(συνέχεια)</w:t>
      </w:r>
    </w:p>
    <w:p w14:paraId="01A8CFA1" w14:textId="77777777" w:rsidR="00662068" w:rsidRPr="00CB38F0" w:rsidRDefault="00662068" w:rsidP="00662068">
      <w:pPr>
        <w:spacing w:after="0" w:line="360" w:lineRule="auto"/>
        <w:ind w:left="851" w:hanging="851"/>
        <w:rPr>
          <w:rFonts w:ascii="Arial" w:hAnsi="Arial" w:cs="Arial"/>
          <w:color w:val="FF9900"/>
          <w:lang w:val="el-GR"/>
        </w:rPr>
      </w:pPr>
      <w:r w:rsidRPr="00CB38F0">
        <w:rPr>
          <w:rFonts w:ascii="Arial" w:hAnsi="Arial" w:cs="Arial"/>
          <w:b/>
          <w:bCs/>
          <w:color w:val="FF9900"/>
          <w:lang w:val="el-GR"/>
        </w:rPr>
        <w:t xml:space="preserve">Β.3.2 Συνολικά Έξοδα </w:t>
      </w:r>
      <w:r w:rsidRPr="00CB38F0">
        <w:rPr>
          <w:rFonts w:ascii="Arial" w:hAnsi="Arial" w:cs="Arial"/>
          <w:color w:val="FF9900"/>
          <w:lang w:val="el-GR"/>
        </w:rPr>
        <w:t>(συνέχεια)</w:t>
      </w:r>
    </w:p>
    <w:p w14:paraId="6677CDC7" w14:textId="0186A0B4" w:rsidR="008D10DD" w:rsidRPr="00CB38F0" w:rsidRDefault="007827C5" w:rsidP="006A1797">
      <w:pPr>
        <w:spacing w:after="0" w:line="240" w:lineRule="auto"/>
        <w:jc w:val="both"/>
        <w:rPr>
          <w:rFonts w:ascii="Arial" w:hAnsi="Arial" w:cs="Arial"/>
          <w:b/>
          <w:bCs/>
          <w:color w:val="FF9900"/>
          <w:sz w:val="24"/>
          <w:szCs w:val="24"/>
          <w:lang w:val="el-GR"/>
        </w:rPr>
      </w:pPr>
      <w:r w:rsidRPr="00CB38F0">
        <w:rPr>
          <w:rFonts w:ascii="Arial" w:hAnsi="Arial" w:cs="Arial"/>
          <w:sz w:val="18"/>
          <w:szCs w:val="18"/>
          <w:lang w:val="el-GR"/>
        </w:rPr>
        <w:t xml:space="preserve">Οι μετοχές θα κατοχυρωθούν σε έξι δόσεις, με την πρώτη δόση να κατοχυρώνεται μετά το τέλος της περιόδου αξιολόγησης και την τελευταία δόση κατά την πέμπτη επέτειο από την ημερομηνία κατοχύρωσης της πρώτης δόσης. </w:t>
      </w:r>
    </w:p>
    <w:p w14:paraId="06BD3928" w14:textId="77777777" w:rsidR="00B07E81" w:rsidRPr="00CB38F0" w:rsidRDefault="00B07E81" w:rsidP="008C092C">
      <w:pPr>
        <w:spacing w:after="0" w:line="240" w:lineRule="auto"/>
        <w:jc w:val="both"/>
        <w:rPr>
          <w:rFonts w:ascii="Arial" w:hAnsi="Arial" w:cs="Arial"/>
          <w:sz w:val="18"/>
          <w:szCs w:val="18"/>
          <w:lang w:val="el-GR" w:eastAsia="el-GR"/>
        </w:rPr>
      </w:pPr>
    </w:p>
    <w:p w14:paraId="70F73B07" w14:textId="1C05CBFC" w:rsidR="00D740B5" w:rsidRPr="00CB38F0" w:rsidRDefault="008C092C" w:rsidP="008C092C">
      <w:pPr>
        <w:spacing w:after="0" w:line="240" w:lineRule="auto"/>
        <w:jc w:val="both"/>
        <w:rPr>
          <w:rFonts w:ascii="Arial" w:hAnsi="Arial" w:cs="Arial"/>
          <w:sz w:val="18"/>
          <w:szCs w:val="18"/>
          <w:lang w:val="el-GR" w:eastAsia="el-GR"/>
        </w:rPr>
      </w:pPr>
      <w:r w:rsidRPr="00CB38F0">
        <w:rPr>
          <w:rFonts w:ascii="Arial" w:hAnsi="Arial" w:cs="Arial"/>
          <w:sz w:val="18"/>
          <w:szCs w:val="18"/>
          <w:lang w:val="el-GR" w:eastAsia="el-GR"/>
        </w:rPr>
        <w:t xml:space="preserve">Το Συγκρότημα εργοδοτούσε </w:t>
      </w:r>
      <w:r w:rsidR="005C0640" w:rsidRPr="00CB38F0">
        <w:rPr>
          <w:rFonts w:ascii="Arial" w:hAnsi="Arial" w:cs="Arial"/>
          <w:sz w:val="18"/>
          <w:szCs w:val="18"/>
          <w:lang w:val="el-GR" w:eastAsia="el-GR"/>
        </w:rPr>
        <w:t>2,860</w:t>
      </w:r>
      <w:r w:rsidR="00B07E81" w:rsidRPr="00CB38F0">
        <w:rPr>
          <w:rFonts w:ascii="Arial" w:hAnsi="Arial" w:cs="Arial"/>
          <w:sz w:val="18"/>
          <w:szCs w:val="18"/>
          <w:lang w:val="el-GR" w:eastAsia="el-GR"/>
        </w:rPr>
        <w:t xml:space="preserve"> </w:t>
      </w:r>
      <w:r w:rsidRPr="00CB38F0">
        <w:rPr>
          <w:rFonts w:ascii="Arial" w:hAnsi="Arial" w:cs="Arial"/>
          <w:sz w:val="18"/>
          <w:szCs w:val="18"/>
          <w:lang w:val="el-GR" w:eastAsia="el-GR"/>
        </w:rPr>
        <w:t xml:space="preserve">άτομα στις </w:t>
      </w:r>
      <w:r w:rsidR="00E26717" w:rsidRPr="00CB38F0">
        <w:rPr>
          <w:rFonts w:ascii="Arial" w:hAnsi="Arial" w:cs="Arial"/>
          <w:sz w:val="18"/>
          <w:szCs w:val="18"/>
          <w:lang w:val="el-GR" w:eastAsia="el-GR"/>
        </w:rPr>
        <w:t xml:space="preserve">30 Ιουνίου </w:t>
      </w:r>
      <w:r w:rsidR="00B07E81" w:rsidRPr="00CB38F0">
        <w:rPr>
          <w:rFonts w:ascii="Arial" w:hAnsi="Arial" w:cs="Arial"/>
          <w:sz w:val="18"/>
          <w:szCs w:val="18"/>
          <w:lang w:val="el-GR" w:eastAsia="el-GR"/>
        </w:rPr>
        <w:t xml:space="preserve">2024 </w:t>
      </w:r>
      <w:r w:rsidRPr="00CB38F0">
        <w:rPr>
          <w:rFonts w:ascii="Arial" w:hAnsi="Arial" w:cs="Arial"/>
          <w:sz w:val="18"/>
          <w:szCs w:val="18"/>
          <w:lang w:val="el-GR" w:eastAsia="el-GR"/>
        </w:rPr>
        <w:t xml:space="preserve">σε σύγκριση με </w:t>
      </w:r>
      <w:r w:rsidR="00E26717" w:rsidRPr="00CB38F0">
        <w:rPr>
          <w:rFonts w:ascii="Arial" w:hAnsi="Arial" w:cs="Arial"/>
          <w:sz w:val="18"/>
          <w:szCs w:val="18"/>
          <w:lang w:val="el-GR" w:eastAsia="el-GR"/>
        </w:rPr>
        <w:t xml:space="preserve">2,847 άτομα στις 31 Μαρτίου 2024 και με </w:t>
      </w:r>
      <w:r w:rsidR="00FD19EE" w:rsidRPr="00CB38F0">
        <w:rPr>
          <w:rFonts w:ascii="Arial" w:hAnsi="Arial" w:cs="Arial"/>
          <w:sz w:val="18"/>
          <w:szCs w:val="18"/>
          <w:lang w:val="el-GR" w:eastAsia="el-GR"/>
        </w:rPr>
        <w:t>2,</w:t>
      </w:r>
      <w:r w:rsidR="00B07E81" w:rsidRPr="00CB38F0">
        <w:rPr>
          <w:rFonts w:ascii="Arial" w:hAnsi="Arial" w:cs="Arial"/>
          <w:sz w:val="18"/>
          <w:szCs w:val="18"/>
          <w:lang w:val="el-GR" w:eastAsia="el-GR"/>
        </w:rPr>
        <w:t xml:space="preserve">830 </w:t>
      </w:r>
      <w:r w:rsidR="00FD19EE" w:rsidRPr="00CB38F0">
        <w:rPr>
          <w:rFonts w:ascii="Arial" w:hAnsi="Arial" w:cs="Arial"/>
          <w:sz w:val="18"/>
          <w:szCs w:val="18"/>
          <w:lang w:val="el-GR" w:eastAsia="el-GR"/>
        </w:rPr>
        <w:t xml:space="preserve">άτομα </w:t>
      </w:r>
      <w:r w:rsidR="00B07E81" w:rsidRPr="00CB38F0">
        <w:rPr>
          <w:rFonts w:ascii="Arial" w:hAnsi="Arial" w:cs="Arial"/>
          <w:sz w:val="18"/>
          <w:szCs w:val="18"/>
          <w:lang w:val="el-GR" w:eastAsia="el-GR"/>
        </w:rPr>
        <w:t xml:space="preserve">στις </w:t>
      </w:r>
      <w:r w:rsidRPr="00CB38F0">
        <w:rPr>
          <w:rFonts w:ascii="Arial" w:hAnsi="Arial" w:cs="Arial"/>
          <w:sz w:val="18"/>
          <w:szCs w:val="18"/>
          <w:lang w:val="el-GR" w:eastAsia="el-GR"/>
        </w:rPr>
        <w:t xml:space="preserve">31 Δεκεμβρίου </w:t>
      </w:r>
      <w:r w:rsidR="00B07E81" w:rsidRPr="00CB38F0">
        <w:rPr>
          <w:rFonts w:ascii="Arial" w:hAnsi="Arial" w:cs="Arial"/>
          <w:sz w:val="18"/>
          <w:szCs w:val="18"/>
          <w:lang w:val="el-GR" w:eastAsia="el-GR"/>
        </w:rPr>
        <w:t>2023</w:t>
      </w:r>
      <w:r w:rsidRPr="00CB38F0">
        <w:rPr>
          <w:rFonts w:ascii="Arial" w:hAnsi="Arial" w:cs="Arial"/>
          <w:sz w:val="18"/>
          <w:szCs w:val="18"/>
          <w:lang w:val="el-GR" w:eastAsia="el-GR"/>
        </w:rPr>
        <w:t>.</w:t>
      </w:r>
    </w:p>
    <w:p w14:paraId="6A445F7B" w14:textId="1C013A8F" w:rsidR="005B7856" w:rsidRPr="006B5511" w:rsidRDefault="005B7856" w:rsidP="00F26350">
      <w:pPr>
        <w:spacing w:after="0" w:line="240" w:lineRule="auto"/>
        <w:jc w:val="both"/>
        <w:rPr>
          <w:rFonts w:ascii="Arial" w:hAnsi="Arial" w:cs="Arial"/>
          <w:sz w:val="18"/>
          <w:szCs w:val="18"/>
          <w:highlight w:val="yellow"/>
          <w:lang w:val="el-GR"/>
        </w:rPr>
      </w:pPr>
      <w:bookmarkStart w:id="20" w:name="_Hlk126683180"/>
      <w:bookmarkStart w:id="21" w:name="_Hlk126655011"/>
      <w:bookmarkStart w:id="22" w:name="_Hlk126654455"/>
    </w:p>
    <w:bookmarkEnd w:id="20"/>
    <w:bookmarkEnd w:id="21"/>
    <w:bookmarkEnd w:id="22"/>
    <w:p w14:paraId="251AA536" w14:textId="0A0257DC" w:rsidR="00AC57C7" w:rsidRPr="006A1797" w:rsidRDefault="005B7856">
      <w:pPr>
        <w:spacing w:after="0" w:line="240" w:lineRule="auto"/>
        <w:jc w:val="both"/>
        <w:rPr>
          <w:rFonts w:ascii="Arial" w:eastAsia="Times New Roman" w:hAnsi="Arial" w:cs="Arial"/>
          <w:sz w:val="18"/>
          <w:szCs w:val="18"/>
          <w:lang w:val="el-GR" w:eastAsia="el-GR"/>
        </w:rPr>
      </w:pPr>
      <w:r w:rsidRPr="00CB38F0">
        <w:rPr>
          <w:rFonts w:ascii="Arial" w:hAnsi="Arial" w:cs="Arial"/>
          <w:b/>
          <w:bCs/>
          <w:sz w:val="18"/>
          <w:szCs w:val="18"/>
          <w:lang w:val="el-GR" w:eastAsia="el-GR"/>
        </w:rPr>
        <w:t>Τα άλλα λειτουργικά έξοδα</w:t>
      </w:r>
      <w:r w:rsidR="006A0961" w:rsidRPr="00CB38F0">
        <w:rPr>
          <w:rFonts w:ascii="Arial" w:hAnsi="Arial" w:cs="Arial"/>
          <w:sz w:val="18"/>
          <w:szCs w:val="18"/>
          <w:lang w:val="el-GR" w:eastAsia="el-GR"/>
        </w:rPr>
        <w:t xml:space="preserve"> για </w:t>
      </w:r>
      <w:r w:rsidR="00FD19EE" w:rsidRPr="00CB38F0">
        <w:rPr>
          <w:rFonts w:ascii="Arial" w:hAnsi="Arial" w:cs="Arial"/>
          <w:sz w:val="18"/>
          <w:szCs w:val="18"/>
          <w:lang w:val="el-GR" w:eastAsia="el-GR"/>
        </w:rPr>
        <w:t xml:space="preserve">το </w:t>
      </w:r>
      <w:r w:rsidR="00AC57C7" w:rsidRPr="009A4183">
        <w:rPr>
          <w:rFonts w:ascii="Arial" w:eastAsia="Times New Roman" w:hAnsi="Arial" w:cs="Arial"/>
          <w:sz w:val="18"/>
          <w:szCs w:val="18"/>
          <w:lang w:val="el-GR" w:eastAsia="el-GR"/>
        </w:rPr>
        <w:t>α΄</w:t>
      </w:r>
      <w:r w:rsidR="00AC57C7" w:rsidRPr="005D5ED4">
        <w:rPr>
          <w:rFonts w:ascii="Arial" w:eastAsia="Times New Roman" w:hAnsi="Arial" w:cs="Arial"/>
          <w:sz w:val="18"/>
          <w:szCs w:val="18"/>
          <w:lang w:val="el-GR" w:eastAsia="el-GR"/>
        </w:rPr>
        <w:t xml:space="preserve"> εξάμηνο 2024</w:t>
      </w:r>
      <w:r w:rsidR="00AC57C7" w:rsidRPr="005D5ED4">
        <w:rPr>
          <w:rFonts w:ascii="Arial" w:hAnsi="Arial" w:cs="Arial"/>
          <w:sz w:val="18"/>
          <w:szCs w:val="18"/>
          <w:lang w:val="el-GR"/>
        </w:rPr>
        <w:t xml:space="preserve"> </w:t>
      </w:r>
      <w:r w:rsidR="00AC57C7" w:rsidRPr="005D5ED4">
        <w:rPr>
          <w:rFonts w:ascii="Arial" w:eastAsia="Times New Roman" w:hAnsi="Arial" w:cs="Arial"/>
          <w:sz w:val="18"/>
          <w:szCs w:val="18"/>
          <w:lang w:val="el-GR" w:eastAsia="el-GR"/>
        </w:rPr>
        <w:t xml:space="preserve">ανήλθαν σε </w:t>
      </w:r>
      <w:r w:rsidR="00AC57C7" w:rsidRPr="005D5ED4">
        <w:rPr>
          <w:rFonts w:ascii="Arial" w:hAnsi="Arial" w:cs="Arial"/>
          <w:sz w:val="18"/>
          <w:szCs w:val="18"/>
          <w:lang w:val="el-GR" w:eastAsia="el-GR"/>
        </w:rPr>
        <w:t>€</w:t>
      </w:r>
      <w:r w:rsidR="00662068" w:rsidRPr="006A1797">
        <w:rPr>
          <w:rFonts w:ascii="Arial" w:hAnsi="Arial" w:cs="Arial"/>
          <w:bCs/>
          <w:sz w:val="18"/>
          <w:szCs w:val="18"/>
          <w:lang w:val="el-GR" w:eastAsia="el-GR"/>
        </w:rPr>
        <w:t xml:space="preserve">71 </w:t>
      </w:r>
      <w:r w:rsidR="00AC57C7" w:rsidRPr="005D5ED4">
        <w:rPr>
          <w:rFonts w:ascii="Arial" w:hAnsi="Arial" w:cs="Arial"/>
          <w:sz w:val="18"/>
          <w:szCs w:val="18"/>
          <w:lang w:val="el-GR" w:eastAsia="el-GR"/>
        </w:rPr>
        <w:t>εκατ.</w:t>
      </w:r>
      <w:r w:rsidR="00AC57C7">
        <w:rPr>
          <w:rFonts w:ascii="Arial" w:hAnsi="Arial" w:cs="Arial"/>
          <w:sz w:val="18"/>
          <w:szCs w:val="18"/>
          <w:lang w:val="el-GR" w:eastAsia="el-GR"/>
        </w:rPr>
        <w:t xml:space="preserve">, </w:t>
      </w:r>
      <w:r w:rsidR="00AC57C7" w:rsidRPr="005D5ED4">
        <w:rPr>
          <w:rFonts w:ascii="Arial" w:hAnsi="Arial" w:cs="Arial"/>
          <w:sz w:val="18"/>
          <w:szCs w:val="18"/>
          <w:lang w:val="el-GR" w:eastAsia="el-GR"/>
        </w:rPr>
        <w:t>σε σύγκριση με €</w:t>
      </w:r>
      <w:r w:rsidR="00AC57C7">
        <w:rPr>
          <w:rFonts w:ascii="Arial" w:hAnsi="Arial" w:cs="Arial"/>
          <w:sz w:val="18"/>
          <w:szCs w:val="18"/>
          <w:lang w:val="el-GR" w:eastAsia="el-GR"/>
        </w:rPr>
        <w:t>69</w:t>
      </w:r>
      <w:r w:rsidR="00AC57C7" w:rsidRPr="005D5ED4">
        <w:rPr>
          <w:rFonts w:ascii="Arial" w:hAnsi="Arial" w:cs="Arial"/>
          <w:sz w:val="18"/>
          <w:szCs w:val="18"/>
          <w:lang w:val="el-GR" w:eastAsia="el-GR"/>
        </w:rPr>
        <w:t xml:space="preserve"> εκατ. για </w:t>
      </w:r>
      <w:r w:rsidR="00AC57C7" w:rsidRPr="005D5ED4">
        <w:rPr>
          <w:rFonts w:ascii="Arial" w:eastAsia="Batang" w:hAnsi="Arial" w:cs="Arial"/>
          <w:sz w:val="18"/>
          <w:szCs w:val="18"/>
          <w:lang w:val="el-GR" w:eastAsia="en-US"/>
        </w:rPr>
        <w:t xml:space="preserve">το </w:t>
      </w:r>
      <w:r w:rsidR="00AC57C7" w:rsidRPr="005D5ED4">
        <w:rPr>
          <w:rFonts w:ascii="Arial" w:eastAsia="Times New Roman" w:hAnsi="Arial" w:cs="Arial"/>
          <w:sz w:val="18"/>
          <w:szCs w:val="18"/>
          <w:lang w:val="el-GR" w:eastAsia="el-GR"/>
        </w:rPr>
        <w:t>α’ εξάμηνο 2023</w:t>
      </w:r>
      <w:r w:rsidR="00AC57C7">
        <w:rPr>
          <w:rFonts w:ascii="Arial" w:eastAsia="Times New Roman" w:hAnsi="Arial" w:cs="Arial"/>
          <w:sz w:val="18"/>
          <w:szCs w:val="18"/>
          <w:lang w:val="el-GR" w:eastAsia="el-GR"/>
        </w:rPr>
        <w:t>,</w:t>
      </w:r>
      <w:r w:rsidR="00662068">
        <w:rPr>
          <w:rFonts w:ascii="Arial" w:eastAsia="Times New Roman" w:hAnsi="Arial" w:cs="Arial"/>
          <w:sz w:val="18"/>
          <w:szCs w:val="18"/>
          <w:lang w:val="el-GR" w:eastAsia="el-GR"/>
        </w:rPr>
        <w:t xml:space="preserve"> αυξημένα κατά 4% σε ετήσια βάση, επηρεασμένα από τις πληθωριστικές πιέσεις καθώς και </w:t>
      </w:r>
      <w:r w:rsidR="00767E3F">
        <w:rPr>
          <w:rFonts w:ascii="Arial" w:eastAsia="Times New Roman" w:hAnsi="Arial" w:cs="Arial"/>
          <w:sz w:val="18"/>
          <w:szCs w:val="18"/>
          <w:lang w:val="el-GR" w:eastAsia="el-GR"/>
        </w:rPr>
        <w:t xml:space="preserve">από </w:t>
      </w:r>
      <w:r w:rsidR="00662068">
        <w:rPr>
          <w:rFonts w:ascii="Arial" w:eastAsia="Times New Roman" w:hAnsi="Arial" w:cs="Arial"/>
          <w:sz w:val="18"/>
          <w:szCs w:val="18"/>
          <w:lang w:val="el-GR" w:eastAsia="el-GR"/>
        </w:rPr>
        <w:t>τα</w:t>
      </w:r>
      <w:r w:rsidR="00C57006">
        <w:rPr>
          <w:rFonts w:ascii="Arial" w:eastAsia="Times New Roman" w:hAnsi="Arial" w:cs="Arial"/>
          <w:sz w:val="18"/>
          <w:szCs w:val="18"/>
          <w:lang w:val="el-GR" w:eastAsia="el-GR"/>
        </w:rPr>
        <w:t xml:space="preserve"> υψηλότερα</w:t>
      </w:r>
      <w:r w:rsidR="00662068">
        <w:rPr>
          <w:rFonts w:ascii="Arial" w:eastAsia="Times New Roman" w:hAnsi="Arial" w:cs="Arial"/>
          <w:sz w:val="18"/>
          <w:szCs w:val="18"/>
          <w:lang w:val="el-GR" w:eastAsia="el-GR"/>
        </w:rPr>
        <w:t xml:space="preserve"> έξοδα διαφήμισης</w:t>
      </w:r>
      <w:r w:rsidR="00C57006">
        <w:rPr>
          <w:rFonts w:ascii="Arial" w:eastAsia="Times New Roman" w:hAnsi="Arial" w:cs="Arial"/>
          <w:sz w:val="18"/>
          <w:szCs w:val="18"/>
          <w:lang w:val="el-GR" w:eastAsia="el-GR"/>
        </w:rPr>
        <w:t xml:space="preserve">. </w:t>
      </w:r>
      <w:r w:rsidR="00AC57C7" w:rsidRPr="00CB38F0">
        <w:rPr>
          <w:rFonts w:ascii="Arial" w:hAnsi="Arial" w:cs="Arial"/>
          <w:sz w:val="18"/>
          <w:szCs w:val="18"/>
          <w:lang w:val="el-GR" w:eastAsia="el-GR"/>
        </w:rPr>
        <w:t xml:space="preserve">Τα άλλα λειτουργικά έξοδα για το β’ τρίμηνο 2024 ανήλθαν σε </w:t>
      </w:r>
      <w:r w:rsidR="00AC57C7" w:rsidRPr="00AC57C7">
        <w:rPr>
          <w:rFonts w:ascii="Arial" w:hAnsi="Arial" w:cs="Arial"/>
          <w:sz w:val="18"/>
          <w:szCs w:val="18"/>
          <w:lang w:val="el-GR" w:eastAsia="el-GR"/>
        </w:rPr>
        <w:t>€</w:t>
      </w:r>
      <w:r w:rsidR="00662068" w:rsidRPr="006A1797">
        <w:rPr>
          <w:rFonts w:ascii="Arial" w:hAnsi="Arial" w:cs="Arial"/>
          <w:bCs/>
          <w:sz w:val="18"/>
          <w:szCs w:val="18"/>
          <w:lang w:val="el-GR" w:eastAsia="el-GR"/>
        </w:rPr>
        <w:t xml:space="preserve">38 </w:t>
      </w:r>
      <w:r w:rsidR="00AC57C7" w:rsidRPr="00AC57C7">
        <w:rPr>
          <w:rFonts w:ascii="Arial" w:hAnsi="Arial" w:cs="Arial"/>
          <w:sz w:val="18"/>
          <w:szCs w:val="18"/>
          <w:lang w:val="el-GR" w:eastAsia="el-GR"/>
        </w:rPr>
        <w:t xml:space="preserve">εκατ., σε σύγκριση με €33 εκατ. για </w:t>
      </w:r>
      <w:r w:rsidR="00AC57C7" w:rsidRPr="00AC57C7">
        <w:rPr>
          <w:rFonts w:ascii="Arial" w:eastAsia="Batang" w:hAnsi="Arial" w:cs="Arial"/>
          <w:sz w:val="18"/>
          <w:szCs w:val="18"/>
          <w:lang w:val="el-GR" w:eastAsia="en-US"/>
        </w:rPr>
        <w:t xml:space="preserve">το </w:t>
      </w:r>
      <w:r w:rsidR="00AC57C7" w:rsidRPr="00AC57C7">
        <w:rPr>
          <w:rFonts w:ascii="Arial" w:eastAsia="Times New Roman" w:hAnsi="Arial" w:cs="Arial"/>
          <w:sz w:val="18"/>
          <w:szCs w:val="18"/>
          <w:lang w:val="el-GR" w:eastAsia="el-GR"/>
        </w:rPr>
        <w:t xml:space="preserve">α’ τρίμηνο 2024, </w:t>
      </w:r>
      <w:r w:rsidR="00767E3F">
        <w:rPr>
          <w:rFonts w:ascii="Arial" w:eastAsia="Times New Roman" w:hAnsi="Arial" w:cs="Arial"/>
          <w:sz w:val="18"/>
          <w:szCs w:val="18"/>
          <w:lang w:val="el-GR" w:eastAsia="el-GR"/>
        </w:rPr>
        <w:t>λόγω των υψηλότερων άλλων</w:t>
      </w:r>
      <w:r w:rsidR="00767E3F" w:rsidRPr="000D0CA3">
        <w:rPr>
          <w:rFonts w:ascii="Arial" w:eastAsia="Times New Roman" w:hAnsi="Arial" w:cs="Arial"/>
          <w:sz w:val="18"/>
          <w:szCs w:val="18"/>
          <w:lang w:val="el-GR" w:eastAsia="el-GR"/>
        </w:rPr>
        <w:t xml:space="preserve"> επαγγελματικ</w:t>
      </w:r>
      <w:r w:rsidR="00767E3F">
        <w:rPr>
          <w:rFonts w:ascii="Arial" w:eastAsia="Times New Roman" w:hAnsi="Arial" w:cs="Arial"/>
          <w:sz w:val="18"/>
          <w:szCs w:val="18"/>
          <w:lang w:val="el-GR" w:eastAsia="el-GR"/>
        </w:rPr>
        <w:t>ών</w:t>
      </w:r>
      <w:r w:rsidR="00767E3F" w:rsidRPr="000D0CA3">
        <w:rPr>
          <w:rFonts w:ascii="Arial" w:eastAsia="Times New Roman" w:hAnsi="Arial" w:cs="Arial"/>
          <w:sz w:val="18"/>
          <w:szCs w:val="18"/>
          <w:lang w:val="el-GR" w:eastAsia="el-GR"/>
        </w:rPr>
        <w:t xml:space="preserve"> </w:t>
      </w:r>
      <w:r w:rsidR="00767E3F">
        <w:rPr>
          <w:rFonts w:ascii="Arial" w:eastAsia="Times New Roman" w:hAnsi="Arial" w:cs="Arial"/>
          <w:sz w:val="18"/>
          <w:szCs w:val="18"/>
          <w:lang w:val="el-GR" w:eastAsia="el-GR"/>
        </w:rPr>
        <w:t>εξόδων</w:t>
      </w:r>
      <w:r w:rsidR="00767E3F" w:rsidRPr="006A1797">
        <w:rPr>
          <w:rFonts w:ascii="Arial" w:eastAsia="Times New Roman" w:hAnsi="Arial" w:cs="Arial"/>
          <w:sz w:val="18"/>
          <w:szCs w:val="18"/>
          <w:lang w:val="el-GR" w:eastAsia="el-GR"/>
        </w:rPr>
        <w:t xml:space="preserve"> </w:t>
      </w:r>
      <w:r w:rsidR="00767E3F">
        <w:rPr>
          <w:rFonts w:ascii="Arial" w:eastAsia="Times New Roman" w:hAnsi="Arial" w:cs="Arial"/>
          <w:sz w:val="18"/>
          <w:szCs w:val="18"/>
          <w:lang w:val="el-GR" w:eastAsia="el-GR"/>
        </w:rPr>
        <w:t>και εξόδων</w:t>
      </w:r>
      <w:r w:rsidR="00767E3F" w:rsidRPr="006A1797">
        <w:rPr>
          <w:rFonts w:ascii="Arial" w:eastAsia="Times New Roman" w:hAnsi="Arial" w:cs="Arial"/>
          <w:sz w:val="18"/>
          <w:szCs w:val="18"/>
          <w:lang w:val="el-GR" w:eastAsia="el-GR"/>
        </w:rPr>
        <w:t xml:space="preserve"> διαφήμισή</w:t>
      </w:r>
      <w:r w:rsidR="00767E3F">
        <w:rPr>
          <w:rFonts w:ascii="Arial" w:eastAsia="Times New Roman" w:hAnsi="Arial" w:cs="Arial"/>
          <w:sz w:val="18"/>
          <w:szCs w:val="18"/>
          <w:lang w:val="el-GR" w:eastAsia="el-GR"/>
        </w:rPr>
        <w:t>ς.</w:t>
      </w:r>
    </w:p>
    <w:p w14:paraId="08FA8A0D" w14:textId="77777777" w:rsidR="00784FEE" w:rsidRPr="006B5511" w:rsidRDefault="00784FEE" w:rsidP="00343E1D">
      <w:pPr>
        <w:spacing w:after="0" w:line="240" w:lineRule="auto"/>
        <w:jc w:val="both"/>
        <w:rPr>
          <w:rFonts w:ascii="Arial" w:hAnsi="Arial" w:cs="Arial"/>
          <w:sz w:val="18"/>
          <w:szCs w:val="18"/>
          <w:highlight w:val="yellow"/>
          <w:lang w:val="el-GR" w:eastAsia="el-GR"/>
        </w:rPr>
      </w:pPr>
    </w:p>
    <w:p w14:paraId="0D453517" w14:textId="33688CED" w:rsidR="00787DEF" w:rsidRPr="00CB38F0" w:rsidRDefault="005B7856" w:rsidP="00343E1D">
      <w:pPr>
        <w:spacing w:after="0" w:line="240" w:lineRule="auto"/>
        <w:jc w:val="both"/>
        <w:rPr>
          <w:rFonts w:ascii="Arial" w:hAnsi="Arial" w:cs="Arial"/>
          <w:sz w:val="18"/>
          <w:szCs w:val="18"/>
          <w:highlight w:val="yellow"/>
          <w:lang w:val="el-GR" w:eastAsia="el-GR"/>
        </w:rPr>
      </w:pPr>
      <w:r w:rsidRPr="00CB38F0">
        <w:rPr>
          <w:rFonts w:ascii="Arial" w:hAnsi="Arial" w:cs="Arial"/>
          <w:b/>
          <w:bCs/>
          <w:sz w:val="18"/>
          <w:szCs w:val="18"/>
          <w:lang w:val="el-GR" w:eastAsia="el-GR"/>
        </w:rPr>
        <w:t xml:space="preserve">Ο ειδικός φόρος επί των καταθέσεων και άλλα τέλη/εισφορές </w:t>
      </w:r>
      <w:r w:rsidR="00C8771A" w:rsidRPr="00CB38F0">
        <w:rPr>
          <w:rFonts w:ascii="Arial" w:hAnsi="Arial" w:cs="Arial"/>
          <w:sz w:val="18"/>
          <w:szCs w:val="18"/>
          <w:lang w:val="el-GR" w:eastAsia="el-GR"/>
        </w:rPr>
        <w:t>για το</w:t>
      </w:r>
      <w:r w:rsidR="00D16797" w:rsidRPr="00CB38F0">
        <w:rPr>
          <w:rFonts w:ascii="Arial" w:hAnsi="Arial" w:cs="Arial"/>
          <w:sz w:val="18"/>
          <w:szCs w:val="18"/>
          <w:lang w:val="el-GR" w:eastAsia="el-GR"/>
        </w:rPr>
        <w:t xml:space="preserve"> </w:t>
      </w:r>
      <w:r w:rsidR="005D63B5" w:rsidRPr="00CB38F0">
        <w:rPr>
          <w:rFonts w:ascii="Arial" w:hAnsi="Arial" w:cs="Arial"/>
          <w:sz w:val="18"/>
          <w:szCs w:val="18"/>
          <w:lang w:val="el-GR" w:eastAsia="el-GR"/>
        </w:rPr>
        <w:t>α’ εξάμηνο 2024 ανήλθαν σε €</w:t>
      </w:r>
      <w:r w:rsidR="00767E3F" w:rsidRPr="006A1797">
        <w:rPr>
          <w:rFonts w:ascii="Arial" w:hAnsi="Arial" w:cs="Arial"/>
          <w:sz w:val="18"/>
          <w:szCs w:val="18"/>
          <w:lang w:val="el-GR" w:eastAsia="el-GR"/>
        </w:rPr>
        <w:t xml:space="preserve">19 </w:t>
      </w:r>
      <w:r w:rsidR="005D63B5" w:rsidRPr="00CB38F0">
        <w:rPr>
          <w:rFonts w:ascii="Arial" w:hAnsi="Arial" w:cs="Arial"/>
          <w:sz w:val="18"/>
          <w:szCs w:val="18"/>
          <w:lang w:val="el-GR" w:eastAsia="el-GR"/>
        </w:rPr>
        <w:t xml:space="preserve">εκατ., σε σύγκριση με €18 εκατ. για το α’ </w:t>
      </w:r>
      <w:r w:rsidR="005D63B5" w:rsidRPr="006A1797">
        <w:rPr>
          <w:rFonts w:ascii="Arial" w:hAnsi="Arial" w:cs="Arial"/>
          <w:color w:val="000000" w:themeColor="text1"/>
          <w:sz w:val="18"/>
          <w:szCs w:val="18"/>
          <w:lang w:val="el-GR" w:eastAsia="el-GR"/>
        </w:rPr>
        <w:t xml:space="preserve">εξάμηνο 2023, αυξημένα κατά </w:t>
      </w:r>
      <w:r w:rsidR="00767E3F" w:rsidRPr="006A1797">
        <w:rPr>
          <w:rFonts w:ascii="Arial" w:hAnsi="Arial" w:cs="Arial"/>
          <w:color w:val="000000" w:themeColor="text1"/>
          <w:sz w:val="18"/>
          <w:szCs w:val="18"/>
          <w:lang w:val="el-GR" w:eastAsia="el-GR"/>
        </w:rPr>
        <w:t>3</w:t>
      </w:r>
      <w:r w:rsidR="005D63B5" w:rsidRPr="006A1797">
        <w:rPr>
          <w:rFonts w:ascii="Arial" w:hAnsi="Arial" w:cs="Arial"/>
          <w:color w:val="000000" w:themeColor="text1"/>
          <w:sz w:val="18"/>
          <w:szCs w:val="18"/>
          <w:lang w:val="el-GR" w:eastAsia="el-GR"/>
        </w:rPr>
        <w:t>%</w:t>
      </w:r>
      <w:r w:rsidR="00767E3F" w:rsidRPr="006A1797">
        <w:rPr>
          <w:rFonts w:ascii="Arial" w:hAnsi="Arial" w:cs="Arial"/>
          <w:color w:val="000000" w:themeColor="text1"/>
          <w:sz w:val="18"/>
          <w:szCs w:val="18"/>
          <w:lang w:val="el-GR" w:eastAsia="el-GR"/>
        </w:rPr>
        <w:t xml:space="preserve"> σε ετήσια βάση</w:t>
      </w:r>
      <w:r w:rsidR="005D63B5" w:rsidRPr="006A1797">
        <w:rPr>
          <w:rFonts w:ascii="Arial" w:hAnsi="Arial" w:cs="Arial"/>
          <w:color w:val="000000" w:themeColor="text1"/>
          <w:sz w:val="18"/>
          <w:szCs w:val="18"/>
          <w:lang w:val="el-GR" w:eastAsia="el-GR"/>
        </w:rPr>
        <w:t>,</w:t>
      </w:r>
      <w:r w:rsidR="009A4183" w:rsidRPr="006A1797">
        <w:rPr>
          <w:rFonts w:ascii="Arial" w:hAnsi="Arial" w:cs="Arial"/>
          <w:color w:val="000000" w:themeColor="text1"/>
          <w:sz w:val="18"/>
          <w:szCs w:val="18"/>
          <w:lang w:val="el-GR" w:eastAsia="el-GR"/>
        </w:rPr>
        <w:t xml:space="preserve"> ως αποτέλεσμα κυρίως της αύξησης των καταθέσεων κατά €0.</w:t>
      </w:r>
      <w:r w:rsidR="00767E3F" w:rsidRPr="006A1797">
        <w:rPr>
          <w:rFonts w:ascii="Arial" w:hAnsi="Arial" w:cs="Arial"/>
          <w:color w:val="000000" w:themeColor="text1"/>
          <w:sz w:val="18"/>
          <w:szCs w:val="18"/>
          <w:lang w:val="el-GR" w:eastAsia="el-GR"/>
        </w:rPr>
        <w:t xml:space="preserve">55 </w:t>
      </w:r>
      <w:r w:rsidR="009A4183" w:rsidRPr="006A1797">
        <w:rPr>
          <w:rFonts w:ascii="Arial" w:hAnsi="Arial" w:cs="Arial"/>
          <w:color w:val="000000" w:themeColor="text1"/>
          <w:sz w:val="18"/>
          <w:szCs w:val="18"/>
          <w:lang w:val="el-GR" w:eastAsia="el-GR"/>
        </w:rPr>
        <w:t>δις σε ετήσια βάση</w:t>
      </w:r>
      <w:r w:rsidR="009A4183" w:rsidRPr="009A4183">
        <w:rPr>
          <w:rFonts w:ascii="Arial" w:hAnsi="Arial" w:cs="Arial"/>
          <w:sz w:val="18"/>
          <w:szCs w:val="18"/>
          <w:lang w:val="el-GR" w:eastAsia="el-GR"/>
        </w:rPr>
        <w:t>.</w:t>
      </w:r>
      <w:r w:rsidR="005D63B5" w:rsidRPr="00CB38F0">
        <w:rPr>
          <w:rFonts w:ascii="Arial" w:hAnsi="Arial" w:cs="Arial"/>
          <w:sz w:val="18"/>
          <w:szCs w:val="18"/>
          <w:lang w:val="el-GR" w:eastAsia="el-GR"/>
        </w:rPr>
        <w:t xml:space="preserve"> </w:t>
      </w:r>
      <w:r w:rsidR="009A4183" w:rsidRPr="00CB38F0">
        <w:rPr>
          <w:rFonts w:ascii="Arial" w:hAnsi="Arial" w:cs="Arial"/>
          <w:sz w:val="18"/>
          <w:szCs w:val="18"/>
          <w:lang w:val="el-GR" w:eastAsia="el-GR"/>
        </w:rPr>
        <w:t xml:space="preserve">Ο ειδικός φόρος επί των καταθέσεων και άλλα τέλη/εισφορές </w:t>
      </w:r>
      <w:r w:rsidR="009A4183" w:rsidRPr="009A4183">
        <w:rPr>
          <w:rFonts w:ascii="Arial" w:hAnsi="Arial" w:cs="Arial"/>
          <w:sz w:val="18"/>
          <w:szCs w:val="18"/>
          <w:lang w:val="el-GR" w:eastAsia="el-GR"/>
        </w:rPr>
        <w:t xml:space="preserve">για </w:t>
      </w:r>
      <w:r w:rsidR="009A4183" w:rsidRPr="00CB38F0">
        <w:rPr>
          <w:rFonts w:ascii="Arial" w:hAnsi="Arial" w:cs="Arial"/>
          <w:sz w:val="18"/>
          <w:szCs w:val="18"/>
          <w:lang w:val="el-GR" w:eastAsia="el-GR"/>
        </w:rPr>
        <w:t xml:space="preserve">β’ </w:t>
      </w:r>
      <w:r w:rsidR="00D16797" w:rsidRPr="00CB38F0">
        <w:rPr>
          <w:rFonts w:ascii="Arial" w:hAnsi="Arial" w:cs="Arial"/>
          <w:sz w:val="18"/>
          <w:szCs w:val="18"/>
          <w:lang w:val="el-GR" w:eastAsia="el-GR"/>
        </w:rPr>
        <w:t>τρίμηνο 2024</w:t>
      </w:r>
      <w:r w:rsidR="00C8771A" w:rsidRPr="00CB38F0">
        <w:rPr>
          <w:rFonts w:ascii="Arial" w:hAnsi="Arial" w:cs="Arial"/>
          <w:sz w:val="18"/>
          <w:szCs w:val="18"/>
          <w:lang w:val="el-GR" w:eastAsia="el-GR"/>
        </w:rPr>
        <w:t xml:space="preserve"> </w:t>
      </w:r>
      <w:r w:rsidRPr="00CB38F0">
        <w:rPr>
          <w:rFonts w:ascii="Arial" w:hAnsi="Arial" w:cs="Arial"/>
          <w:sz w:val="18"/>
          <w:szCs w:val="18"/>
          <w:lang w:val="el-GR" w:eastAsia="el-GR"/>
        </w:rPr>
        <w:t>ανήλθ</w:t>
      </w:r>
      <w:r w:rsidR="0091402F" w:rsidRPr="00CB38F0">
        <w:rPr>
          <w:rFonts w:ascii="Arial" w:hAnsi="Arial" w:cs="Arial"/>
          <w:sz w:val="18"/>
          <w:szCs w:val="18"/>
          <w:lang w:val="el-GR" w:eastAsia="el-GR"/>
        </w:rPr>
        <w:t>αν</w:t>
      </w:r>
      <w:r w:rsidRPr="00CB38F0">
        <w:rPr>
          <w:rFonts w:ascii="Arial" w:hAnsi="Arial" w:cs="Arial"/>
          <w:sz w:val="18"/>
          <w:szCs w:val="18"/>
          <w:lang w:val="el-GR" w:eastAsia="el-GR"/>
        </w:rPr>
        <w:t xml:space="preserve"> σε €</w:t>
      </w:r>
      <w:r w:rsidR="00767E3F" w:rsidRPr="006A1797">
        <w:rPr>
          <w:rFonts w:ascii="Arial" w:hAnsi="Arial" w:cs="Arial"/>
          <w:sz w:val="18"/>
          <w:szCs w:val="18"/>
          <w:lang w:val="el-GR"/>
        </w:rPr>
        <w:t>8</w:t>
      </w:r>
      <w:r w:rsidR="00767E3F">
        <w:rPr>
          <w:rFonts w:ascii="Arial" w:hAnsi="Arial" w:cs="Arial"/>
          <w:sz w:val="18"/>
          <w:szCs w:val="18"/>
          <w:lang w:val="el-GR"/>
        </w:rPr>
        <w:t xml:space="preserve"> </w:t>
      </w:r>
      <w:r w:rsidRPr="00CB38F0">
        <w:rPr>
          <w:rFonts w:ascii="Arial" w:hAnsi="Arial" w:cs="Arial"/>
          <w:sz w:val="18"/>
          <w:szCs w:val="18"/>
          <w:lang w:val="el-GR" w:eastAsia="el-GR"/>
        </w:rPr>
        <w:t>εκατ.</w:t>
      </w:r>
      <w:r w:rsidR="009A4183" w:rsidRPr="00CB38F0">
        <w:rPr>
          <w:rFonts w:ascii="Arial" w:hAnsi="Arial" w:cs="Arial"/>
          <w:sz w:val="18"/>
          <w:szCs w:val="18"/>
          <w:lang w:val="el-GR" w:eastAsia="el-GR"/>
        </w:rPr>
        <w:t xml:space="preserve">, μειωμένα κατά </w:t>
      </w:r>
      <w:r w:rsidR="00767E3F" w:rsidRPr="006A1797">
        <w:rPr>
          <w:rFonts w:ascii="Arial" w:hAnsi="Arial" w:cs="Arial"/>
          <w:sz w:val="18"/>
          <w:szCs w:val="18"/>
          <w:lang w:val="el-GR"/>
        </w:rPr>
        <w:t>38</w:t>
      </w:r>
      <w:r w:rsidR="009A4183" w:rsidRPr="00CB38F0">
        <w:rPr>
          <w:rFonts w:ascii="Arial" w:hAnsi="Arial" w:cs="Arial"/>
          <w:sz w:val="18"/>
          <w:szCs w:val="18"/>
          <w:lang w:val="el-GR" w:eastAsia="el-GR"/>
        </w:rPr>
        <w:t>% σε τριμηνιαία βάση, λόγω της</w:t>
      </w:r>
      <w:r w:rsidR="00787DEF" w:rsidRPr="00CB38F0">
        <w:rPr>
          <w:rFonts w:ascii="Arial" w:hAnsi="Arial" w:cs="Arial"/>
          <w:sz w:val="18"/>
          <w:szCs w:val="18"/>
          <w:lang w:val="el-GR" w:eastAsia="el-GR"/>
        </w:rPr>
        <w:t xml:space="preserve"> συνεισφορά της Τράπεζας στο Ταμείο Εγγύησης Καταθέσεων (ΤΕΚ) ύψους περίπου €4 εκατ. το οποίο αφορά το α’ εξάμηνο 2024 και αναγνωρίστηκε το α’ τρίμηνο 2024 (σύμφωνα με τα ΔΠΧΑ).</w:t>
      </w:r>
    </w:p>
    <w:p w14:paraId="689311A9" w14:textId="741F6398" w:rsidR="00EB0039" w:rsidRPr="006B5511" w:rsidRDefault="00EB0039" w:rsidP="00F26350">
      <w:pPr>
        <w:spacing w:after="0" w:line="240" w:lineRule="auto"/>
        <w:jc w:val="both"/>
        <w:rPr>
          <w:rFonts w:ascii="Arial" w:hAnsi="Arial" w:cs="Arial"/>
          <w:sz w:val="18"/>
          <w:szCs w:val="18"/>
          <w:highlight w:val="yellow"/>
          <w:lang w:val="el-GR" w:eastAsia="el-GR"/>
        </w:rPr>
      </w:pPr>
    </w:p>
    <w:p w14:paraId="4861F4FB" w14:textId="3B96C4B9" w:rsidR="00787DEF" w:rsidRPr="00CB38F0" w:rsidRDefault="005B7856" w:rsidP="00F26350">
      <w:pPr>
        <w:spacing w:after="0" w:line="240" w:lineRule="auto"/>
        <w:jc w:val="both"/>
        <w:rPr>
          <w:rFonts w:ascii="Arial" w:hAnsi="Arial" w:cs="Arial"/>
          <w:sz w:val="18"/>
          <w:szCs w:val="18"/>
          <w:lang w:val="el-GR" w:eastAsia="el-GR"/>
        </w:rPr>
      </w:pPr>
      <w:r w:rsidRPr="00CB38F0">
        <w:rPr>
          <w:rFonts w:ascii="Arial" w:hAnsi="Arial" w:cs="Arial"/>
          <w:b/>
          <w:bCs/>
          <w:sz w:val="18"/>
          <w:szCs w:val="18"/>
          <w:lang w:val="el-GR" w:eastAsia="el-GR"/>
        </w:rPr>
        <w:t xml:space="preserve">Ο δείκτης κόστος προς έσοδα αναπροσαρμοσμένος για τον ειδικό φόρο επί των καταθέσεων και άλλα τέλη/εισφορές </w:t>
      </w:r>
      <w:r w:rsidRPr="00CB38F0">
        <w:rPr>
          <w:rFonts w:ascii="Arial" w:hAnsi="Arial" w:cs="Arial"/>
          <w:sz w:val="18"/>
          <w:szCs w:val="18"/>
          <w:lang w:val="el-GR" w:eastAsia="el-GR"/>
        </w:rPr>
        <w:t xml:space="preserve">για το </w:t>
      </w:r>
      <w:r w:rsidR="008F063F" w:rsidRPr="00CB38F0">
        <w:rPr>
          <w:rFonts w:ascii="Arial" w:hAnsi="Arial" w:cs="Arial"/>
          <w:sz w:val="18"/>
          <w:szCs w:val="18"/>
          <w:lang w:val="el-GR" w:eastAsia="el-GR"/>
        </w:rPr>
        <w:t xml:space="preserve">α’ εξάμηνο 2024 ανήλθε σε </w:t>
      </w:r>
      <w:r w:rsidR="00767E3F" w:rsidRPr="006A1797">
        <w:rPr>
          <w:rFonts w:ascii="Arial" w:hAnsi="Arial" w:cs="Arial"/>
          <w:sz w:val="18"/>
          <w:szCs w:val="18"/>
          <w:lang w:val="el-GR"/>
        </w:rPr>
        <w:t>30</w:t>
      </w:r>
      <w:r w:rsidR="008F063F" w:rsidRPr="00CB38F0">
        <w:rPr>
          <w:rFonts w:ascii="Arial" w:hAnsi="Arial" w:cs="Arial"/>
          <w:sz w:val="18"/>
          <w:szCs w:val="18"/>
          <w:lang w:val="el-GR" w:eastAsia="el-GR"/>
        </w:rPr>
        <w:t xml:space="preserve">%, σε σύγκριση με 32% για το α’ εξάμηνο 2023, </w:t>
      </w:r>
      <w:r w:rsidR="00B6033E" w:rsidRPr="00CB38F0">
        <w:rPr>
          <w:rFonts w:ascii="Arial" w:hAnsi="Arial" w:cs="Arial"/>
          <w:sz w:val="18"/>
          <w:szCs w:val="18"/>
          <w:lang w:val="el-GR"/>
        </w:rPr>
        <w:t xml:space="preserve">επωφελούμενος από τα </w:t>
      </w:r>
      <w:r w:rsidR="009113AB">
        <w:rPr>
          <w:rFonts w:ascii="Arial" w:hAnsi="Arial" w:cs="Arial"/>
          <w:sz w:val="18"/>
          <w:szCs w:val="18"/>
          <w:lang w:val="el-GR"/>
        </w:rPr>
        <w:t>υψηλότερα</w:t>
      </w:r>
      <w:r w:rsidR="009113AB" w:rsidRPr="00CB38F0">
        <w:rPr>
          <w:rFonts w:ascii="Arial" w:hAnsi="Arial" w:cs="Arial"/>
          <w:sz w:val="18"/>
          <w:szCs w:val="18"/>
          <w:lang w:val="el-GR"/>
        </w:rPr>
        <w:t xml:space="preserve"> </w:t>
      </w:r>
      <w:r w:rsidR="00B6033E" w:rsidRPr="00CB38F0">
        <w:rPr>
          <w:rFonts w:ascii="Arial" w:hAnsi="Arial" w:cs="Arial"/>
          <w:sz w:val="18"/>
          <w:szCs w:val="18"/>
          <w:lang w:val="el-GR"/>
        </w:rPr>
        <w:t xml:space="preserve">έσοδα. </w:t>
      </w:r>
      <w:r w:rsidR="008F063F" w:rsidRPr="00CB38F0">
        <w:rPr>
          <w:rFonts w:ascii="Arial" w:hAnsi="Arial" w:cs="Arial"/>
          <w:sz w:val="18"/>
          <w:szCs w:val="18"/>
          <w:lang w:val="el-GR" w:eastAsia="el-GR"/>
        </w:rPr>
        <w:t xml:space="preserve">Ο δείκτης κόστος προς έσοδα αναπροσαρμοσμένος για τον ειδικό φόρο επί των καταθέσεων και άλλα τέλη/εισφορές </w:t>
      </w:r>
      <w:r w:rsidR="008F063F" w:rsidRPr="008F063F">
        <w:rPr>
          <w:rFonts w:ascii="Arial" w:hAnsi="Arial" w:cs="Arial"/>
          <w:sz w:val="18"/>
          <w:szCs w:val="18"/>
          <w:lang w:val="el-GR" w:eastAsia="el-GR"/>
        </w:rPr>
        <w:t xml:space="preserve">για το </w:t>
      </w:r>
      <w:r w:rsidR="008F063F">
        <w:rPr>
          <w:rFonts w:ascii="Arial" w:hAnsi="Arial" w:cs="Arial"/>
          <w:sz w:val="18"/>
          <w:szCs w:val="18"/>
          <w:lang w:val="el-GR" w:eastAsia="el-GR"/>
        </w:rPr>
        <w:t xml:space="preserve">β’ τρίμηνο </w:t>
      </w:r>
      <w:r w:rsidR="008F063F" w:rsidRPr="008F063F">
        <w:rPr>
          <w:rFonts w:ascii="Arial" w:hAnsi="Arial" w:cs="Arial"/>
          <w:sz w:val="18"/>
          <w:szCs w:val="18"/>
          <w:lang w:val="el-GR" w:eastAsia="el-GR"/>
        </w:rPr>
        <w:t xml:space="preserve">2024 ανήλθε σε </w:t>
      </w:r>
      <w:r w:rsidR="00767E3F" w:rsidRPr="006A1797">
        <w:rPr>
          <w:rFonts w:ascii="Arial" w:hAnsi="Arial" w:cs="Arial"/>
          <w:bCs/>
          <w:sz w:val="18"/>
          <w:szCs w:val="18"/>
          <w:lang w:val="el-GR"/>
        </w:rPr>
        <w:t>32</w:t>
      </w:r>
      <w:r w:rsidR="008F063F" w:rsidRPr="008F063F">
        <w:rPr>
          <w:rFonts w:ascii="Arial" w:hAnsi="Arial" w:cs="Arial"/>
          <w:sz w:val="18"/>
          <w:szCs w:val="18"/>
          <w:lang w:val="el-GR" w:eastAsia="el-GR"/>
        </w:rPr>
        <w:t xml:space="preserve">%, σε σύγκριση με </w:t>
      </w:r>
      <w:r w:rsidR="008F063F">
        <w:rPr>
          <w:rFonts w:ascii="Arial" w:hAnsi="Arial" w:cs="Arial"/>
          <w:sz w:val="18"/>
          <w:szCs w:val="18"/>
          <w:lang w:val="el-GR" w:eastAsia="el-GR"/>
        </w:rPr>
        <w:t>29</w:t>
      </w:r>
      <w:r w:rsidR="008F063F" w:rsidRPr="008F063F">
        <w:rPr>
          <w:rFonts w:ascii="Arial" w:hAnsi="Arial" w:cs="Arial"/>
          <w:sz w:val="18"/>
          <w:szCs w:val="18"/>
          <w:lang w:val="el-GR" w:eastAsia="el-GR"/>
        </w:rPr>
        <w:t xml:space="preserve">% για το α’ </w:t>
      </w:r>
      <w:r w:rsidR="008F063F">
        <w:rPr>
          <w:rFonts w:ascii="Arial" w:hAnsi="Arial" w:cs="Arial"/>
          <w:sz w:val="18"/>
          <w:szCs w:val="18"/>
          <w:lang w:val="el-GR" w:eastAsia="el-GR"/>
        </w:rPr>
        <w:t xml:space="preserve">τρίμηνο </w:t>
      </w:r>
      <w:r w:rsidR="008F063F" w:rsidRPr="008F063F">
        <w:rPr>
          <w:rFonts w:ascii="Arial" w:hAnsi="Arial" w:cs="Arial"/>
          <w:sz w:val="18"/>
          <w:szCs w:val="18"/>
          <w:lang w:val="el-GR" w:eastAsia="el-GR"/>
        </w:rPr>
        <w:t>202</w:t>
      </w:r>
      <w:r w:rsidR="008F063F">
        <w:rPr>
          <w:rFonts w:ascii="Arial" w:hAnsi="Arial" w:cs="Arial"/>
          <w:sz w:val="18"/>
          <w:szCs w:val="18"/>
          <w:lang w:val="el-GR" w:eastAsia="el-GR"/>
        </w:rPr>
        <w:t>4.</w:t>
      </w:r>
    </w:p>
    <w:p w14:paraId="7F87EADD" w14:textId="77777777" w:rsidR="00B6033E" w:rsidRPr="006B5511" w:rsidRDefault="00B6033E" w:rsidP="00F26350">
      <w:pPr>
        <w:spacing w:after="0" w:line="240" w:lineRule="auto"/>
        <w:jc w:val="both"/>
        <w:rPr>
          <w:rFonts w:ascii="Arial" w:hAnsi="Arial" w:cs="Arial"/>
          <w:sz w:val="18"/>
          <w:szCs w:val="18"/>
          <w:highlight w:val="yellow"/>
          <w:lang w:val="el-GR"/>
        </w:rPr>
      </w:pPr>
    </w:p>
    <w:p w14:paraId="611840D0" w14:textId="77777777" w:rsidR="00B6033E" w:rsidRPr="006B5511" w:rsidRDefault="00B6033E" w:rsidP="00F26350">
      <w:pPr>
        <w:spacing w:after="0" w:line="240" w:lineRule="auto"/>
        <w:jc w:val="both"/>
        <w:rPr>
          <w:rFonts w:ascii="Arial" w:hAnsi="Arial" w:cs="Arial"/>
          <w:sz w:val="18"/>
          <w:szCs w:val="18"/>
          <w:highlight w:val="yellow"/>
          <w:lang w:val="el-GR"/>
        </w:rPr>
      </w:pPr>
    </w:p>
    <w:p w14:paraId="25BD5894" w14:textId="1E4B18EB" w:rsidR="005B7856" w:rsidRPr="006B5511" w:rsidRDefault="005B7856" w:rsidP="00F26350">
      <w:pPr>
        <w:spacing w:after="0" w:line="240" w:lineRule="auto"/>
        <w:jc w:val="both"/>
        <w:rPr>
          <w:rFonts w:ascii="Arial" w:hAnsi="Arial" w:cs="Arial"/>
          <w:b/>
          <w:bCs/>
          <w:sz w:val="18"/>
          <w:szCs w:val="18"/>
          <w:highlight w:val="yellow"/>
          <w:lang w:val="el-GR" w:eastAsia="el-GR"/>
        </w:rPr>
      </w:pPr>
    </w:p>
    <w:p w14:paraId="4207BE6C" w14:textId="77777777" w:rsidR="004C4F85" w:rsidRPr="006B5511" w:rsidRDefault="004C4F85" w:rsidP="00F26350">
      <w:pPr>
        <w:spacing w:after="0" w:line="240" w:lineRule="auto"/>
        <w:jc w:val="both"/>
        <w:rPr>
          <w:rFonts w:ascii="Arial" w:hAnsi="Arial" w:cs="Arial"/>
          <w:b/>
          <w:bCs/>
          <w:sz w:val="18"/>
          <w:szCs w:val="18"/>
          <w:highlight w:val="yellow"/>
          <w:lang w:val="el-GR" w:eastAsia="el-GR"/>
        </w:rPr>
      </w:pPr>
    </w:p>
    <w:p w14:paraId="3A85BF72" w14:textId="77777777" w:rsidR="004E58D6" w:rsidRPr="006B5511" w:rsidRDefault="004E58D6" w:rsidP="00F57126">
      <w:pPr>
        <w:rPr>
          <w:rFonts w:ascii="Arial" w:hAnsi="Arial" w:cs="Arial"/>
          <w:bCs/>
          <w:sz w:val="14"/>
          <w:szCs w:val="14"/>
          <w:highlight w:val="yellow"/>
          <w:lang w:val="el-GR"/>
        </w:rPr>
      </w:pPr>
    </w:p>
    <w:p w14:paraId="602AF349" w14:textId="3495FC16" w:rsidR="00995AC9" w:rsidRPr="00CB38F0" w:rsidRDefault="00BC4C32" w:rsidP="00043074">
      <w:pPr>
        <w:spacing w:after="0" w:line="240" w:lineRule="auto"/>
        <w:rPr>
          <w:rFonts w:ascii="Arial" w:hAnsi="Arial" w:cs="Arial"/>
          <w:color w:val="FF9900"/>
          <w:sz w:val="24"/>
          <w:szCs w:val="24"/>
          <w:lang w:val="el-GR"/>
        </w:rPr>
      </w:pPr>
      <w:r w:rsidRPr="006B5511">
        <w:rPr>
          <w:rFonts w:ascii="Arial" w:hAnsi="Arial" w:cs="Arial"/>
          <w:sz w:val="18"/>
          <w:szCs w:val="18"/>
          <w:highlight w:val="yellow"/>
          <w:lang w:val="el-GR" w:eastAsia="el-GR"/>
        </w:rPr>
        <w:br w:type="page"/>
      </w:r>
      <w:r w:rsidR="00685DE5" w:rsidRPr="00CB38F0">
        <w:rPr>
          <w:rFonts w:ascii="Arial" w:hAnsi="Arial" w:cs="Arial"/>
          <w:b/>
          <w:bCs/>
          <w:color w:val="FF9900"/>
          <w:sz w:val="24"/>
          <w:szCs w:val="24"/>
          <w:lang w:val="el-GR"/>
        </w:rPr>
        <w:lastRenderedPageBreak/>
        <w:t>Β</w:t>
      </w:r>
      <w:r w:rsidR="00995AC9" w:rsidRPr="00CB38F0">
        <w:rPr>
          <w:rFonts w:ascii="Arial" w:hAnsi="Arial" w:cs="Arial"/>
          <w:b/>
          <w:bCs/>
          <w:color w:val="FF9900"/>
          <w:sz w:val="24"/>
          <w:szCs w:val="24"/>
          <w:lang w:val="el-GR"/>
        </w:rPr>
        <w:t>.</w:t>
      </w:r>
      <w:r w:rsidR="00CF75AC" w:rsidRPr="00CB38F0">
        <w:rPr>
          <w:rFonts w:ascii="Arial" w:hAnsi="Arial" w:cs="Arial"/>
          <w:b/>
          <w:bCs/>
          <w:color w:val="FF9900"/>
          <w:sz w:val="24"/>
          <w:szCs w:val="24"/>
          <w:lang w:val="el-GR"/>
        </w:rPr>
        <w:t xml:space="preserve"> </w:t>
      </w:r>
      <w:r w:rsidR="00995AC9" w:rsidRPr="00CB38F0">
        <w:rPr>
          <w:rFonts w:ascii="Arial" w:hAnsi="Arial" w:cs="Arial"/>
          <w:b/>
          <w:bCs/>
          <w:color w:val="FF9900"/>
          <w:sz w:val="24"/>
          <w:szCs w:val="24"/>
          <w:lang w:val="el-GR"/>
        </w:rPr>
        <w:t xml:space="preserve">Οικονομικά Αποτελέσματα Συγκροτήματος – Υποκείμενη Βάση </w:t>
      </w:r>
      <w:r w:rsidR="00995AC9" w:rsidRPr="00CB38F0">
        <w:rPr>
          <w:rFonts w:ascii="Arial" w:hAnsi="Arial" w:cs="Arial"/>
          <w:color w:val="FF9900"/>
          <w:sz w:val="24"/>
          <w:szCs w:val="24"/>
          <w:lang w:val="el-GR"/>
        </w:rPr>
        <w:t xml:space="preserve">(συνέχεια) </w:t>
      </w:r>
    </w:p>
    <w:p w14:paraId="26984530" w14:textId="77777777" w:rsidR="00043074" w:rsidRPr="00CB38F0" w:rsidRDefault="00043074" w:rsidP="00043074">
      <w:pPr>
        <w:spacing w:after="0" w:line="240" w:lineRule="auto"/>
        <w:rPr>
          <w:rFonts w:ascii="Arial" w:hAnsi="Arial" w:cs="Arial"/>
          <w:b/>
          <w:bCs/>
          <w:color w:val="FF9900"/>
          <w:sz w:val="20"/>
          <w:szCs w:val="20"/>
          <w:lang w:val="el-GR"/>
        </w:rPr>
      </w:pPr>
    </w:p>
    <w:p w14:paraId="6AC414BA" w14:textId="64DD8C78" w:rsidR="00995AC9" w:rsidRPr="00CB38F0" w:rsidRDefault="00685DE5" w:rsidP="004953BA">
      <w:pPr>
        <w:spacing w:after="0" w:line="360" w:lineRule="auto"/>
        <w:ind w:left="851" w:hanging="851"/>
        <w:rPr>
          <w:rFonts w:ascii="Arial" w:hAnsi="Arial" w:cs="Arial"/>
          <w:b/>
          <w:bCs/>
          <w:color w:val="FF9900"/>
          <w:sz w:val="23"/>
          <w:szCs w:val="23"/>
          <w:lang w:val="el-GR"/>
        </w:rPr>
      </w:pPr>
      <w:r w:rsidRPr="00CB38F0">
        <w:rPr>
          <w:rFonts w:ascii="Arial" w:hAnsi="Arial" w:cs="Arial"/>
          <w:b/>
          <w:bCs/>
          <w:color w:val="FF9900"/>
          <w:sz w:val="23"/>
          <w:szCs w:val="23"/>
          <w:lang w:val="el-GR"/>
        </w:rPr>
        <w:t>Β.</w:t>
      </w:r>
      <w:r w:rsidR="00B6033E" w:rsidRPr="00CB38F0">
        <w:rPr>
          <w:rFonts w:ascii="Arial" w:hAnsi="Arial" w:cs="Arial"/>
          <w:b/>
          <w:bCs/>
          <w:color w:val="FF9900"/>
          <w:sz w:val="23"/>
          <w:szCs w:val="23"/>
          <w:lang w:val="el-GR"/>
        </w:rPr>
        <w:t>3</w:t>
      </w:r>
      <w:r w:rsidR="00CF75AC" w:rsidRPr="00CB38F0">
        <w:rPr>
          <w:rFonts w:ascii="Arial" w:hAnsi="Arial" w:cs="Arial"/>
          <w:b/>
          <w:bCs/>
          <w:color w:val="FF9900"/>
          <w:sz w:val="23"/>
          <w:szCs w:val="23"/>
          <w:lang w:val="el-GR"/>
        </w:rPr>
        <w:t xml:space="preserve">. </w:t>
      </w:r>
      <w:r w:rsidR="00995AC9" w:rsidRPr="00CB38F0">
        <w:rPr>
          <w:rFonts w:ascii="Arial" w:hAnsi="Arial" w:cs="Arial"/>
          <w:b/>
          <w:bCs/>
          <w:color w:val="FF9900"/>
          <w:sz w:val="23"/>
          <w:szCs w:val="23"/>
          <w:lang w:val="el-GR"/>
        </w:rPr>
        <w:t xml:space="preserve">Ανάλυση Κατάστασης Λογαριασμού Αποτελεσμάτων </w:t>
      </w:r>
      <w:r w:rsidR="00995AC9" w:rsidRPr="00CB38F0">
        <w:rPr>
          <w:rFonts w:ascii="Arial" w:hAnsi="Arial" w:cs="Arial"/>
          <w:color w:val="FF9900"/>
          <w:sz w:val="23"/>
          <w:szCs w:val="23"/>
          <w:lang w:val="el-GR"/>
        </w:rPr>
        <w:t>(συνέχεια)</w:t>
      </w:r>
    </w:p>
    <w:p w14:paraId="163882D3" w14:textId="2262C9F0" w:rsidR="00042BF4" w:rsidRPr="00CB38F0" w:rsidRDefault="00685DE5" w:rsidP="004953BA">
      <w:pPr>
        <w:spacing w:after="0" w:line="360" w:lineRule="auto"/>
        <w:ind w:left="851" w:hanging="851"/>
        <w:rPr>
          <w:rFonts w:ascii="Arial" w:hAnsi="Arial" w:cs="Arial"/>
          <w:b/>
          <w:bCs/>
          <w:color w:val="FF9900"/>
          <w:szCs w:val="24"/>
          <w:lang w:val="el-GR" w:eastAsia="el-GR"/>
        </w:rPr>
      </w:pPr>
      <w:r w:rsidRPr="00CB38F0">
        <w:rPr>
          <w:rFonts w:ascii="Arial" w:hAnsi="Arial" w:cs="Arial"/>
          <w:b/>
          <w:bCs/>
          <w:color w:val="FF9900"/>
          <w:szCs w:val="24"/>
          <w:lang w:val="el-GR" w:eastAsia="el-GR"/>
        </w:rPr>
        <w:t>Β</w:t>
      </w:r>
      <w:r w:rsidR="00760FAD" w:rsidRPr="00CB38F0">
        <w:rPr>
          <w:rFonts w:ascii="Arial" w:hAnsi="Arial" w:cs="Arial"/>
          <w:b/>
          <w:bCs/>
          <w:color w:val="FF9900"/>
          <w:szCs w:val="24"/>
          <w:lang w:val="el-GR" w:eastAsia="el-GR"/>
        </w:rPr>
        <w:t>.</w:t>
      </w:r>
      <w:r w:rsidR="00FA0DA8" w:rsidRPr="00CB38F0">
        <w:rPr>
          <w:rFonts w:ascii="Arial" w:hAnsi="Arial" w:cs="Arial"/>
          <w:b/>
          <w:bCs/>
          <w:color w:val="FF9900"/>
          <w:szCs w:val="24"/>
          <w:lang w:val="el-GR" w:eastAsia="el-GR"/>
        </w:rPr>
        <w:t>3</w:t>
      </w:r>
      <w:r w:rsidR="00760FAD" w:rsidRPr="00CB38F0">
        <w:rPr>
          <w:rFonts w:ascii="Arial" w:hAnsi="Arial" w:cs="Arial"/>
          <w:b/>
          <w:bCs/>
          <w:color w:val="FF9900"/>
          <w:szCs w:val="24"/>
          <w:lang w:val="el-GR" w:eastAsia="el-GR"/>
        </w:rPr>
        <w:t>.</w:t>
      </w:r>
      <w:r w:rsidR="00DD29FA" w:rsidRPr="00CB38F0">
        <w:rPr>
          <w:rFonts w:ascii="Arial" w:hAnsi="Arial" w:cs="Arial"/>
          <w:b/>
          <w:bCs/>
          <w:color w:val="FF9900"/>
          <w:szCs w:val="24"/>
          <w:lang w:val="el-GR" w:eastAsia="el-GR"/>
        </w:rPr>
        <w:t>3</w:t>
      </w:r>
      <w:r w:rsidR="00CF75AC" w:rsidRPr="00CB38F0">
        <w:rPr>
          <w:rFonts w:ascii="Arial" w:hAnsi="Arial" w:cs="Arial"/>
          <w:b/>
          <w:bCs/>
          <w:color w:val="FF9900"/>
          <w:szCs w:val="24"/>
          <w:lang w:val="el-GR" w:eastAsia="el-GR"/>
        </w:rPr>
        <w:t xml:space="preserve"> </w:t>
      </w:r>
      <w:r w:rsidR="00BC4C32" w:rsidRPr="00CB38F0">
        <w:rPr>
          <w:rFonts w:ascii="Arial" w:hAnsi="Arial" w:cs="Arial"/>
          <w:b/>
          <w:bCs/>
          <w:color w:val="FF9900"/>
          <w:szCs w:val="24"/>
          <w:lang w:val="el-GR" w:eastAsia="el-GR"/>
        </w:rPr>
        <w:t>Κέρδη πριν τη φορολογία και μη επαναλαμβανόμενα στοιχεία</w:t>
      </w:r>
      <w:r w:rsidR="00BC4C32" w:rsidRPr="00CB38F0" w:rsidDel="00B60973">
        <w:rPr>
          <w:rFonts w:ascii="Arial" w:hAnsi="Arial" w:cs="Arial"/>
          <w:b/>
          <w:bCs/>
          <w:color w:val="FF9900"/>
          <w:szCs w:val="24"/>
          <w:lang w:val="el-GR" w:eastAsia="el-GR"/>
        </w:rPr>
        <w:t xml:space="preserve"> </w:t>
      </w:r>
    </w:p>
    <w:p w14:paraId="373549FF" w14:textId="77777777" w:rsidR="00F75FBB" w:rsidRPr="006B5511" w:rsidRDefault="00F75FBB" w:rsidP="00BC4C32">
      <w:pPr>
        <w:spacing w:after="0" w:line="240" w:lineRule="auto"/>
        <w:jc w:val="both"/>
        <w:rPr>
          <w:rFonts w:ascii="Arial" w:hAnsi="Arial" w:cs="Arial"/>
          <w:b/>
          <w:bCs/>
          <w:sz w:val="14"/>
          <w:szCs w:val="14"/>
          <w:highlight w:val="yellow"/>
          <w:lang w:val="el-GR"/>
        </w:rPr>
      </w:pPr>
    </w:p>
    <w:tbl>
      <w:tblPr>
        <w:tblW w:w="5000" w:type="pct"/>
        <w:tblLayout w:type="fixed"/>
        <w:tblCellMar>
          <w:left w:w="40" w:type="dxa"/>
          <w:right w:w="40" w:type="dxa"/>
        </w:tblCellMar>
        <w:tblLook w:val="0000" w:firstRow="0" w:lastRow="0" w:firstColumn="0" w:lastColumn="0" w:noHBand="0" w:noVBand="0"/>
      </w:tblPr>
      <w:tblGrid>
        <w:gridCol w:w="2015"/>
        <w:gridCol w:w="451"/>
        <w:gridCol w:w="1013"/>
        <w:gridCol w:w="124"/>
        <w:gridCol w:w="325"/>
        <w:gridCol w:w="1017"/>
        <w:gridCol w:w="1017"/>
        <w:gridCol w:w="761"/>
        <w:gridCol w:w="887"/>
        <w:gridCol w:w="1015"/>
        <w:gridCol w:w="1060"/>
      </w:tblGrid>
      <w:tr w:rsidR="00E074F3" w:rsidRPr="006B5511" w14:paraId="332D770B" w14:textId="77777777" w:rsidTr="00767E3F">
        <w:trPr>
          <w:trHeight w:val="538"/>
        </w:trPr>
        <w:tc>
          <w:tcPr>
            <w:tcW w:w="1040" w:type="pct"/>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1C5E8B47" w14:textId="77777777" w:rsidR="00E074F3" w:rsidRPr="00CB38F0" w:rsidRDefault="00E074F3" w:rsidP="00E074F3">
            <w:pPr>
              <w:spacing w:after="0" w:line="240" w:lineRule="auto"/>
              <w:jc w:val="both"/>
              <w:rPr>
                <w:rFonts w:ascii="Arial" w:hAnsi="Arial" w:cs="Arial"/>
                <w:b/>
                <w:bCs/>
                <w:sz w:val="18"/>
                <w:szCs w:val="18"/>
              </w:rPr>
            </w:pPr>
            <w:bookmarkStart w:id="23" w:name="_Hlk166499755"/>
            <w:r w:rsidRPr="00CB38F0">
              <w:rPr>
                <w:rFonts w:ascii="Arial" w:hAnsi="Arial" w:cs="Arial"/>
                <w:b/>
                <w:bCs/>
                <w:sz w:val="18"/>
                <w:szCs w:val="18"/>
              </w:rPr>
              <w:t xml:space="preserve">€ </w:t>
            </w:r>
            <w:r w:rsidRPr="00CB38F0">
              <w:rPr>
                <w:rFonts w:ascii="Arial" w:hAnsi="Arial" w:cs="Arial"/>
                <w:b/>
                <w:bCs/>
                <w:sz w:val="18"/>
                <w:szCs w:val="18"/>
                <w:lang w:val="el-GR"/>
              </w:rPr>
              <w:t>εκατ.</w:t>
            </w:r>
          </w:p>
        </w:tc>
        <w:tc>
          <w:tcPr>
            <w:tcW w:w="233" w:type="pct"/>
            <w:tcBorders>
              <w:top w:val="single" w:sz="4" w:space="0" w:color="808080" w:themeColor="background1" w:themeShade="80"/>
              <w:bottom w:val="single" w:sz="4" w:space="0" w:color="808080" w:themeColor="background1" w:themeShade="80"/>
            </w:tcBorders>
          </w:tcPr>
          <w:p w14:paraId="7211DD4F" w14:textId="77777777" w:rsidR="00E074F3" w:rsidRPr="00CB38F0" w:rsidRDefault="00E074F3" w:rsidP="00E074F3">
            <w:pPr>
              <w:spacing w:after="0" w:line="240" w:lineRule="auto"/>
              <w:jc w:val="both"/>
              <w:rPr>
                <w:rFonts w:ascii="Arial" w:hAnsi="Arial" w:cs="Arial"/>
                <w:b/>
                <w:bCs/>
                <w:sz w:val="18"/>
                <w:szCs w:val="18"/>
                <w:lang w:val="en-US"/>
              </w:rPr>
            </w:pPr>
          </w:p>
        </w:tc>
        <w:tc>
          <w:tcPr>
            <w:tcW w:w="523" w:type="pct"/>
            <w:tcBorders>
              <w:top w:val="single" w:sz="4" w:space="0" w:color="808080" w:themeColor="background1" w:themeShade="80"/>
              <w:bottom w:val="single" w:sz="4" w:space="0" w:color="808080" w:themeColor="background1" w:themeShade="80"/>
            </w:tcBorders>
          </w:tcPr>
          <w:p w14:paraId="32641A95" w14:textId="77777777" w:rsidR="00E074F3" w:rsidRPr="00CB38F0" w:rsidRDefault="00E074F3" w:rsidP="00E074F3">
            <w:pPr>
              <w:spacing w:after="0" w:line="240" w:lineRule="auto"/>
              <w:jc w:val="both"/>
              <w:rPr>
                <w:rFonts w:ascii="Arial" w:hAnsi="Arial" w:cs="Arial"/>
                <w:b/>
                <w:bCs/>
                <w:sz w:val="18"/>
                <w:szCs w:val="18"/>
                <w:lang w:val="el-GR"/>
              </w:rPr>
            </w:pPr>
          </w:p>
        </w:tc>
        <w:tc>
          <w:tcPr>
            <w:tcW w:w="63" w:type="pct"/>
            <w:tcBorders>
              <w:top w:val="single" w:sz="4" w:space="0" w:color="808080" w:themeColor="background1" w:themeShade="80"/>
              <w:bottom w:val="single" w:sz="4" w:space="0" w:color="808080" w:themeColor="background1" w:themeShade="80"/>
            </w:tcBorders>
          </w:tcPr>
          <w:p w14:paraId="455C9BC6" w14:textId="77777777" w:rsidR="00E074F3" w:rsidRPr="00CB38F0" w:rsidRDefault="00E074F3" w:rsidP="00E074F3">
            <w:pPr>
              <w:spacing w:after="0" w:line="240" w:lineRule="auto"/>
              <w:jc w:val="both"/>
              <w:rPr>
                <w:rFonts w:ascii="Arial" w:hAnsi="Arial" w:cs="Arial"/>
                <w:b/>
                <w:bCs/>
                <w:sz w:val="18"/>
                <w:szCs w:val="18"/>
              </w:rPr>
            </w:pPr>
          </w:p>
        </w:tc>
        <w:tc>
          <w:tcPr>
            <w:tcW w:w="168" w:type="pct"/>
            <w:tcBorders>
              <w:top w:val="single" w:sz="4" w:space="0" w:color="808080" w:themeColor="background1" w:themeShade="80"/>
              <w:bottom w:val="single" w:sz="4" w:space="0" w:color="808080" w:themeColor="background1" w:themeShade="80"/>
            </w:tcBorders>
          </w:tcPr>
          <w:p w14:paraId="1F1CE853" w14:textId="77777777" w:rsidR="00E074F3" w:rsidRPr="006B5511" w:rsidRDefault="00E074F3" w:rsidP="00E074F3">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highlight w:val="yellow"/>
                <w:lang w:val="el-GR" w:eastAsia="el-GR"/>
              </w:rPr>
            </w:pPr>
          </w:p>
        </w:tc>
        <w:tc>
          <w:tcPr>
            <w:tcW w:w="525" w:type="pct"/>
            <w:tcBorders>
              <w:top w:val="single" w:sz="4" w:space="0" w:color="808080" w:themeColor="background1" w:themeShade="80"/>
              <w:bottom w:val="single" w:sz="4" w:space="0" w:color="808080" w:themeColor="background1" w:themeShade="80"/>
            </w:tcBorders>
            <w:vAlign w:val="center"/>
          </w:tcPr>
          <w:p w14:paraId="6D6B158D" w14:textId="77777777" w:rsidR="00E074F3" w:rsidRPr="00A30D62" w:rsidRDefault="00E074F3" w:rsidP="00E074F3">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lang w:val="el-GR" w:eastAsia="el-GR"/>
              </w:rPr>
            </w:pPr>
            <w:r w:rsidRPr="00A30D62">
              <w:rPr>
                <w:rFonts w:ascii="Arial" w:eastAsia="Times New Roman" w:hAnsi="Arial" w:cs="Arial"/>
                <w:b/>
                <w:bCs/>
                <w:sz w:val="18"/>
                <w:szCs w:val="18"/>
                <w:lang w:val="el-GR" w:eastAsia="el-GR"/>
              </w:rPr>
              <w:t>Α’</w:t>
            </w:r>
          </w:p>
          <w:p w14:paraId="5D985BBE" w14:textId="4026B9CF" w:rsidR="00E074F3" w:rsidRPr="006B5511" w:rsidRDefault="00E074F3" w:rsidP="00E074F3">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highlight w:val="yellow"/>
                <w:lang w:val="el-GR" w:eastAsia="el-GR"/>
              </w:rPr>
            </w:pPr>
            <w:r w:rsidRPr="00A30D62">
              <w:rPr>
                <w:rFonts w:ascii="Arial" w:eastAsia="Times New Roman" w:hAnsi="Arial" w:cs="Arial"/>
                <w:b/>
                <w:bCs/>
                <w:sz w:val="18"/>
                <w:szCs w:val="18"/>
                <w:lang w:val="el-GR" w:eastAsia="el-GR"/>
              </w:rPr>
              <w:t>εξάμηνο 2024</w:t>
            </w:r>
          </w:p>
        </w:tc>
        <w:tc>
          <w:tcPr>
            <w:tcW w:w="525" w:type="pct"/>
            <w:tcBorders>
              <w:top w:val="single" w:sz="4" w:space="0" w:color="808080" w:themeColor="background1" w:themeShade="80"/>
              <w:bottom w:val="single" w:sz="4" w:space="0" w:color="808080" w:themeColor="background1" w:themeShade="80"/>
            </w:tcBorders>
            <w:vAlign w:val="center"/>
          </w:tcPr>
          <w:p w14:paraId="5A122553" w14:textId="77777777" w:rsidR="00E074F3" w:rsidRPr="00A30D62" w:rsidRDefault="00E074F3" w:rsidP="00E074F3">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lang w:val="el-GR" w:eastAsia="el-GR"/>
              </w:rPr>
            </w:pPr>
            <w:r w:rsidRPr="00A30D62">
              <w:rPr>
                <w:rFonts w:ascii="Arial" w:eastAsia="Times New Roman" w:hAnsi="Arial" w:cs="Arial"/>
                <w:b/>
                <w:bCs/>
                <w:sz w:val="18"/>
                <w:szCs w:val="18"/>
                <w:lang w:val="el-GR" w:eastAsia="el-GR"/>
              </w:rPr>
              <w:t>Α’</w:t>
            </w:r>
          </w:p>
          <w:p w14:paraId="0CD0C603" w14:textId="45B0DD13" w:rsidR="00E074F3" w:rsidRPr="006B5511" w:rsidRDefault="00E074F3" w:rsidP="00E074F3">
            <w:pPr>
              <w:spacing w:after="0" w:line="240" w:lineRule="auto"/>
              <w:jc w:val="center"/>
              <w:rPr>
                <w:rFonts w:ascii="Arial" w:hAnsi="Arial" w:cs="Arial"/>
                <w:b/>
                <w:bCs/>
                <w:sz w:val="18"/>
                <w:szCs w:val="18"/>
                <w:highlight w:val="yellow"/>
                <w:lang w:val="el-GR"/>
              </w:rPr>
            </w:pPr>
            <w:r w:rsidRPr="00A30D62">
              <w:rPr>
                <w:rFonts w:ascii="Arial" w:eastAsia="Times New Roman" w:hAnsi="Arial" w:cs="Arial"/>
                <w:b/>
                <w:bCs/>
                <w:sz w:val="18"/>
                <w:szCs w:val="18"/>
                <w:lang w:val="el-GR" w:eastAsia="el-GR"/>
              </w:rPr>
              <w:t>εξάμηνο 2023</w:t>
            </w:r>
          </w:p>
        </w:tc>
        <w:tc>
          <w:tcPr>
            <w:tcW w:w="393" w:type="pct"/>
            <w:tcBorders>
              <w:top w:val="single" w:sz="4" w:space="0" w:color="808080" w:themeColor="background1" w:themeShade="80"/>
              <w:bottom w:val="single" w:sz="4" w:space="0" w:color="808080" w:themeColor="background1" w:themeShade="80"/>
            </w:tcBorders>
            <w:vAlign w:val="center"/>
          </w:tcPr>
          <w:p w14:paraId="0E5F18C7" w14:textId="77777777" w:rsidR="00E074F3" w:rsidRPr="00A30D62" w:rsidRDefault="00E074F3" w:rsidP="00E074F3">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lang w:val="el-GR" w:eastAsia="el-GR"/>
              </w:rPr>
            </w:pPr>
            <w:r w:rsidRPr="00A30D62">
              <w:rPr>
                <w:rFonts w:ascii="Arial" w:eastAsia="Times New Roman" w:hAnsi="Arial" w:cs="Arial"/>
                <w:b/>
                <w:bCs/>
                <w:sz w:val="18"/>
                <w:szCs w:val="18"/>
                <w:lang w:val="el-GR" w:eastAsia="el-GR"/>
              </w:rPr>
              <w:t>Β’</w:t>
            </w:r>
          </w:p>
          <w:p w14:paraId="4EAC9017" w14:textId="004FDE5F" w:rsidR="00E074F3" w:rsidRPr="006B5511" w:rsidRDefault="00E074F3" w:rsidP="00E074F3">
            <w:pPr>
              <w:spacing w:after="0" w:line="240" w:lineRule="auto"/>
              <w:jc w:val="center"/>
              <w:rPr>
                <w:rFonts w:ascii="Arial" w:hAnsi="Arial" w:cs="Arial"/>
                <w:b/>
                <w:bCs/>
                <w:sz w:val="18"/>
                <w:szCs w:val="18"/>
                <w:highlight w:val="yellow"/>
                <w:lang w:val="el-GR"/>
              </w:rPr>
            </w:pPr>
            <w:r w:rsidRPr="00A30D62">
              <w:rPr>
                <w:rFonts w:ascii="Arial" w:eastAsia="Times New Roman" w:hAnsi="Arial" w:cs="Arial"/>
                <w:b/>
                <w:bCs/>
                <w:sz w:val="18"/>
                <w:szCs w:val="18"/>
                <w:lang w:val="el-GR" w:eastAsia="el-GR"/>
              </w:rPr>
              <w:t>τρίμηνο 2024</w:t>
            </w:r>
          </w:p>
        </w:tc>
        <w:tc>
          <w:tcPr>
            <w:tcW w:w="458" w:type="pct"/>
            <w:tcBorders>
              <w:top w:val="single" w:sz="4" w:space="0" w:color="808080" w:themeColor="background1" w:themeShade="80"/>
              <w:bottom w:val="single" w:sz="4" w:space="0" w:color="808080" w:themeColor="background1" w:themeShade="80"/>
            </w:tcBorders>
            <w:vAlign w:val="center"/>
          </w:tcPr>
          <w:p w14:paraId="6892CC5B" w14:textId="77777777" w:rsidR="00E074F3" w:rsidRPr="00A30D62" w:rsidRDefault="00E074F3" w:rsidP="00E074F3">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lang w:val="el-GR" w:eastAsia="el-GR"/>
              </w:rPr>
            </w:pPr>
            <w:r w:rsidRPr="00A30D62">
              <w:rPr>
                <w:rFonts w:ascii="Arial" w:eastAsia="Times New Roman" w:hAnsi="Arial" w:cs="Arial"/>
                <w:b/>
                <w:bCs/>
                <w:sz w:val="18"/>
                <w:szCs w:val="18"/>
                <w:lang w:val="el-GR" w:eastAsia="el-GR"/>
              </w:rPr>
              <w:t>Α’</w:t>
            </w:r>
          </w:p>
          <w:p w14:paraId="75C78AD6" w14:textId="5A2C935C" w:rsidR="00E074F3" w:rsidRPr="006B5511" w:rsidRDefault="00E074F3" w:rsidP="00E074F3">
            <w:pPr>
              <w:spacing w:after="0" w:line="240" w:lineRule="auto"/>
              <w:jc w:val="center"/>
              <w:rPr>
                <w:rFonts w:ascii="Arial" w:hAnsi="Arial" w:cs="Arial"/>
                <w:b/>
                <w:bCs/>
                <w:sz w:val="18"/>
                <w:szCs w:val="18"/>
                <w:highlight w:val="yellow"/>
              </w:rPr>
            </w:pPr>
            <w:r w:rsidRPr="00A30D62">
              <w:rPr>
                <w:rFonts w:ascii="Arial" w:eastAsia="Times New Roman" w:hAnsi="Arial" w:cs="Arial"/>
                <w:b/>
                <w:bCs/>
                <w:sz w:val="18"/>
                <w:szCs w:val="18"/>
                <w:lang w:val="el-GR" w:eastAsia="el-GR"/>
              </w:rPr>
              <w:t>τρίμηνο 2024</w:t>
            </w:r>
          </w:p>
        </w:tc>
        <w:tc>
          <w:tcPr>
            <w:tcW w:w="524" w:type="pct"/>
            <w:tcBorders>
              <w:top w:val="single" w:sz="4" w:space="0" w:color="808080" w:themeColor="background1" w:themeShade="80"/>
              <w:bottom w:val="single" w:sz="4" w:space="0" w:color="808080" w:themeColor="background1" w:themeShade="80"/>
            </w:tcBorders>
            <w:vAlign w:val="center"/>
          </w:tcPr>
          <w:p w14:paraId="63F5BE96" w14:textId="77777777" w:rsidR="00E074F3" w:rsidRPr="00A30D62" w:rsidRDefault="00E074F3" w:rsidP="00E074F3">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8"/>
                <w:szCs w:val="18"/>
                <w:lang w:val="el-GR" w:eastAsia="el-GR"/>
              </w:rPr>
            </w:pPr>
            <w:r w:rsidRPr="00A30D62">
              <w:rPr>
                <w:rFonts w:ascii="Arial" w:eastAsia="Times New Roman" w:hAnsi="Arial" w:cs="Arial"/>
                <w:bCs/>
                <w:sz w:val="18"/>
                <w:szCs w:val="18"/>
                <w:lang w:val="el-GR" w:eastAsia="el-GR"/>
              </w:rPr>
              <w:t>Τριμηνιαία μεταβολή</w:t>
            </w:r>
          </w:p>
          <w:p w14:paraId="03261ED2" w14:textId="7ABB8EB9" w:rsidR="00E074F3" w:rsidRPr="006B5511" w:rsidRDefault="00E074F3" w:rsidP="00E074F3">
            <w:pPr>
              <w:spacing w:after="0" w:line="240" w:lineRule="auto"/>
              <w:jc w:val="center"/>
              <w:rPr>
                <w:rFonts w:ascii="Arial" w:hAnsi="Arial" w:cs="Arial"/>
                <w:b/>
                <w:bCs/>
                <w:sz w:val="18"/>
                <w:szCs w:val="18"/>
                <w:highlight w:val="yellow"/>
                <w:u w:val="single"/>
                <w:lang w:val="el-GR"/>
              </w:rPr>
            </w:pPr>
            <w:r w:rsidRPr="00A30D62">
              <w:rPr>
                <w:rFonts w:ascii="Arial" w:eastAsia="Times New Roman" w:hAnsi="Arial" w:cs="Arial"/>
                <w:bCs/>
                <w:sz w:val="18"/>
                <w:szCs w:val="18"/>
                <w:u w:val="single"/>
                <w:lang w:val="el-GR" w:eastAsia="el-GR"/>
              </w:rPr>
              <w:t>+</w:t>
            </w:r>
            <w:r w:rsidRPr="00A30D62">
              <w:rPr>
                <w:rFonts w:ascii="Arial" w:eastAsia="Times New Roman" w:hAnsi="Arial" w:cs="Arial"/>
                <w:bCs/>
                <w:sz w:val="18"/>
                <w:szCs w:val="18"/>
                <w:lang w:val="el-GR" w:eastAsia="el-GR"/>
              </w:rPr>
              <w:t>%</w:t>
            </w:r>
          </w:p>
        </w:tc>
        <w:tc>
          <w:tcPr>
            <w:tcW w:w="547"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0F05224" w14:textId="77777777" w:rsidR="00E074F3" w:rsidRPr="00A30D62" w:rsidRDefault="00E074F3" w:rsidP="00E074F3">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8"/>
                <w:szCs w:val="18"/>
                <w:lang w:val="el-GR" w:eastAsia="el-GR"/>
              </w:rPr>
            </w:pPr>
            <w:r w:rsidRPr="00A30D62">
              <w:rPr>
                <w:rFonts w:ascii="Arial" w:eastAsia="Times New Roman" w:hAnsi="Arial" w:cs="Arial"/>
                <w:bCs/>
                <w:sz w:val="18"/>
                <w:szCs w:val="18"/>
                <w:lang w:val="el-GR" w:eastAsia="el-GR"/>
              </w:rPr>
              <w:t>Ετήσια μεταβολή</w:t>
            </w:r>
          </w:p>
          <w:p w14:paraId="052D3A97" w14:textId="381FA236" w:rsidR="00E074F3" w:rsidRPr="006B5511" w:rsidRDefault="00E074F3" w:rsidP="00E074F3">
            <w:pPr>
              <w:spacing w:after="0" w:line="240" w:lineRule="auto"/>
              <w:jc w:val="center"/>
              <w:rPr>
                <w:rFonts w:ascii="Arial" w:hAnsi="Arial" w:cs="Arial"/>
                <w:b/>
                <w:bCs/>
                <w:sz w:val="18"/>
                <w:szCs w:val="18"/>
                <w:highlight w:val="yellow"/>
              </w:rPr>
            </w:pPr>
            <w:r w:rsidRPr="00A30D62">
              <w:rPr>
                <w:rFonts w:ascii="Arial" w:eastAsia="Times New Roman" w:hAnsi="Arial" w:cs="Arial"/>
                <w:bCs/>
                <w:sz w:val="18"/>
                <w:szCs w:val="18"/>
                <w:u w:val="single"/>
                <w:lang w:eastAsia="el-GR"/>
              </w:rPr>
              <w:t>+</w:t>
            </w:r>
            <w:r w:rsidRPr="00A30D62">
              <w:rPr>
                <w:rFonts w:ascii="Arial" w:eastAsia="Times New Roman" w:hAnsi="Arial" w:cs="Arial"/>
                <w:bCs/>
                <w:sz w:val="18"/>
                <w:szCs w:val="18"/>
                <w:lang w:eastAsia="el-GR"/>
              </w:rPr>
              <w:t>%</w:t>
            </w:r>
          </w:p>
        </w:tc>
      </w:tr>
      <w:tr w:rsidR="00767E3F" w:rsidRPr="006B5511" w14:paraId="3B1D3B72" w14:textId="77777777" w:rsidTr="006A1797">
        <w:trPr>
          <w:trHeight w:val="257"/>
        </w:trPr>
        <w:tc>
          <w:tcPr>
            <w:tcW w:w="186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723C9FB5" w14:textId="77777777" w:rsidR="00767E3F" w:rsidRPr="00CB38F0" w:rsidRDefault="00767E3F" w:rsidP="00767E3F">
            <w:pPr>
              <w:spacing w:after="0" w:line="240" w:lineRule="auto"/>
              <w:jc w:val="both"/>
              <w:rPr>
                <w:rFonts w:ascii="Arial" w:hAnsi="Arial" w:cs="Arial"/>
                <w:b/>
                <w:bCs/>
                <w:sz w:val="18"/>
                <w:szCs w:val="18"/>
                <w:lang w:val="el-GR"/>
              </w:rPr>
            </w:pPr>
            <w:r w:rsidRPr="00CB38F0">
              <w:rPr>
                <w:rFonts w:ascii="Arial" w:hAnsi="Arial" w:cs="Arial"/>
                <w:b/>
                <w:bCs/>
                <w:sz w:val="18"/>
                <w:szCs w:val="18"/>
                <w:lang w:val="el-GR"/>
              </w:rPr>
              <w:t>Λειτουργικά κέρδη</w:t>
            </w:r>
          </w:p>
        </w:tc>
        <w:tc>
          <w:tcPr>
            <w:tcW w:w="168" w:type="pct"/>
            <w:tcBorders>
              <w:top w:val="single" w:sz="4" w:space="0" w:color="808080" w:themeColor="background1" w:themeShade="80"/>
              <w:bottom w:val="single" w:sz="4" w:space="0" w:color="808080" w:themeColor="background1" w:themeShade="80"/>
            </w:tcBorders>
          </w:tcPr>
          <w:p w14:paraId="652210CD" w14:textId="77777777" w:rsidR="00767E3F" w:rsidRPr="006B5511" w:rsidRDefault="00767E3F" w:rsidP="00767E3F">
            <w:pPr>
              <w:spacing w:after="0" w:line="240" w:lineRule="auto"/>
              <w:jc w:val="center"/>
              <w:rPr>
                <w:rFonts w:ascii="Arial" w:hAnsi="Arial" w:cs="Arial"/>
                <w:b/>
                <w:bCs/>
                <w:sz w:val="18"/>
                <w:szCs w:val="18"/>
                <w:highlight w:val="yellow"/>
              </w:rPr>
            </w:pPr>
          </w:p>
        </w:tc>
        <w:tc>
          <w:tcPr>
            <w:tcW w:w="525" w:type="pct"/>
            <w:tcBorders>
              <w:top w:val="single" w:sz="4" w:space="0" w:color="808080" w:themeColor="background1" w:themeShade="80"/>
              <w:bottom w:val="single" w:sz="4" w:space="0" w:color="808080" w:themeColor="background1" w:themeShade="80"/>
            </w:tcBorders>
            <w:vAlign w:val="center"/>
          </w:tcPr>
          <w:p w14:paraId="7A1996B6" w14:textId="13B0BB62" w:rsidR="00767E3F" w:rsidRPr="006B5511" w:rsidRDefault="00767E3F" w:rsidP="00767E3F">
            <w:pPr>
              <w:spacing w:after="0" w:line="240" w:lineRule="auto"/>
              <w:jc w:val="right"/>
              <w:rPr>
                <w:rFonts w:ascii="Arial" w:eastAsia="Times New Roman" w:hAnsi="Arial" w:cs="Arial"/>
                <w:b/>
                <w:bCs/>
                <w:sz w:val="18"/>
                <w:szCs w:val="20"/>
                <w:highlight w:val="yellow"/>
                <w:lang w:eastAsia="el-GR"/>
              </w:rPr>
            </w:pPr>
            <w:r>
              <w:rPr>
                <w:rFonts w:ascii="Arial" w:eastAsia="Times New Roman" w:hAnsi="Arial" w:cs="Arial"/>
                <w:b/>
                <w:bCs/>
                <w:sz w:val="18"/>
                <w:szCs w:val="20"/>
                <w:lang w:eastAsia="el-GR"/>
              </w:rPr>
              <w:t>363</w:t>
            </w:r>
          </w:p>
        </w:tc>
        <w:tc>
          <w:tcPr>
            <w:tcW w:w="525" w:type="pct"/>
            <w:tcBorders>
              <w:top w:val="single" w:sz="4" w:space="0" w:color="808080" w:themeColor="background1" w:themeShade="80"/>
              <w:bottom w:val="single" w:sz="4" w:space="0" w:color="808080" w:themeColor="background1" w:themeShade="80"/>
            </w:tcBorders>
            <w:vAlign w:val="center"/>
          </w:tcPr>
          <w:p w14:paraId="1AC7E43C" w14:textId="2205BCA2" w:rsidR="00767E3F" w:rsidRPr="00CB38F0" w:rsidRDefault="00767E3F" w:rsidP="00767E3F">
            <w:pPr>
              <w:spacing w:after="0" w:line="240" w:lineRule="auto"/>
              <w:jc w:val="right"/>
              <w:rPr>
                <w:rFonts w:ascii="Arial" w:hAnsi="Arial" w:cs="Arial"/>
                <w:b/>
                <w:bCs/>
                <w:sz w:val="18"/>
                <w:szCs w:val="18"/>
              </w:rPr>
            </w:pPr>
            <w:r>
              <w:rPr>
                <w:rFonts w:ascii="Arial" w:eastAsia="Times New Roman" w:hAnsi="Arial" w:cs="Arial"/>
                <w:b/>
                <w:bCs/>
                <w:sz w:val="18"/>
                <w:szCs w:val="20"/>
                <w:lang w:eastAsia="el-GR"/>
              </w:rPr>
              <w:t>331</w:t>
            </w:r>
          </w:p>
        </w:tc>
        <w:tc>
          <w:tcPr>
            <w:tcW w:w="393" w:type="pct"/>
            <w:tcBorders>
              <w:top w:val="single" w:sz="4" w:space="0" w:color="808080" w:themeColor="background1" w:themeShade="80"/>
              <w:bottom w:val="single" w:sz="4" w:space="0" w:color="808080" w:themeColor="background1" w:themeShade="80"/>
            </w:tcBorders>
            <w:vAlign w:val="center"/>
          </w:tcPr>
          <w:p w14:paraId="018B807B" w14:textId="086EAA2D" w:rsidR="00767E3F" w:rsidRPr="00CB38F0" w:rsidRDefault="00767E3F" w:rsidP="00767E3F">
            <w:pPr>
              <w:spacing w:after="0" w:line="240" w:lineRule="auto"/>
              <w:jc w:val="right"/>
              <w:rPr>
                <w:rFonts w:ascii="Arial" w:hAnsi="Arial" w:cs="Arial"/>
                <w:b/>
                <w:bCs/>
                <w:sz w:val="18"/>
                <w:szCs w:val="18"/>
              </w:rPr>
            </w:pPr>
            <w:r>
              <w:rPr>
                <w:rFonts w:ascii="Arial" w:eastAsia="Times New Roman" w:hAnsi="Arial" w:cs="Arial"/>
                <w:b/>
                <w:bCs/>
                <w:sz w:val="18"/>
                <w:szCs w:val="20"/>
                <w:lang w:eastAsia="el-GR"/>
              </w:rPr>
              <w:t>179</w:t>
            </w:r>
          </w:p>
        </w:tc>
        <w:tc>
          <w:tcPr>
            <w:tcW w:w="458" w:type="pct"/>
            <w:tcBorders>
              <w:top w:val="single" w:sz="4" w:space="0" w:color="808080" w:themeColor="background1" w:themeShade="80"/>
              <w:bottom w:val="single" w:sz="4" w:space="0" w:color="808080" w:themeColor="background1" w:themeShade="80"/>
            </w:tcBorders>
            <w:vAlign w:val="center"/>
          </w:tcPr>
          <w:p w14:paraId="5FCCA860" w14:textId="51225B02" w:rsidR="00767E3F" w:rsidRPr="00CB38F0" w:rsidRDefault="00767E3F" w:rsidP="00767E3F">
            <w:pPr>
              <w:spacing w:after="0" w:line="240" w:lineRule="auto"/>
              <w:jc w:val="right"/>
              <w:rPr>
                <w:rFonts w:ascii="Arial" w:hAnsi="Arial" w:cs="Arial"/>
                <w:b/>
                <w:bCs/>
                <w:sz w:val="18"/>
                <w:szCs w:val="18"/>
              </w:rPr>
            </w:pPr>
            <w:r>
              <w:rPr>
                <w:rFonts w:ascii="Arial" w:eastAsia="Times New Roman" w:hAnsi="Arial" w:cs="Arial"/>
                <w:b/>
                <w:bCs/>
                <w:sz w:val="18"/>
                <w:szCs w:val="20"/>
                <w:lang w:eastAsia="el-GR"/>
              </w:rPr>
              <w:t>184</w:t>
            </w:r>
          </w:p>
        </w:tc>
        <w:tc>
          <w:tcPr>
            <w:tcW w:w="524" w:type="pct"/>
            <w:tcBorders>
              <w:top w:val="single" w:sz="4" w:space="0" w:color="808080" w:themeColor="background1" w:themeShade="80"/>
              <w:bottom w:val="single" w:sz="4" w:space="0" w:color="808080" w:themeColor="background1" w:themeShade="80"/>
            </w:tcBorders>
            <w:vAlign w:val="center"/>
          </w:tcPr>
          <w:p w14:paraId="496465D5" w14:textId="2E0A327F" w:rsidR="00767E3F" w:rsidRPr="006B5511" w:rsidRDefault="00767E3F" w:rsidP="00767E3F">
            <w:pPr>
              <w:spacing w:after="0" w:line="240" w:lineRule="auto"/>
              <w:jc w:val="right"/>
              <w:rPr>
                <w:rFonts w:ascii="Arial" w:hAnsi="Arial" w:cs="Arial"/>
                <w:sz w:val="18"/>
                <w:szCs w:val="18"/>
                <w:highlight w:val="yellow"/>
              </w:rPr>
            </w:pPr>
            <w:r>
              <w:rPr>
                <w:rFonts w:ascii="Arial" w:eastAsia="Times New Roman" w:hAnsi="Arial" w:cs="Arial"/>
                <w:b/>
                <w:bCs/>
                <w:sz w:val="18"/>
                <w:szCs w:val="20"/>
                <w:lang w:eastAsia="el-GR"/>
              </w:rPr>
              <w:t>-2%</w:t>
            </w:r>
          </w:p>
        </w:tc>
        <w:tc>
          <w:tcPr>
            <w:tcW w:w="547"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BA38475" w14:textId="583FF2A6" w:rsidR="00767E3F" w:rsidRPr="006B5511" w:rsidRDefault="00767E3F" w:rsidP="00767E3F">
            <w:pPr>
              <w:spacing w:after="0" w:line="240" w:lineRule="auto"/>
              <w:jc w:val="right"/>
              <w:rPr>
                <w:rFonts w:ascii="Arial" w:hAnsi="Arial" w:cs="Arial"/>
                <w:sz w:val="18"/>
                <w:szCs w:val="18"/>
                <w:highlight w:val="yellow"/>
              </w:rPr>
            </w:pPr>
            <w:r>
              <w:rPr>
                <w:rFonts w:ascii="Arial" w:eastAsia="Times New Roman" w:hAnsi="Arial" w:cs="Arial"/>
                <w:b/>
                <w:bCs/>
                <w:sz w:val="18"/>
                <w:szCs w:val="20"/>
                <w:lang w:eastAsia="el-GR"/>
              </w:rPr>
              <w:t>9%</w:t>
            </w:r>
          </w:p>
        </w:tc>
      </w:tr>
      <w:tr w:rsidR="00767E3F" w:rsidRPr="006B5511" w14:paraId="2545E014" w14:textId="77777777" w:rsidTr="006A1797">
        <w:trPr>
          <w:trHeight w:val="347"/>
        </w:trPr>
        <w:tc>
          <w:tcPr>
            <w:tcW w:w="1860" w:type="pct"/>
            <w:gridSpan w:val="4"/>
            <w:tcBorders>
              <w:top w:val="single" w:sz="4" w:space="0" w:color="808080" w:themeColor="background1" w:themeShade="80"/>
            </w:tcBorders>
            <w:vAlign w:val="center"/>
          </w:tcPr>
          <w:p w14:paraId="6B7E4E11" w14:textId="77777777" w:rsidR="00767E3F" w:rsidRPr="00CB38F0" w:rsidRDefault="00767E3F" w:rsidP="00767E3F">
            <w:pPr>
              <w:spacing w:after="0" w:line="240" w:lineRule="auto"/>
              <w:jc w:val="both"/>
              <w:rPr>
                <w:rFonts w:ascii="Arial" w:hAnsi="Arial" w:cs="Arial"/>
                <w:sz w:val="18"/>
                <w:szCs w:val="18"/>
              </w:rPr>
            </w:pPr>
            <w:r w:rsidRPr="00CB38F0">
              <w:rPr>
                <w:rFonts w:ascii="Arial" w:hAnsi="Arial" w:cs="Arial"/>
                <w:sz w:val="18"/>
                <w:szCs w:val="18"/>
                <w:lang w:val="el-GR"/>
              </w:rPr>
              <w:t>Πιστωτικές ζημιές</w:t>
            </w:r>
            <w:r w:rsidRPr="00CB38F0">
              <w:rPr>
                <w:rFonts w:ascii="Arial" w:hAnsi="Arial" w:cs="Arial"/>
                <w:sz w:val="18"/>
                <w:szCs w:val="18"/>
              </w:rPr>
              <w:t xml:space="preserve"> </w:t>
            </w:r>
            <w:r w:rsidRPr="00CB38F0">
              <w:rPr>
                <w:rFonts w:ascii="Arial" w:hAnsi="Arial" w:cs="Arial"/>
                <w:sz w:val="18"/>
                <w:szCs w:val="18"/>
                <w:lang w:val="el-GR"/>
              </w:rPr>
              <w:t>δανείων</w:t>
            </w:r>
          </w:p>
        </w:tc>
        <w:tc>
          <w:tcPr>
            <w:tcW w:w="168" w:type="pct"/>
            <w:tcBorders>
              <w:top w:val="single" w:sz="4" w:space="0" w:color="808080" w:themeColor="background1" w:themeShade="80"/>
            </w:tcBorders>
          </w:tcPr>
          <w:p w14:paraId="3B5F34FD" w14:textId="77777777" w:rsidR="00767E3F" w:rsidRPr="006B5511" w:rsidRDefault="00767E3F" w:rsidP="00767E3F">
            <w:pPr>
              <w:spacing w:after="0" w:line="240" w:lineRule="auto"/>
              <w:jc w:val="center"/>
              <w:rPr>
                <w:rFonts w:ascii="Arial" w:hAnsi="Arial" w:cs="Arial"/>
                <w:sz w:val="18"/>
                <w:szCs w:val="18"/>
                <w:highlight w:val="yellow"/>
              </w:rPr>
            </w:pPr>
          </w:p>
        </w:tc>
        <w:tc>
          <w:tcPr>
            <w:tcW w:w="525" w:type="pct"/>
            <w:tcBorders>
              <w:top w:val="single" w:sz="4" w:space="0" w:color="808080" w:themeColor="background1" w:themeShade="80"/>
            </w:tcBorders>
            <w:vAlign w:val="center"/>
          </w:tcPr>
          <w:p w14:paraId="1C24AFDF" w14:textId="04B60212" w:rsidR="00767E3F" w:rsidRPr="006B5511" w:rsidRDefault="00767E3F" w:rsidP="00767E3F">
            <w:pPr>
              <w:spacing w:after="0" w:line="240" w:lineRule="auto"/>
              <w:jc w:val="right"/>
              <w:rPr>
                <w:rFonts w:ascii="Arial" w:eastAsia="Times New Roman" w:hAnsi="Arial" w:cs="Arial"/>
                <w:bCs/>
                <w:sz w:val="18"/>
                <w:szCs w:val="20"/>
                <w:highlight w:val="yellow"/>
                <w:lang w:eastAsia="el-GR"/>
              </w:rPr>
            </w:pPr>
            <w:r>
              <w:rPr>
                <w:rFonts w:ascii="Arial" w:eastAsia="Times New Roman" w:hAnsi="Arial" w:cs="Arial"/>
                <w:bCs/>
                <w:sz w:val="18"/>
                <w:szCs w:val="20"/>
                <w:lang w:eastAsia="el-GR"/>
              </w:rPr>
              <w:t>(16)</w:t>
            </w:r>
          </w:p>
        </w:tc>
        <w:tc>
          <w:tcPr>
            <w:tcW w:w="525" w:type="pct"/>
            <w:tcBorders>
              <w:top w:val="single" w:sz="4" w:space="0" w:color="808080" w:themeColor="background1" w:themeShade="80"/>
            </w:tcBorders>
            <w:vAlign w:val="center"/>
          </w:tcPr>
          <w:p w14:paraId="6785D138" w14:textId="284CB335" w:rsidR="00767E3F" w:rsidRPr="00CB38F0" w:rsidRDefault="00767E3F" w:rsidP="00767E3F">
            <w:pPr>
              <w:spacing w:after="0" w:line="240" w:lineRule="auto"/>
              <w:jc w:val="right"/>
              <w:rPr>
                <w:rFonts w:ascii="Arial" w:hAnsi="Arial" w:cs="Arial"/>
                <w:sz w:val="18"/>
                <w:szCs w:val="18"/>
              </w:rPr>
            </w:pPr>
            <w:r>
              <w:rPr>
                <w:rFonts w:ascii="Arial" w:eastAsia="Times New Roman" w:hAnsi="Arial" w:cs="Arial"/>
                <w:bCs/>
                <w:sz w:val="18"/>
                <w:szCs w:val="20"/>
                <w:lang w:eastAsia="el-GR"/>
              </w:rPr>
              <w:t>(24)</w:t>
            </w:r>
          </w:p>
        </w:tc>
        <w:tc>
          <w:tcPr>
            <w:tcW w:w="393" w:type="pct"/>
            <w:tcBorders>
              <w:top w:val="single" w:sz="4" w:space="0" w:color="808080" w:themeColor="background1" w:themeShade="80"/>
            </w:tcBorders>
            <w:vAlign w:val="center"/>
          </w:tcPr>
          <w:p w14:paraId="13B832AE" w14:textId="34E2EC2C" w:rsidR="00767E3F" w:rsidRPr="00CB38F0" w:rsidRDefault="00767E3F" w:rsidP="00767E3F">
            <w:pPr>
              <w:spacing w:after="0" w:line="240" w:lineRule="auto"/>
              <w:jc w:val="right"/>
              <w:rPr>
                <w:rFonts w:ascii="Arial" w:hAnsi="Arial" w:cs="Arial"/>
                <w:sz w:val="18"/>
                <w:szCs w:val="18"/>
              </w:rPr>
            </w:pPr>
            <w:r>
              <w:rPr>
                <w:rFonts w:ascii="Arial" w:eastAsia="Times New Roman" w:hAnsi="Arial" w:cs="Arial"/>
                <w:bCs/>
                <w:sz w:val="18"/>
                <w:szCs w:val="20"/>
                <w:lang w:eastAsia="el-GR"/>
              </w:rPr>
              <w:t>(9)</w:t>
            </w:r>
          </w:p>
        </w:tc>
        <w:tc>
          <w:tcPr>
            <w:tcW w:w="458" w:type="pct"/>
            <w:tcBorders>
              <w:top w:val="single" w:sz="4" w:space="0" w:color="808080" w:themeColor="background1" w:themeShade="80"/>
            </w:tcBorders>
            <w:vAlign w:val="center"/>
          </w:tcPr>
          <w:p w14:paraId="1C7CEED1" w14:textId="2183B71F" w:rsidR="00767E3F" w:rsidRPr="00CB38F0" w:rsidRDefault="00767E3F" w:rsidP="00767E3F">
            <w:pPr>
              <w:spacing w:after="0" w:line="240" w:lineRule="auto"/>
              <w:jc w:val="right"/>
              <w:rPr>
                <w:rFonts w:ascii="Arial" w:hAnsi="Arial" w:cs="Arial"/>
                <w:sz w:val="18"/>
                <w:szCs w:val="18"/>
              </w:rPr>
            </w:pPr>
            <w:r>
              <w:rPr>
                <w:rFonts w:ascii="Arial" w:eastAsia="Times New Roman" w:hAnsi="Arial" w:cs="Arial"/>
                <w:bCs/>
                <w:sz w:val="18"/>
                <w:szCs w:val="20"/>
                <w:lang w:eastAsia="el-GR"/>
              </w:rPr>
              <w:t>(7)</w:t>
            </w:r>
          </w:p>
        </w:tc>
        <w:tc>
          <w:tcPr>
            <w:tcW w:w="524" w:type="pct"/>
            <w:tcBorders>
              <w:top w:val="single" w:sz="4" w:space="0" w:color="808080" w:themeColor="background1" w:themeShade="80"/>
            </w:tcBorders>
            <w:vAlign w:val="center"/>
          </w:tcPr>
          <w:p w14:paraId="7FE284D7" w14:textId="5514E2F2" w:rsidR="00767E3F" w:rsidRPr="006B5511" w:rsidRDefault="00767E3F" w:rsidP="00767E3F">
            <w:pPr>
              <w:spacing w:after="0" w:line="240" w:lineRule="auto"/>
              <w:jc w:val="right"/>
              <w:rPr>
                <w:rFonts w:ascii="Arial" w:hAnsi="Arial" w:cs="Arial"/>
                <w:sz w:val="18"/>
                <w:szCs w:val="18"/>
                <w:highlight w:val="yellow"/>
              </w:rPr>
            </w:pPr>
            <w:r>
              <w:rPr>
                <w:rFonts w:ascii="Arial" w:eastAsia="Times New Roman" w:hAnsi="Arial" w:cs="Arial"/>
                <w:sz w:val="18"/>
                <w:szCs w:val="20"/>
                <w:lang w:eastAsia="el-GR"/>
              </w:rPr>
              <w:t>28%</w:t>
            </w:r>
          </w:p>
        </w:tc>
        <w:tc>
          <w:tcPr>
            <w:tcW w:w="547" w:type="pct"/>
            <w:tcBorders>
              <w:top w:val="single" w:sz="4" w:space="0" w:color="808080" w:themeColor="background1" w:themeShade="80"/>
            </w:tcBorders>
            <w:shd w:val="clear" w:color="auto" w:fill="auto"/>
            <w:vAlign w:val="center"/>
          </w:tcPr>
          <w:p w14:paraId="300F1FCC" w14:textId="1D535115" w:rsidR="00767E3F" w:rsidRPr="006B5511" w:rsidRDefault="00767E3F" w:rsidP="00767E3F">
            <w:pPr>
              <w:spacing w:after="0" w:line="240" w:lineRule="auto"/>
              <w:jc w:val="right"/>
              <w:rPr>
                <w:rFonts w:ascii="Arial" w:hAnsi="Arial" w:cs="Arial"/>
                <w:sz w:val="18"/>
                <w:szCs w:val="18"/>
                <w:highlight w:val="yellow"/>
              </w:rPr>
            </w:pPr>
            <w:r>
              <w:rPr>
                <w:rFonts w:ascii="Arial" w:eastAsia="Times New Roman" w:hAnsi="Arial" w:cs="Arial"/>
                <w:sz w:val="18"/>
                <w:szCs w:val="20"/>
                <w:lang w:eastAsia="el-GR"/>
              </w:rPr>
              <w:t>-36%</w:t>
            </w:r>
          </w:p>
        </w:tc>
      </w:tr>
      <w:tr w:rsidR="00767E3F" w:rsidRPr="006B5511" w14:paraId="22F37360" w14:textId="77777777" w:rsidTr="006A1797">
        <w:trPr>
          <w:trHeight w:val="257"/>
        </w:trPr>
        <w:tc>
          <w:tcPr>
            <w:tcW w:w="1860" w:type="pct"/>
            <w:gridSpan w:val="4"/>
            <w:vAlign w:val="center"/>
          </w:tcPr>
          <w:p w14:paraId="5DDCFCC5" w14:textId="77777777" w:rsidR="00767E3F" w:rsidRPr="00CB38F0" w:rsidRDefault="00767E3F" w:rsidP="00767E3F">
            <w:pPr>
              <w:spacing w:after="0" w:line="240" w:lineRule="auto"/>
              <w:jc w:val="both"/>
              <w:rPr>
                <w:rFonts w:ascii="Arial" w:hAnsi="Arial" w:cs="Arial"/>
                <w:sz w:val="18"/>
                <w:szCs w:val="18"/>
                <w:lang w:val="el-GR"/>
              </w:rPr>
            </w:pPr>
            <w:r w:rsidRPr="00CB38F0">
              <w:rPr>
                <w:rFonts w:ascii="Arial" w:hAnsi="Arial" w:cs="Arial"/>
                <w:sz w:val="18"/>
                <w:szCs w:val="18"/>
                <w:lang w:val="el-GR"/>
              </w:rPr>
              <w:t>Απομειώσεις άλλων χρηματοοικονομικών</w:t>
            </w:r>
          </w:p>
          <w:p w14:paraId="04B22D58" w14:textId="01D9F034" w:rsidR="00767E3F" w:rsidRPr="00CB38F0" w:rsidRDefault="00767E3F" w:rsidP="00767E3F">
            <w:pPr>
              <w:spacing w:after="0" w:line="240" w:lineRule="auto"/>
              <w:jc w:val="both"/>
              <w:rPr>
                <w:rFonts w:ascii="Arial" w:hAnsi="Arial" w:cs="Arial"/>
                <w:sz w:val="18"/>
                <w:szCs w:val="18"/>
                <w:lang w:val="el-GR"/>
              </w:rPr>
            </w:pPr>
            <w:r w:rsidRPr="00CB38F0">
              <w:rPr>
                <w:rFonts w:ascii="Arial" w:hAnsi="Arial" w:cs="Arial"/>
                <w:sz w:val="18"/>
                <w:szCs w:val="18"/>
                <w:lang w:val="el-GR"/>
              </w:rPr>
              <w:t>και μη χρηματοοικονομικών περιουσιακών στοιχείων</w:t>
            </w:r>
          </w:p>
        </w:tc>
        <w:tc>
          <w:tcPr>
            <w:tcW w:w="168" w:type="pct"/>
          </w:tcPr>
          <w:p w14:paraId="72AD5516" w14:textId="77777777" w:rsidR="00767E3F" w:rsidRPr="006B5511" w:rsidRDefault="00767E3F" w:rsidP="00767E3F">
            <w:pPr>
              <w:spacing w:after="0" w:line="240" w:lineRule="auto"/>
              <w:jc w:val="center"/>
              <w:rPr>
                <w:rFonts w:ascii="Arial" w:hAnsi="Arial" w:cs="Arial"/>
                <w:sz w:val="18"/>
                <w:szCs w:val="18"/>
                <w:highlight w:val="yellow"/>
                <w:lang w:val="el-GR"/>
              </w:rPr>
            </w:pPr>
          </w:p>
        </w:tc>
        <w:tc>
          <w:tcPr>
            <w:tcW w:w="525" w:type="pct"/>
            <w:vAlign w:val="center"/>
          </w:tcPr>
          <w:p w14:paraId="127A3867" w14:textId="5E363BCA" w:rsidR="00767E3F" w:rsidRPr="00CB38F0" w:rsidRDefault="00767E3F" w:rsidP="00767E3F">
            <w:pPr>
              <w:spacing w:after="0" w:line="240" w:lineRule="auto"/>
              <w:jc w:val="right"/>
              <w:rPr>
                <w:rFonts w:ascii="Arial" w:eastAsia="Times New Roman" w:hAnsi="Arial" w:cs="Arial"/>
                <w:sz w:val="18"/>
                <w:szCs w:val="20"/>
                <w:highlight w:val="yellow"/>
                <w:lang w:val="el-GR" w:eastAsia="el-GR"/>
              </w:rPr>
            </w:pPr>
            <w:r>
              <w:rPr>
                <w:rFonts w:ascii="Arial" w:eastAsia="Times New Roman" w:hAnsi="Arial" w:cs="Arial"/>
                <w:sz w:val="18"/>
                <w:szCs w:val="20"/>
                <w:lang w:eastAsia="el-GR"/>
              </w:rPr>
              <w:t>(25)</w:t>
            </w:r>
          </w:p>
        </w:tc>
        <w:tc>
          <w:tcPr>
            <w:tcW w:w="525" w:type="pct"/>
            <w:vAlign w:val="center"/>
          </w:tcPr>
          <w:p w14:paraId="428246C9" w14:textId="205A4D13" w:rsidR="00767E3F" w:rsidRPr="00CB38F0" w:rsidRDefault="00767E3F" w:rsidP="00767E3F">
            <w:pPr>
              <w:spacing w:after="0" w:line="240" w:lineRule="auto"/>
              <w:jc w:val="right"/>
              <w:rPr>
                <w:rFonts w:ascii="Arial" w:hAnsi="Arial" w:cs="Arial"/>
                <w:sz w:val="18"/>
                <w:szCs w:val="18"/>
              </w:rPr>
            </w:pPr>
            <w:r>
              <w:rPr>
                <w:rFonts w:ascii="Arial" w:eastAsia="Times New Roman" w:hAnsi="Arial" w:cs="Arial"/>
                <w:sz w:val="18"/>
                <w:szCs w:val="20"/>
                <w:lang w:eastAsia="el-GR"/>
              </w:rPr>
              <w:t>(30)</w:t>
            </w:r>
          </w:p>
        </w:tc>
        <w:tc>
          <w:tcPr>
            <w:tcW w:w="393" w:type="pct"/>
            <w:vAlign w:val="center"/>
          </w:tcPr>
          <w:p w14:paraId="1AE2613E" w14:textId="1DDF047A" w:rsidR="00767E3F" w:rsidRPr="00CB38F0" w:rsidRDefault="00767E3F" w:rsidP="00767E3F">
            <w:pPr>
              <w:spacing w:after="0" w:line="240" w:lineRule="auto"/>
              <w:jc w:val="right"/>
              <w:rPr>
                <w:rFonts w:ascii="Arial" w:hAnsi="Arial" w:cs="Arial"/>
                <w:sz w:val="18"/>
                <w:szCs w:val="18"/>
              </w:rPr>
            </w:pPr>
            <w:r>
              <w:rPr>
                <w:rFonts w:ascii="Arial" w:eastAsia="Times New Roman" w:hAnsi="Arial" w:cs="Arial"/>
                <w:bCs/>
                <w:sz w:val="18"/>
                <w:szCs w:val="20"/>
                <w:lang w:eastAsia="el-GR"/>
              </w:rPr>
              <w:t>(17)</w:t>
            </w:r>
          </w:p>
        </w:tc>
        <w:tc>
          <w:tcPr>
            <w:tcW w:w="458" w:type="pct"/>
            <w:vAlign w:val="center"/>
          </w:tcPr>
          <w:p w14:paraId="79B9414A" w14:textId="434B9F74" w:rsidR="00767E3F" w:rsidRPr="00CB38F0" w:rsidRDefault="00767E3F" w:rsidP="00767E3F">
            <w:pPr>
              <w:spacing w:after="0" w:line="240" w:lineRule="auto"/>
              <w:jc w:val="right"/>
              <w:rPr>
                <w:rFonts w:ascii="Arial" w:hAnsi="Arial" w:cs="Arial"/>
                <w:sz w:val="18"/>
                <w:szCs w:val="18"/>
              </w:rPr>
            </w:pPr>
            <w:r>
              <w:rPr>
                <w:rFonts w:ascii="Arial" w:eastAsia="Times New Roman" w:hAnsi="Arial" w:cs="Arial"/>
                <w:sz w:val="18"/>
                <w:szCs w:val="20"/>
                <w:lang w:eastAsia="el-GR"/>
              </w:rPr>
              <w:t>(8)</w:t>
            </w:r>
          </w:p>
        </w:tc>
        <w:tc>
          <w:tcPr>
            <w:tcW w:w="524" w:type="pct"/>
            <w:vAlign w:val="center"/>
          </w:tcPr>
          <w:p w14:paraId="530AB5CF" w14:textId="4730FEE8" w:rsidR="00767E3F" w:rsidRPr="006B5511" w:rsidRDefault="00767E3F" w:rsidP="00767E3F">
            <w:pPr>
              <w:spacing w:after="0" w:line="240" w:lineRule="auto"/>
              <w:jc w:val="right"/>
              <w:rPr>
                <w:rFonts w:ascii="Arial" w:hAnsi="Arial" w:cs="Arial"/>
                <w:sz w:val="18"/>
                <w:szCs w:val="18"/>
                <w:highlight w:val="yellow"/>
              </w:rPr>
            </w:pPr>
            <w:r>
              <w:rPr>
                <w:rFonts w:ascii="Arial" w:eastAsia="Times New Roman" w:hAnsi="Arial" w:cs="Arial"/>
                <w:sz w:val="18"/>
                <w:szCs w:val="20"/>
                <w:lang w:eastAsia="el-GR"/>
              </w:rPr>
              <w:t>90%</w:t>
            </w:r>
          </w:p>
        </w:tc>
        <w:tc>
          <w:tcPr>
            <w:tcW w:w="547" w:type="pct"/>
            <w:shd w:val="clear" w:color="auto" w:fill="auto"/>
            <w:vAlign w:val="center"/>
          </w:tcPr>
          <w:p w14:paraId="5CED9ED7" w14:textId="3DAFD4FC" w:rsidR="00767E3F" w:rsidRPr="006B5511" w:rsidRDefault="00767E3F" w:rsidP="00767E3F">
            <w:pPr>
              <w:spacing w:after="0" w:line="240" w:lineRule="auto"/>
              <w:jc w:val="right"/>
              <w:rPr>
                <w:rFonts w:ascii="Arial" w:hAnsi="Arial" w:cs="Arial"/>
                <w:sz w:val="18"/>
                <w:szCs w:val="18"/>
                <w:highlight w:val="yellow"/>
              </w:rPr>
            </w:pPr>
            <w:r>
              <w:rPr>
                <w:rFonts w:ascii="Arial" w:eastAsia="Times New Roman" w:hAnsi="Arial" w:cs="Arial"/>
                <w:sz w:val="18"/>
                <w:szCs w:val="20"/>
                <w:lang w:eastAsia="el-GR"/>
              </w:rPr>
              <w:t>-16%</w:t>
            </w:r>
          </w:p>
        </w:tc>
      </w:tr>
      <w:tr w:rsidR="00767E3F" w:rsidRPr="006B5511" w14:paraId="357CCE27" w14:textId="77777777" w:rsidTr="006A1797">
        <w:trPr>
          <w:trHeight w:val="257"/>
        </w:trPr>
        <w:tc>
          <w:tcPr>
            <w:tcW w:w="1860" w:type="pct"/>
            <w:gridSpan w:val="4"/>
            <w:tcBorders>
              <w:bottom w:val="single" w:sz="4" w:space="0" w:color="808080" w:themeColor="background1" w:themeShade="80"/>
            </w:tcBorders>
            <w:vAlign w:val="center"/>
          </w:tcPr>
          <w:p w14:paraId="709DF879" w14:textId="1FC8E877" w:rsidR="00767E3F" w:rsidRPr="00CB38F0" w:rsidRDefault="00767E3F" w:rsidP="00767E3F">
            <w:pPr>
              <w:spacing w:after="0" w:line="240" w:lineRule="auto"/>
              <w:jc w:val="both"/>
              <w:rPr>
                <w:rFonts w:ascii="Arial" w:hAnsi="Arial" w:cs="Arial"/>
                <w:sz w:val="18"/>
                <w:szCs w:val="18"/>
                <w:lang w:val="el-GR"/>
              </w:rPr>
            </w:pPr>
            <w:r w:rsidRPr="00CB38F0">
              <w:rPr>
                <w:rFonts w:ascii="Arial" w:hAnsi="Arial" w:cs="Arial"/>
                <w:sz w:val="18"/>
                <w:szCs w:val="18"/>
                <w:lang w:val="el-GR"/>
              </w:rPr>
              <w:t>Προβλέψεις για επιδικίες, απαιτήσεις, κανονιστικά θέματα και άλλα θέματα (μετά από αναστροφές)</w:t>
            </w:r>
          </w:p>
        </w:tc>
        <w:tc>
          <w:tcPr>
            <w:tcW w:w="168" w:type="pct"/>
            <w:tcBorders>
              <w:bottom w:val="single" w:sz="4" w:space="0" w:color="808080" w:themeColor="background1" w:themeShade="80"/>
            </w:tcBorders>
          </w:tcPr>
          <w:p w14:paraId="7E84AA0F" w14:textId="77777777" w:rsidR="00767E3F" w:rsidRPr="006B5511" w:rsidRDefault="00767E3F" w:rsidP="00767E3F">
            <w:pPr>
              <w:spacing w:after="0" w:line="240" w:lineRule="auto"/>
              <w:jc w:val="center"/>
              <w:rPr>
                <w:rFonts w:ascii="Arial" w:hAnsi="Arial" w:cs="Arial"/>
                <w:sz w:val="18"/>
                <w:szCs w:val="18"/>
                <w:highlight w:val="yellow"/>
                <w:lang w:val="el-GR"/>
              </w:rPr>
            </w:pPr>
          </w:p>
        </w:tc>
        <w:tc>
          <w:tcPr>
            <w:tcW w:w="525" w:type="pct"/>
            <w:tcBorders>
              <w:bottom w:val="single" w:sz="4" w:space="0" w:color="808080" w:themeColor="background1" w:themeShade="80"/>
            </w:tcBorders>
            <w:vAlign w:val="center"/>
          </w:tcPr>
          <w:p w14:paraId="2A286DAE" w14:textId="78C8F892" w:rsidR="00767E3F" w:rsidRPr="00CB38F0" w:rsidRDefault="00767E3F" w:rsidP="00767E3F">
            <w:pPr>
              <w:spacing w:after="0" w:line="240" w:lineRule="auto"/>
              <w:jc w:val="right"/>
              <w:rPr>
                <w:rFonts w:ascii="Arial" w:eastAsia="Times New Roman" w:hAnsi="Arial" w:cs="Arial"/>
                <w:sz w:val="18"/>
                <w:szCs w:val="20"/>
                <w:highlight w:val="yellow"/>
                <w:lang w:val="el-GR" w:eastAsia="el-GR"/>
              </w:rPr>
            </w:pPr>
            <w:r>
              <w:rPr>
                <w:rFonts w:ascii="Arial" w:eastAsia="Times New Roman" w:hAnsi="Arial" w:cs="Arial"/>
                <w:sz w:val="18"/>
                <w:szCs w:val="20"/>
                <w:lang w:eastAsia="el-GR"/>
              </w:rPr>
              <w:t>(3)</w:t>
            </w:r>
          </w:p>
        </w:tc>
        <w:tc>
          <w:tcPr>
            <w:tcW w:w="525" w:type="pct"/>
            <w:tcBorders>
              <w:bottom w:val="single" w:sz="4" w:space="0" w:color="808080" w:themeColor="background1" w:themeShade="80"/>
            </w:tcBorders>
            <w:vAlign w:val="center"/>
          </w:tcPr>
          <w:p w14:paraId="7752288C" w14:textId="1D8AA50F" w:rsidR="00767E3F" w:rsidRPr="00CB38F0" w:rsidRDefault="00767E3F" w:rsidP="00767E3F">
            <w:pPr>
              <w:spacing w:after="0" w:line="240" w:lineRule="auto"/>
              <w:jc w:val="right"/>
              <w:rPr>
                <w:rFonts w:ascii="Arial" w:hAnsi="Arial" w:cs="Arial"/>
                <w:sz w:val="18"/>
                <w:szCs w:val="18"/>
              </w:rPr>
            </w:pPr>
            <w:r>
              <w:rPr>
                <w:rFonts w:ascii="Arial" w:eastAsia="Times New Roman" w:hAnsi="Arial" w:cs="Arial"/>
                <w:sz w:val="18"/>
                <w:szCs w:val="20"/>
                <w:lang w:eastAsia="el-GR"/>
              </w:rPr>
              <w:t>(14)</w:t>
            </w:r>
          </w:p>
        </w:tc>
        <w:tc>
          <w:tcPr>
            <w:tcW w:w="393" w:type="pct"/>
            <w:tcBorders>
              <w:bottom w:val="single" w:sz="4" w:space="0" w:color="808080" w:themeColor="background1" w:themeShade="80"/>
            </w:tcBorders>
            <w:vAlign w:val="center"/>
          </w:tcPr>
          <w:p w14:paraId="25EA86F6" w14:textId="20D8DFCC" w:rsidR="00767E3F" w:rsidRPr="00CB38F0" w:rsidRDefault="00767E3F" w:rsidP="00767E3F">
            <w:pPr>
              <w:spacing w:after="0" w:line="240" w:lineRule="auto"/>
              <w:jc w:val="right"/>
              <w:rPr>
                <w:rFonts w:ascii="Arial" w:hAnsi="Arial" w:cs="Arial"/>
                <w:sz w:val="18"/>
                <w:szCs w:val="18"/>
              </w:rPr>
            </w:pPr>
            <w:r>
              <w:rPr>
                <w:rFonts w:ascii="Arial" w:eastAsia="Times New Roman" w:hAnsi="Arial" w:cs="Arial"/>
                <w:bCs/>
                <w:sz w:val="18"/>
                <w:szCs w:val="20"/>
                <w:lang w:eastAsia="el-GR"/>
              </w:rPr>
              <w:t>7</w:t>
            </w:r>
          </w:p>
        </w:tc>
        <w:tc>
          <w:tcPr>
            <w:tcW w:w="458" w:type="pct"/>
            <w:tcBorders>
              <w:bottom w:val="single" w:sz="4" w:space="0" w:color="808080" w:themeColor="background1" w:themeShade="80"/>
            </w:tcBorders>
            <w:vAlign w:val="center"/>
          </w:tcPr>
          <w:p w14:paraId="314847D6" w14:textId="6AEAFE4C" w:rsidR="00767E3F" w:rsidRPr="00CB38F0" w:rsidRDefault="00767E3F" w:rsidP="00767E3F">
            <w:pPr>
              <w:spacing w:after="0" w:line="240" w:lineRule="auto"/>
              <w:jc w:val="right"/>
              <w:rPr>
                <w:rFonts w:ascii="Arial" w:hAnsi="Arial" w:cs="Arial"/>
                <w:sz w:val="18"/>
                <w:szCs w:val="18"/>
              </w:rPr>
            </w:pPr>
            <w:r>
              <w:rPr>
                <w:rFonts w:ascii="Arial" w:eastAsia="Times New Roman" w:hAnsi="Arial" w:cs="Arial"/>
                <w:sz w:val="18"/>
                <w:szCs w:val="20"/>
                <w:lang w:eastAsia="el-GR"/>
              </w:rPr>
              <w:t>(10)</w:t>
            </w:r>
          </w:p>
        </w:tc>
        <w:tc>
          <w:tcPr>
            <w:tcW w:w="524" w:type="pct"/>
            <w:tcBorders>
              <w:bottom w:val="single" w:sz="4" w:space="0" w:color="808080" w:themeColor="background1" w:themeShade="80"/>
            </w:tcBorders>
            <w:vAlign w:val="center"/>
          </w:tcPr>
          <w:p w14:paraId="3CF8A69F" w14:textId="542A9F3F" w:rsidR="00767E3F" w:rsidRPr="006B5511" w:rsidRDefault="00767E3F" w:rsidP="00767E3F">
            <w:pPr>
              <w:spacing w:after="0" w:line="240" w:lineRule="auto"/>
              <w:jc w:val="right"/>
              <w:rPr>
                <w:rFonts w:ascii="Arial" w:hAnsi="Arial" w:cs="Arial"/>
                <w:sz w:val="18"/>
                <w:szCs w:val="18"/>
                <w:highlight w:val="yellow"/>
              </w:rPr>
            </w:pPr>
            <w:r>
              <w:rPr>
                <w:rFonts w:ascii="Arial" w:eastAsia="Times New Roman" w:hAnsi="Arial" w:cs="Arial"/>
                <w:sz w:val="18"/>
                <w:szCs w:val="20"/>
                <w:lang w:eastAsia="el-GR"/>
              </w:rPr>
              <w:t>-174%</w:t>
            </w:r>
          </w:p>
        </w:tc>
        <w:tc>
          <w:tcPr>
            <w:tcW w:w="547" w:type="pct"/>
            <w:tcBorders>
              <w:bottom w:val="single" w:sz="4" w:space="0" w:color="808080" w:themeColor="background1" w:themeShade="80"/>
            </w:tcBorders>
            <w:shd w:val="clear" w:color="auto" w:fill="auto"/>
            <w:vAlign w:val="center"/>
          </w:tcPr>
          <w:p w14:paraId="2A1CFF59" w14:textId="022C14A0" w:rsidR="00767E3F" w:rsidRPr="006B5511" w:rsidRDefault="00767E3F" w:rsidP="00767E3F">
            <w:pPr>
              <w:spacing w:after="0" w:line="240" w:lineRule="auto"/>
              <w:jc w:val="right"/>
              <w:rPr>
                <w:rFonts w:ascii="Arial" w:hAnsi="Arial" w:cs="Arial"/>
                <w:sz w:val="18"/>
                <w:szCs w:val="18"/>
                <w:highlight w:val="yellow"/>
              </w:rPr>
            </w:pPr>
            <w:r>
              <w:rPr>
                <w:rFonts w:ascii="Arial" w:eastAsia="Times New Roman" w:hAnsi="Arial" w:cs="Arial"/>
                <w:sz w:val="18"/>
                <w:szCs w:val="20"/>
                <w:lang w:eastAsia="el-GR"/>
              </w:rPr>
              <w:t>-82%</w:t>
            </w:r>
          </w:p>
        </w:tc>
      </w:tr>
      <w:tr w:rsidR="00767E3F" w:rsidRPr="006B5511" w:rsidDel="00CB576F" w14:paraId="3F3DD22B" w14:textId="77777777" w:rsidTr="006A1797">
        <w:trPr>
          <w:trHeight w:val="257"/>
        </w:trPr>
        <w:tc>
          <w:tcPr>
            <w:tcW w:w="186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0FFD7953" w14:textId="493D7C08" w:rsidR="00767E3F" w:rsidRPr="00CB38F0" w:rsidRDefault="00767E3F" w:rsidP="00767E3F">
            <w:pPr>
              <w:spacing w:after="0" w:line="240" w:lineRule="auto"/>
              <w:jc w:val="both"/>
              <w:rPr>
                <w:rFonts w:ascii="Arial" w:hAnsi="Arial" w:cs="Arial"/>
                <w:b/>
                <w:bCs/>
                <w:sz w:val="18"/>
                <w:szCs w:val="18"/>
                <w:lang w:val="el-GR"/>
              </w:rPr>
            </w:pPr>
            <w:r w:rsidRPr="00CB38F0">
              <w:rPr>
                <w:rFonts w:ascii="Arial" w:hAnsi="Arial" w:cs="Arial"/>
                <w:b/>
                <w:bCs/>
                <w:sz w:val="18"/>
                <w:szCs w:val="18"/>
                <w:lang w:val="el-GR"/>
              </w:rPr>
              <w:t>Σύνολο πιστωτικών ζημιών δανείων, απομειώσεων και προβλέψεων</w:t>
            </w:r>
          </w:p>
        </w:tc>
        <w:tc>
          <w:tcPr>
            <w:tcW w:w="168" w:type="pct"/>
            <w:tcBorders>
              <w:top w:val="single" w:sz="4" w:space="0" w:color="808080" w:themeColor="background1" w:themeShade="80"/>
              <w:bottom w:val="single" w:sz="4" w:space="0" w:color="808080" w:themeColor="background1" w:themeShade="80"/>
            </w:tcBorders>
          </w:tcPr>
          <w:p w14:paraId="1DFC307C" w14:textId="77777777" w:rsidR="00767E3F" w:rsidRPr="006B5511" w:rsidRDefault="00767E3F" w:rsidP="00767E3F">
            <w:pPr>
              <w:spacing w:after="0" w:line="240" w:lineRule="auto"/>
              <w:jc w:val="center"/>
              <w:rPr>
                <w:rFonts w:ascii="Arial" w:hAnsi="Arial" w:cs="Arial"/>
                <w:b/>
                <w:bCs/>
                <w:sz w:val="18"/>
                <w:szCs w:val="18"/>
                <w:highlight w:val="yellow"/>
                <w:lang w:val="el-GR"/>
              </w:rPr>
            </w:pPr>
          </w:p>
        </w:tc>
        <w:tc>
          <w:tcPr>
            <w:tcW w:w="525" w:type="pct"/>
            <w:tcBorders>
              <w:top w:val="single" w:sz="4" w:space="0" w:color="808080" w:themeColor="background1" w:themeShade="80"/>
              <w:bottom w:val="single" w:sz="4" w:space="0" w:color="808080" w:themeColor="background1" w:themeShade="80"/>
            </w:tcBorders>
            <w:vAlign w:val="center"/>
          </w:tcPr>
          <w:p w14:paraId="01615763" w14:textId="7F818015" w:rsidR="00767E3F" w:rsidRPr="00CB38F0" w:rsidRDefault="00767E3F" w:rsidP="00767E3F">
            <w:pPr>
              <w:spacing w:after="0" w:line="240" w:lineRule="auto"/>
              <w:jc w:val="right"/>
              <w:rPr>
                <w:rFonts w:ascii="Arial" w:eastAsia="Times New Roman" w:hAnsi="Arial" w:cs="Arial"/>
                <w:b/>
                <w:sz w:val="18"/>
                <w:szCs w:val="20"/>
                <w:highlight w:val="yellow"/>
                <w:lang w:val="el-GR" w:eastAsia="el-GR"/>
              </w:rPr>
            </w:pPr>
            <w:r>
              <w:rPr>
                <w:rFonts w:ascii="Arial" w:eastAsia="Times New Roman" w:hAnsi="Arial" w:cs="Arial"/>
                <w:b/>
                <w:sz w:val="18"/>
                <w:szCs w:val="20"/>
                <w:lang w:eastAsia="el-GR"/>
              </w:rPr>
              <w:t>(44)</w:t>
            </w:r>
          </w:p>
        </w:tc>
        <w:tc>
          <w:tcPr>
            <w:tcW w:w="525" w:type="pct"/>
            <w:tcBorders>
              <w:top w:val="single" w:sz="4" w:space="0" w:color="808080" w:themeColor="background1" w:themeShade="80"/>
              <w:bottom w:val="single" w:sz="4" w:space="0" w:color="808080" w:themeColor="background1" w:themeShade="80"/>
            </w:tcBorders>
            <w:vAlign w:val="center"/>
          </w:tcPr>
          <w:p w14:paraId="0A241FC0" w14:textId="701FDE57" w:rsidR="00767E3F" w:rsidRPr="00CB38F0" w:rsidRDefault="00767E3F" w:rsidP="00767E3F">
            <w:pPr>
              <w:spacing w:after="0" w:line="240" w:lineRule="auto"/>
              <w:jc w:val="right"/>
              <w:rPr>
                <w:rFonts w:ascii="Arial" w:hAnsi="Arial" w:cs="Arial"/>
                <w:b/>
                <w:bCs/>
                <w:sz w:val="18"/>
                <w:szCs w:val="18"/>
              </w:rPr>
            </w:pPr>
            <w:r>
              <w:rPr>
                <w:rFonts w:ascii="Arial" w:eastAsia="Times New Roman" w:hAnsi="Arial" w:cs="Arial"/>
                <w:b/>
                <w:sz w:val="18"/>
                <w:szCs w:val="20"/>
                <w:lang w:eastAsia="el-GR"/>
              </w:rPr>
              <w:t>(68)</w:t>
            </w:r>
          </w:p>
        </w:tc>
        <w:tc>
          <w:tcPr>
            <w:tcW w:w="393" w:type="pct"/>
            <w:tcBorders>
              <w:top w:val="single" w:sz="4" w:space="0" w:color="808080" w:themeColor="background1" w:themeShade="80"/>
              <w:bottom w:val="single" w:sz="4" w:space="0" w:color="808080" w:themeColor="background1" w:themeShade="80"/>
            </w:tcBorders>
            <w:vAlign w:val="center"/>
          </w:tcPr>
          <w:p w14:paraId="26E2BDE0" w14:textId="335C2F81" w:rsidR="00767E3F" w:rsidRPr="00CB38F0" w:rsidRDefault="00767E3F" w:rsidP="00767E3F">
            <w:pPr>
              <w:spacing w:after="0" w:line="240" w:lineRule="auto"/>
              <w:jc w:val="right"/>
              <w:rPr>
                <w:rFonts w:ascii="Arial" w:hAnsi="Arial" w:cs="Arial"/>
                <w:b/>
                <w:bCs/>
                <w:sz w:val="18"/>
                <w:szCs w:val="18"/>
              </w:rPr>
            </w:pPr>
            <w:r>
              <w:rPr>
                <w:rFonts w:ascii="Arial" w:eastAsia="Times New Roman" w:hAnsi="Arial" w:cs="Arial"/>
                <w:b/>
                <w:sz w:val="18"/>
                <w:szCs w:val="20"/>
                <w:lang w:eastAsia="el-GR"/>
              </w:rPr>
              <w:t>(19)</w:t>
            </w:r>
          </w:p>
        </w:tc>
        <w:tc>
          <w:tcPr>
            <w:tcW w:w="458" w:type="pct"/>
            <w:tcBorders>
              <w:top w:val="single" w:sz="4" w:space="0" w:color="808080" w:themeColor="background1" w:themeShade="80"/>
              <w:bottom w:val="single" w:sz="4" w:space="0" w:color="808080" w:themeColor="background1" w:themeShade="80"/>
            </w:tcBorders>
            <w:vAlign w:val="center"/>
          </w:tcPr>
          <w:p w14:paraId="639B0BE5" w14:textId="11A1B3DC" w:rsidR="00767E3F" w:rsidRPr="00CB38F0" w:rsidRDefault="00767E3F" w:rsidP="00767E3F">
            <w:pPr>
              <w:spacing w:after="0" w:line="240" w:lineRule="auto"/>
              <w:jc w:val="right"/>
              <w:rPr>
                <w:rFonts w:ascii="Arial" w:hAnsi="Arial" w:cs="Arial"/>
                <w:b/>
                <w:bCs/>
                <w:sz w:val="18"/>
                <w:szCs w:val="18"/>
              </w:rPr>
            </w:pPr>
            <w:r>
              <w:rPr>
                <w:rFonts w:ascii="Arial" w:eastAsia="Times New Roman" w:hAnsi="Arial" w:cs="Arial"/>
                <w:b/>
                <w:sz w:val="18"/>
                <w:szCs w:val="20"/>
                <w:lang w:eastAsia="el-GR"/>
              </w:rPr>
              <w:t>(25)</w:t>
            </w:r>
          </w:p>
        </w:tc>
        <w:tc>
          <w:tcPr>
            <w:tcW w:w="524" w:type="pct"/>
            <w:tcBorders>
              <w:top w:val="single" w:sz="4" w:space="0" w:color="808080" w:themeColor="background1" w:themeShade="80"/>
              <w:bottom w:val="single" w:sz="4" w:space="0" w:color="808080" w:themeColor="background1" w:themeShade="80"/>
            </w:tcBorders>
            <w:vAlign w:val="center"/>
          </w:tcPr>
          <w:p w14:paraId="4E244202" w14:textId="037DB9E5" w:rsidR="00767E3F" w:rsidRPr="006B5511" w:rsidRDefault="00767E3F" w:rsidP="00767E3F">
            <w:pPr>
              <w:spacing w:after="0" w:line="240" w:lineRule="auto"/>
              <w:jc w:val="right"/>
              <w:rPr>
                <w:rFonts w:ascii="Arial" w:hAnsi="Arial" w:cs="Arial"/>
                <w:sz w:val="18"/>
                <w:szCs w:val="18"/>
                <w:highlight w:val="yellow"/>
              </w:rPr>
            </w:pPr>
            <w:r>
              <w:rPr>
                <w:rFonts w:ascii="Arial" w:eastAsia="Times New Roman" w:hAnsi="Arial" w:cs="Arial"/>
                <w:b/>
                <w:bCs/>
                <w:sz w:val="18"/>
                <w:szCs w:val="20"/>
                <w:lang w:eastAsia="el-GR"/>
              </w:rPr>
              <w:t>-29%</w:t>
            </w:r>
          </w:p>
        </w:tc>
        <w:tc>
          <w:tcPr>
            <w:tcW w:w="547"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0051D31" w14:textId="095137CC" w:rsidR="00767E3F" w:rsidRPr="006B5511" w:rsidDel="00CB576F" w:rsidRDefault="00767E3F" w:rsidP="00767E3F">
            <w:pPr>
              <w:spacing w:after="0" w:line="240" w:lineRule="auto"/>
              <w:jc w:val="right"/>
              <w:rPr>
                <w:rFonts w:ascii="Arial" w:hAnsi="Arial" w:cs="Arial"/>
                <w:sz w:val="18"/>
                <w:szCs w:val="18"/>
                <w:highlight w:val="yellow"/>
              </w:rPr>
            </w:pPr>
            <w:r>
              <w:rPr>
                <w:rFonts w:ascii="Arial" w:eastAsia="Times New Roman" w:hAnsi="Arial" w:cs="Arial"/>
                <w:b/>
                <w:bCs/>
                <w:sz w:val="18"/>
                <w:szCs w:val="20"/>
                <w:lang w:eastAsia="el-GR"/>
              </w:rPr>
              <w:t>-37%</w:t>
            </w:r>
          </w:p>
        </w:tc>
      </w:tr>
      <w:tr w:rsidR="00767E3F" w:rsidRPr="006B5511" w14:paraId="3DD332B7" w14:textId="77777777" w:rsidTr="006A1797">
        <w:trPr>
          <w:trHeight w:val="257"/>
        </w:trPr>
        <w:tc>
          <w:tcPr>
            <w:tcW w:w="186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41B48EA4" w14:textId="013008D4" w:rsidR="00767E3F" w:rsidRPr="00CB38F0" w:rsidRDefault="00767E3F" w:rsidP="00767E3F">
            <w:pPr>
              <w:spacing w:after="0" w:line="240" w:lineRule="auto"/>
              <w:jc w:val="both"/>
              <w:rPr>
                <w:rFonts w:ascii="Arial" w:hAnsi="Arial" w:cs="Arial"/>
                <w:b/>
                <w:bCs/>
                <w:sz w:val="18"/>
                <w:szCs w:val="18"/>
                <w:lang w:val="el-GR"/>
              </w:rPr>
            </w:pPr>
            <w:r w:rsidRPr="00CB38F0">
              <w:rPr>
                <w:rFonts w:ascii="Arial" w:hAnsi="Arial" w:cs="Arial"/>
                <w:b/>
                <w:bCs/>
                <w:sz w:val="18"/>
                <w:szCs w:val="18"/>
                <w:lang w:val="el-GR"/>
              </w:rPr>
              <w:t>Κέρδη πριν τη φορολογία και μη-επαναλαμβανόμενα στοιχεία</w:t>
            </w:r>
          </w:p>
        </w:tc>
        <w:tc>
          <w:tcPr>
            <w:tcW w:w="168" w:type="pct"/>
            <w:tcBorders>
              <w:top w:val="single" w:sz="4" w:space="0" w:color="808080" w:themeColor="background1" w:themeShade="80"/>
              <w:bottom w:val="single" w:sz="4" w:space="0" w:color="808080" w:themeColor="background1" w:themeShade="80"/>
            </w:tcBorders>
          </w:tcPr>
          <w:p w14:paraId="0C255473" w14:textId="77777777" w:rsidR="00767E3F" w:rsidRPr="006B5511" w:rsidRDefault="00767E3F" w:rsidP="00767E3F">
            <w:pPr>
              <w:spacing w:after="0" w:line="240" w:lineRule="auto"/>
              <w:jc w:val="center"/>
              <w:rPr>
                <w:rFonts w:ascii="Arial" w:hAnsi="Arial" w:cs="Arial"/>
                <w:b/>
                <w:bCs/>
                <w:sz w:val="18"/>
                <w:szCs w:val="18"/>
                <w:highlight w:val="yellow"/>
                <w:lang w:val="el-GR"/>
              </w:rPr>
            </w:pPr>
          </w:p>
        </w:tc>
        <w:tc>
          <w:tcPr>
            <w:tcW w:w="525" w:type="pct"/>
            <w:tcBorders>
              <w:top w:val="single" w:sz="4" w:space="0" w:color="808080" w:themeColor="background1" w:themeShade="80"/>
              <w:bottom w:val="single" w:sz="4" w:space="0" w:color="808080" w:themeColor="background1" w:themeShade="80"/>
            </w:tcBorders>
            <w:vAlign w:val="center"/>
          </w:tcPr>
          <w:p w14:paraId="647367DD" w14:textId="25EAD6E0" w:rsidR="00767E3F" w:rsidRPr="00CB38F0" w:rsidRDefault="00767E3F" w:rsidP="00767E3F">
            <w:pPr>
              <w:spacing w:after="0" w:line="240" w:lineRule="auto"/>
              <w:jc w:val="right"/>
              <w:rPr>
                <w:rFonts w:ascii="Arial" w:eastAsia="Times New Roman" w:hAnsi="Arial" w:cs="Arial"/>
                <w:b/>
                <w:bCs/>
                <w:sz w:val="18"/>
                <w:szCs w:val="20"/>
                <w:highlight w:val="yellow"/>
                <w:lang w:val="el-GR" w:eastAsia="el-GR"/>
              </w:rPr>
            </w:pPr>
            <w:r>
              <w:rPr>
                <w:rFonts w:ascii="Arial" w:eastAsia="Times New Roman" w:hAnsi="Arial" w:cs="Arial"/>
                <w:b/>
                <w:bCs/>
                <w:sz w:val="18"/>
                <w:szCs w:val="20"/>
                <w:lang w:eastAsia="el-GR"/>
              </w:rPr>
              <w:t>319</w:t>
            </w:r>
          </w:p>
        </w:tc>
        <w:tc>
          <w:tcPr>
            <w:tcW w:w="525" w:type="pct"/>
            <w:tcBorders>
              <w:top w:val="single" w:sz="4" w:space="0" w:color="808080" w:themeColor="background1" w:themeShade="80"/>
              <w:bottom w:val="single" w:sz="4" w:space="0" w:color="808080" w:themeColor="background1" w:themeShade="80"/>
            </w:tcBorders>
            <w:vAlign w:val="center"/>
          </w:tcPr>
          <w:p w14:paraId="46D10D4F" w14:textId="0BD64A08" w:rsidR="00767E3F" w:rsidRPr="00CB38F0" w:rsidRDefault="00767E3F" w:rsidP="00767E3F">
            <w:pPr>
              <w:spacing w:after="0" w:line="240" w:lineRule="auto"/>
              <w:jc w:val="right"/>
              <w:rPr>
                <w:rFonts w:ascii="Arial" w:hAnsi="Arial" w:cs="Arial"/>
                <w:b/>
                <w:bCs/>
                <w:sz w:val="18"/>
                <w:szCs w:val="18"/>
              </w:rPr>
            </w:pPr>
            <w:r>
              <w:rPr>
                <w:rFonts w:ascii="Arial" w:eastAsia="Times New Roman" w:hAnsi="Arial" w:cs="Arial"/>
                <w:b/>
                <w:bCs/>
                <w:sz w:val="18"/>
                <w:szCs w:val="20"/>
                <w:lang w:eastAsia="el-GR"/>
              </w:rPr>
              <w:t>263</w:t>
            </w:r>
          </w:p>
        </w:tc>
        <w:tc>
          <w:tcPr>
            <w:tcW w:w="393" w:type="pct"/>
            <w:tcBorders>
              <w:top w:val="single" w:sz="4" w:space="0" w:color="808080" w:themeColor="background1" w:themeShade="80"/>
              <w:bottom w:val="single" w:sz="4" w:space="0" w:color="808080" w:themeColor="background1" w:themeShade="80"/>
            </w:tcBorders>
            <w:vAlign w:val="center"/>
          </w:tcPr>
          <w:p w14:paraId="5CF86078" w14:textId="49F3D468" w:rsidR="00767E3F" w:rsidRPr="00CB38F0" w:rsidRDefault="00767E3F" w:rsidP="00767E3F">
            <w:pPr>
              <w:spacing w:after="0" w:line="240" w:lineRule="auto"/>
              <w:jc w:val="right"/>
              <w:rPr>
                <w:rFonts w:ascii="Arial" w:hAnsi="Arial" w:cs="Arial"/>
                <w:b/>
                <w:bCs/>
                <w:sz w:val="18"/>
                <w:szCs w:val="18"/>
              </w:rPr>
            </w:pPr>
            <w:r>
              <w:rPr>
                <w:rFonts w:ascii="Arial" w:eastAsia="Times New Roman" w:hAnsi="Arial" w:cs="Arial"/>
                <w:b/>
                <w:bCs/>
                <w:sz w:val="18"/>
                <w:szCs w:val="20"/>
                <w:lang w:eastAsia="el-GR"/>
              </w:rPr>
              <w:t>160</w:t>
            </w:r>
          </w:p>
        </w:tc>
        <w:tc>
          <w:tcPr>
            <w:tcW w:w="458" w:type="pct"/>
            <w:tcBorders>
              <w:top w:val="single" w:sz="4" w:space="0" w:color="808080" w:themeColor="background1" w:themeShade="80"/>
              <w:bottom w:val="single" w:sz="4" w:space="0" w:color="808080" w:themeColor="background1" w:themeShade="80"/>
            </w:tcBorders>
            <w:vAlign w:val="center"/>
          </w:tcPr>
          <w:p w14:paraId="3F99D474" w14:textId="36E2BBDF" w:rsidR="00767E3F" w:rsidRPr="00CB38F0" w:rsidRDefault="00767E3F" w:rsidP="00767E3F">
            <w:pPr>
              <w:spacing w:after="0" w:line="240" w:lineRule="auto"/>
              <w:jc w:val="right"/>
              <w:rPr>
                <w:rFonts w:ascii="Arial" w:hAnsi="Arial" w:cs="Arial"/>
                <w:b/>
                <w:bCs/>
                <w:sz w:val="18"/>
                <w:szCs w:val="18"/>
              </w:rPr>
            </w:pPr>
            <w:r>
              <w:rPr>
                <w:rFonts w:ascii="Arial" w:eastAsia="Times New Roman" w:hAnsi="Arial" w:cs="Arial"/>
                <w:b/>
                <w:bCs/>
                <w:sz w:val="18"/>
                <w:szCs w:val="20"/>
                <w:lang w:eastAsia="el-GR"/>
              </w:rPr>
              <w:t>159</w:t>
            </w:r>
          </w:p>
        </w:tc>
        <w:tc>
          <w:tcPr>
            <w:tcW w:w="524" w:type="pct"/>
            <w:tcBorders>
              <w:top w:val="single" w:sz="4" w:space="0" w:color="808080" w:themeColor="background1" w:themeShade="80"/>
              <w:bottom w:val="single" w:sz="4" w:space="0" w:color="808080" w:themeColor="background1" w:themeShade="80"/>
            </w:tcBorders>
            <w:vAlign w:val="center"/>
          </w:tcPr>
          <w:p w14:paraId="0B783F75" w14:textId="334E1EDF" w:rsidR="00767E3F" w:rsidRPr="006B5511" w:rsidRDefault="00767E3F" w:rsidP="00767E3F">
            <w:pPr>
              <w:spacing w:after="0" w:line="240" w:lineRule="auto"/>
              <w:jc w:val="right"/>
              <w:rPr>
                <w:rFonts w:ascii="Arial" w:hAnsi="Arial" w:cs="Arial"/>
                <w:sz w:val="18"/>
                <w:szCs w:val="18"/>
                <w:highlight w:val="yellow"/>
              </w:rPr>
            </w:pPr>
            <w:r>
              <w:rPr>
                <w:rFonts w:ascii="Arial" w:eastAsia="Times New Roman" w:hAnsi="Arial" w:cs="Arial"/>
                <w:b/>
                <w:bCs/>
                <w:sz w:val="18"/>
                <w:szCs w:val="20"/>
                <w:lang w:eastAsia="el-GR"/>
              </w:rPr>
              <w:t>2%</w:t>
            </w:r>
          </w:p>
        </w:tc>
        <w:tc>
          <w:tcPr>
            <w:tcW w:w="547"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F2732C3" w14:textId="57032814" w:rsidR="00767E3F" w:rsidRPr="006B5511" w:rsidRDefault="00767E3F" w:rsidP="00767E3F">
            <w:pPr>
              <w:spacing w:after="0" w:line="240" w:lineRule="auto"/>
              <w:jc w:val="right"/>
              <w:rPr>
                <w:rFonts w:ascii="Arial" w:hAnsi="Arial" w:cs="Arial"/>
                <w:sz w:val="18"/>
                <w:szCs w:val="18"/>
                <w:highlight w:val="yellow"/>
              </w:rPr>
            </w:pPr>
            <w:r>
              <w:rPr>
                <w:rFonts w:ascii="Arial" w:eastAsia="Times New Roman" w:hAnsi="Arial" w:cs="Arial"/>
                <w:b/>
                <w:bCs/>
                <w:sz w:val="18"/>
                <w:szCs w:val="20"/>
                <w:lang w:eastAsia="el-GR"/>
              </w:rPr>
              <w:t>21%</w:t>
            </w:r>
          </w:p>
        </w:tc>
      </w:tr>
      <w:tr w:rsidR="00767E3F" w:rsidRPr="006B5511" w14:paraId="51D902E8" w14:textId="77777777" w:rsidTr="006A1797">
        <w:trPr>
          <w:trHeight w:val="257"/>
        </w:trPr>
        <w:tc>
          <w:tcPr>
            <w:tcW w:w="186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6A4D6215" w14:textId="53A2733E" w:rsidR="00767E3F" w:rsidRPr="00CB38F0" w:rsidRDefault="00767E3F" w:rsidP="00767E3F">
            <w:pPr>
              <w:spacing w:after="0" w:line="240" w:lineRule="auto"/>
              <w:jc w:val="both"/>
              <w:rPr>
                <w:rFonts w:ascii="Arial" w:hAnsi="Arial" w:cs="Arial"/>
                <w:b/>
                <w:bCs/>
                <w:sz w:val="18"/>
                <w:szCs w:val="18"/>
                <w:lang w:val="el-GR"/>
              </w:rPr>
            </w:pPr>
            <w:r w:rsidRPr="00CB38F0">
              <w:rPr>
                <w:rFonts w:ascii="Arial" w:hAnsi="Arial" w:cs="Arial"/>
                <w:b/>
                <w:bCs/>
                <w:sz w:val="18"/>
                <w:szCs w:val="18"/>
                <w:lang w:val="el-GR"/>
              </w:rPr>
              <w:t>Χρέωση πιστωτικών ζημιών δανείων (cost of risk)</w:t>
            </w:r>
          </w:p>
        </w:tc>
        <w:tc>
          <w:tcPr>
            <w:tcW w:w="168" w:type="pct"/>
            <w:tcBorders>
              <w:top w:val="single" w:sz="4" w:space="0" w:color="808080" w:themeColor="background1" w:themeShade="80"/>
              <w:bottom w:val="single" w:sz="4" w:space="0" w:color="808080" w:themeColor="background1" w:themeShade="80"/>
            </w:tcBorders>
          </w:tcPr>
          <w:p w14:paraId="7B03C7D4" w14:textId="77777777" w:rsidR="00767E3F" w:rsidRPr="006B5511" w:rsidRDefault="00767E3F" w:rsidP="00767E3F">
            <w:pPr>
              <w:spacing w:after="0" w:line="240" w:lineRule="auto"/>
              <w:jc w:val="center"/>
              <w:rPr>
                <w:rFonts w:ascii="Arial" w:hAnsi="Arial" w:cs="Arial"/>
                <w:b/>
                <w:bCs/>
                <w:sz w:val="18"/>
                <w:szCs w:val="18"/>
                <w:highlight w:val="yellow"/>
                <w:lang w:val="el-GR"/>
              </w:rPr>
            </w:pPr>
          </w:p>
        </w:tc>
        <w:tc>
          <w:tcPr>
            <w:tcW w:w="525" w:type="pct"/>
            <w:tcBorders>
              <w:top w:val="single" w:sz="4" w:space="0" w:color="808080" w:themeColor="background1" w:themeShade="80"/>
              <w:bottom w:val="single" w:sz="4" w:space="0" w:color="808080" w:themeColor="background1" w:themeShade="80"/>
            </w:tcBorders>
            <w:vAlign w:val="center"/>
          </w:tcPr>
          <w:p w14:paraId="394E17FC" w14:textId="7D29580C" w:rsidR="00767E3F" w:rsidRPr="00CB38F0" w:rsidRDefault="00767E3F" w:rsidP="00767E3F">
            <w:pPr>
              <w:spacing w:after="0" w:line="240" w:lineRule="auto"/>
              <w:jc w:val="right"/>
              <w:rPr>
                <w:rFonts w:ascii="Arial" w:eastAsia="Times New Roman" w:hAnsi="Arial" w:cs="Arial"/>
                <w:b/>
                <w:bCs/>
                <w:sz w:val="18"/>
                <w:szCs w:val="20"/>
                <w:highlight w:val="yellow"/>
                <w:lang w:val="el-GR" w:eastAsia="el-GR"/>
              </w:rPr>
            </w:pPr>
            <w:r>
              <w:rPr>
                <w:rFonts w:ascii="Arial" w:eastAsia="Times New Roman" w:hAnsi="Arial" w:cs="Arial"/>
                <w:b/>
                <w:bCs/>
                <w:sz w:val="18"/>
                <w:szCs w:val="20"/>
                <w:lang w:eastAsia="el-GR"/>
              </w:rPr>
              <w:t>0.31%</w:t>
            </w:r>
          </w:p>
        </w:tc>
        <w:tc>
          <w:tcPr>
            <w:tcW w:w="525" w:type="pct"/>
            <w:tcBorders>
              <w:top w:val="single" w:sz="4" w:space="0" w:color="808080" w:themeColor="background1" w:themeShade="80"/>
              <w:bottom w:val="single" w:sz="4" w:space="0" w:color="808080" w:themeColor="background1" w:themeShade="80"/>
            </w:tcBorders>
            <w:vAlign w:val="center"/>
          </w:tcPr>
          <w:p w14:paraId="35B8A409" w14:textId="2F2563A7" w:rsidR="00767E3F" w:rsidRPr="00CB38F0" w:rsidRDefault="00767E3F" w:rsidP="00767E3F">
            <w:pPr>
              <w:spacing w:after="0" w:line="240" w:lineRule="auto"/>
              <w:jc w:val="right"/>
              <w:rPr>
                <w:rFonts w:ascii="Arial" w:hAnsi="Arial" w:cs="Arial"/>
                <w:b/>
                <w:bCs/>
                <w:sz w:val="18"/>
                <w:szCs w:val="18"/>
              </w:rPr>
            </w:pPr>
            <w:r>
              <w:rPr>
                <w:rFonts w:ascii="Arial" w:eastAsia="Times New Roman" w:hAnsi="Arial" w:cs="Arial"/>
                <w:b/>
                <w:bCs/>
                <w:sz w:val="18"/>
                <w:szCs w:val="20"/>
                <w:lang w:eastAsia="el-GR"/>
              </w:rPr>
              <w:t>0.48%</w:t>
            </w:r>
          </w:p>
        </w:tc>
        <w:tc>
          <w:tcPr>
            <w:tcW w:w="393" w:type="pct"/>
            <w:tcBorders>
              <w:top w:val="single" w:sz="4" w:space="0" w:color="808080" w:themeColor="background1" w:themeShade="80"/>
              <w:bottom w:val="single" w:sz="4" w:space="0" w:color="808080" w:themeColor="background1" w:themeShade="80"/>
            </w:tcBorders>
            <w:vAlign w:val="center"/>
          </w:tcPr>
          <w:p w14:paraId="0779B009" w14:textId="493787C9" w:rsidR="00767E3F" w:rsidRPr="00CB38F0" w:rsidRDefault="00767E3F" w:rsidP="00767E3F">
            <w:pPr>
              <w:spacing w:after="0" w:line="240" w:lineRule="auto"/>
              <w:jc w:val="right"/>
              <w:rPr>
                <w:rFonts w:ascii="Arial" w:hAnsi="Arial" w:cs="Arial"/>
                <w:b/>
                <w:bCs/>
                <w:sz w:val="18"/>
                <w:szCs w:val="18"/>
              </w:rPr>
            </w:pPr>
            <w:r>
              <w:rPr>
                <w:rFonts w:ascii="Arial" w:eastAsia="Times New Roman" w:hAnsi="Arial" w:cs="Arial"/>
                <w:b/>
                <w:bCs/>
                <w:sz w:val="18"/>
                <w:szCs w:val="20"/>
                <w:lang w:eastAsia="el-GR"/>
              </w:rPr>
              <w:t>0.34%</w:t>
            </w:r>
          </w:p>
        </w:tc>
        <w:tc>
          <w:tcPr>
            <w:tcW w:w="458" w:type="pct"/>
            <w:tcBorders>
              <w:top w:val="single" w:sz="4" w:space="0" w:color="808080" w:themeColor="background1" w:themeShade="80"/>
              <w:bottom w:val="single" w:sz="4" w:space="0" w:color="808080" w:themeColor="background1" w:themeShade="80"/>
            </w:tcBorders>
            <w:vAlign w:val="center"/>
          </w:tcPr>
          <w:p w14:paraId="6262F6AD" w14:textId="486CD615" w:rsidR="00767E3F" w:rsidRPr="00CB38F0" w:rsidRDefault="00767E3F" w:rsidP="00767E3F">
            <w:pPr>
              <w:spacing w:after="0" w:line="240" w:lineRule="auto"/>
              <w:jc w:val="right"/>
              <w:rPr>
                <w:rFonts w:ascii="Arial" w:hAnsi="Arial" w:cs="Arial"/>
                <w:b/>
                <w:bCs/>
                <w:sz w:val="18"/>
                <w:szCs w:val="18"/>
              </w:rPr>
            </w:pPr>
            <w:r>
              <w:rPr>
                <w:rFonts w:ascii="Arial" w:eastAsia="Times New Roman" w:hAnsi="Arial" w:cs="Arial"/>
                <w:b/>
                <w:bCs/>
                <w:sz w:val="18"/>
                <w:szCs w:val="20"/>
                <w:lang w:eastAsia="el-GR"/>
              </w:rPr>
              <w:t>0.27%</w:t>
            </w:r>
          </w:p>
        </w:tc>
        <w:tc>
          <w:tcPr>
            <w:tcW w:w="524" w:type="pct"/>
            <w:tcBorders>
              <w:top w:val="single" w:sz="4" w:space="0" w:color="808080" w:themeColor="background1" w:themeShade="80"/>
              <w:bottom w:val="single" w:sz="4" w:space="0" w:color="808080" w:themeColor="background1" w:themeShade="80"/>
            </w:tcBorders>
            <w:vAlign w:val="center"/>
          </w:tcPr>
          <w:p w14:paraId="099E278A" w14:textId="3328E006" w:rsidR="00767E3F" w:rsidRPr="006B5511" w:rsidRDefault="00767E3F" w:rsidP="00767E3F">
            <w:pPr>
              <w:spacing w:after="0" w:line="240" w:lineRule="auto"/>
              <w:jc w:val="right"/>
              <w:rPr>
                <w:rFonts w:ascii="Arial" w:hAnsi="Arial" w:cs="Arial"/>
                <w:sz w:val="18"/>
                <w:szCs w:val="18"/>
                <w:highlight w:val="yellow"/>
                <w:lang w:val="el-GR"/>
              </w:rPr>
            </w:pPr>
            <w:r>
              <w:rPr>
                <w:rFonts w:ascii="Arial" w:eastAsia="Times New Roman" w:hAnsi="Arial" w:cs="Arial"/>
                <w:b/>
                <w:bCs/>
                <w:sz w:val="18"/>
                <w:szCs w:val="20"/>
                <w:lang w:eastAsia="el-GR"/>
              </w:rPr>
              <w:t xml:space="preserve">7 </w:t>
            </w:r>
            <w:r>
              <w:rPr>
                <w:rFonts w:ascii="Arial" w:eastAsia="Times New Roman" w:hAnsi="Arial" w:cs="Arial"/>
                <w:b/>
                <w:bCs/>
                <w:sz w:val="18"/>
                <w:szCs w:val="20"/>
                <w:lang w:val="el-GR" w:eastAsia="el-GR"/>
              </w:rPr>
              <w:t>μ.β.</w:t>
            </w:r>
          </w:p>
        </w:tc>
        <w:tc>
          <w:tcPr>
            <w:tcW w:w="547"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35F80B3" w14:textId="6F3591D1" w:rsidR="00767E3F" w:rsidRPr="006B5511" w:rsidRDefault="00767E3F" w:rsidP="00767E3F">
            <w:pPr>
              <w:spacing w:after="0" w:line="240" w:lineRule="auto"/>
              <w:jc w:val="right"/>
              <w:rPr>
                <w:rFonts w:ascii="Arial" w:hAnsi="Arial" w:cs="Arial"/>
                <w:sz w:val="18"/>
                <w:szCs w:val="18"/>
                <w:highlight w:val="yellow"/>
                <w:lang w:val="el-GR"/>
              </w:rPr>
            </w:pPr>
            <w:r>
              <w:rPr>
                <w:rFonts w:ascii="Arial" w:eastAsia="Times New Roman" w:hAnsi="Arial" w:cs="Arial"/>
                <w:b/>
                <w:bCs/>
                <w:sz w:val="18"/>
                <w:szCs w:val="20"/>
                <w:lang w:eastAsia="el-GR"/>
              </w:rPr>
              <w:t xml:space="preserve">-17 </w:t>
            </w:r>
            <w:r>
              <w:rPr>
                <w:rFonts w:ascii="Arial" w:eastAsia="Times New Roman" w:hAnsi="Arial" w:cs="Arial"/>
                <w:b/>
                <w:bCs/>
                <w:sz w:val="18"/>
                <w:szCs w:val="20"/>
                <w:lang w:val="el-GR" w:eastAsia="el-GR"/>
              </w:rPr>
              <w:t>μ.β.</w:t>
            </w:r>
          </w:p>
        </w:tc>
      </w:tr>
      <w:tr w:rsidR="00E074F3" w:rsidRPr="00CF1753" w14:paraId="0BD4B272" w14:textId="77777777" w:rsidTr="00CB38F0">
        <w:trPr>
          <w:trHeight w:val="257"/>
        </w:trPr>
        <w:tc>
          <w:tcPr>
            <w:tcW w:w="5000" w:type="pct"/>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CBE31D" w14:textId="03FAF17F" w:rsidR="00E074F3" w:rsidRPr="00CB38F0" w:rsidRDefault="00E074F3" w:rsidP="00E074F3">
            <w:pPr>
              <w:spacing w:after="0" w:line="240" w:lineRule="auto"/>
              <w:rPr>
                <w:rFonts w:ascii="Arial" w:hAnsi="Arial" w:cs="Arial"/>
                <w:sz w:val="18"/>
                <w:szCs w:val="18"/>
                <w:lang w:val="el-GR"/>
              </w:rPr>
            </w:pPr>
            <w:r w:rsidRPr="00CB38F0">
              <w:rPr>
                <w:rFonts w:ascii="Arial" w:hAnsi="Arial" w:cs="Arial"/>
                <w:color w:val="000000" w:themeColor="text1"/>
                <w:sz w:val="14"/>
                <w:szCs w:val="14"/>
                <w:lang w:val="el-GR"/>
              </w:rPr>
              <w:t>Ε.μ. = εκατοστιαίες μονάδες, μ.β.= μονάδες βάσης, 100 μονάδες βάσης = 1 εκατοστιαία μονάδα</w:t>
            </w:r>
          </w:p>
        </w:tc>
      </w:tr>
      <w:bookmarkEnd w:id="23"/>
    </w:tbl>
    <w:p w14:paraId="68B7F590" w14:textId="77777777" w:rsidR="00F75FBB" w:rsidRPr="006B5511" w:rsidRDefault="00F75FBB" w:rsidP="00BC4C32">
      <w:pPr>
        <w:spacing w:after="0" w:line="240" w:lineRule="auto"/>
        <w:jc w:val="both"/>
        <w:rPr>
          <w:rFonts w:ascii="Arial" w:hAnsi="Arial" w:cs="Arial"/>
          <w:b/>
          <w:bCs/>
          <w:sz w:val="14"/>
          <w:szCs w:val="14"/>
          <w:highlight w:val="yellow"/>
          <w:lang w:val="el-GR"/>
        </w:rPr>
      </w:pPr>
    </w:p>
    <w:p w14:paraId="6BD07C6F" w14:textId="77777777" w:rsidR="00F75FBB" w:rsidRPr="006B5511" w:rsidRDefault="00F75FBB" w:rsidP="00BC4C32">
      <w:pPr>
        <w:spacing w:after="0" w:line="240" w:lineRule="auto"/>
        <w:jc w:val="both"/>
        <w:rPr>
          <w:rFonts w:ascii="Arial" w:hAnsi="Arial" w:cs="Arial"/>
          <w:b/>
          <w:bCs/>
          <w:sz w:val="14"/>
          <w:szCs w:val="14"/>
          <w:highlight w:val="yellow"/>
          <w:lang w:val="el-GR"/>
        </w:rPr>
      </w:pPr>
    </w:p>
    <w:p w14:paraId="67F05E33" w14:textId="360BAD6E" w:rsidR="00970643" w:rsidRPr="00CB38F0" w:rsidRDefault="00F26111" w:rsidP="00F26350">
      <w:pPr>
        <w:spacing w:after="0" w:line="240" w:lineRule="auto"/>
        <w:jc w:val="both"/>
        <w:rPr>
          <w:rFonts w:ascii="Arial" w:hAnsi="Arial" w:cs="Arial"/>
          <w:sz w:val="18"/>
          <w:szCs w:val="18"/>
          <w:lang w:val="el-GR"/>
        </w:rPr>
      </w:pPr>
      <w:r w:rsidRPr="00CB38F0">
        <w:rPr>
          <w:rFonts w:ascii="Arial" w:hAnsi="Arial" w:cs="Arial"/>
          <w:b/>
          <w:bCs/>
          <w:sz w:val="18"/>
          <w:szCs w:val="18"/>
          <w:lang w:val="el-GR"/>
        </w:rPr>
        <w:t xml:space="preserve">Τα λειτουργικά κέρδη </w:t>
      </w:r>
      <w:r w:rsidR="002A469F" w:rsidRPr="00CB38F0">
        <w:rPr>
          <w:rFonts w:ascii="Arial" w:hAnsi="Arial" w:cs="Arial"/>
          <w:sz w:val="18"/>
          <w:szCs w:val="18"/>
          <w:lang w:val="el-GR" w:eastAsia="el-GR"/>
        </w:rPr>
        <w:t xml:space="preserve">για το </w:t>
      </w:r>
      <w:r w:rsidR="00970643" w:rsidRPr="00CB38F0">
        <w:rPr>
          <w:rFonts w:ascii="Arial" w:hAnsi="Arial" w:cs="Arial"/>
          <w:sz w:val="18"/>
          <w:szCs w:val="18"/>
          <w:lang w:val="el-GR" w:eastAsia="el-GR"/>
        </w:rPr>
        <w:t>α’ εξάμηνο 2024 ανήλθαν σε €</w:t>
      </w:r>
      <w:r w:rsidR="00767E3F" w:rsidRPr="006A1797">
        <w:rPr>
          <w:rFonts w:ascii="Arial" w:hAnsi="Arial" w:cs="Arial"/>
          <w:sz w:val="18"/>
          <w:lang w:val="el-GR"/>
        </w:rPr>
        <w:t>363</w:t>
      </w:r>
      <w:r w:rsidR="00767E3F">
        <w:rPr>
          <w:rFonts w:ascii="Arial" w:hAnsi="Arial" w:cs="Arial"/>
          <w:sz w:val="18"/>
          <w:lang w:val="el-GR"/>
        </w:rPr>
        <w:t xml:space="preserve"> </w:t>
      </w:r>
      <w:r w:rsidR="00970643" w:rsidRPr="00CB38F0">
        <w:rPr>
          <w:rFonts w:ascii="Arial" w:hAnsi="Arial" w:cs="Arial"/>
          <w:sz w:val="18"/>
          <w:szCs w:val="18"/>
          <w:lang w:val="el-GR" w:eastAsia="el-GR"/>
        </w:rPr>
        <w:t>εκατ.,</w:t>
      </w:r>
      <w:r w:rsidR="00970643">
        <w:rPr>
          <w:rFonts w:ascii="Arial" w:hAnsi="Arial" w:cs="Arial"/>
          <w:sz w:val="18"/>
          <w:szCs w:val="18"/>
          <w:lang w:val="el-GR" w:eastAsia="el-GR"/>
        </w:rPr>
        <w:t xml:space="preserve"> </w:t>
      </w:r>
      <w:r w:rsidR="00970643" w:rsidRPr="00CB38F0">
        <w:rPr>
          <w:rFonts w:ascii="Arial" w:hAnsi="Arial" w:cs="Arial"/>
          <w:sz w:val="18"/>
          <w:szCs w:val="18"/>
          <w:lang w:val="el-GR" w:eastAsia="el-GR"/>
        </w:rPr>
        <w:t xml:space="preserve">σε σύγκριση με €331 εκατ. για το α’ εξάμηνο 2023, αυξημένα κατά </w:t>
      </w:r>
      <w:r w:rsidR="00767E3F" w:rsidRPr="006A1797">
        <w:rPr>
          <w:rFonts w:ascii="Arial" w:hAnsi="Arial" w:cs="Arial"/>
          <w:sz w:val="18"/>
          <w:lang w:val="el-GR"/>
        </w:rPr>
        <w:t>9</w:t>
      </w:r>
      <w:r w:rsidR="00970643" w:rsidRPr="00CB38F0">
        <w:rPr>
          <w:rFonts w:ascii="Arial" w:hAnsi="Arial" w:cs="Arial"/>
          <w:sz w:val="18"/>
          <w:szCs w:val="18"/>
          <w:lang w:val="el-GR" w:eastAsia="el-GR"/>
        </w:rPr>
        <w:t xml:space="preserve">% σε ετήσια βάση, </w:t>
      </w:r>
      <w:r w:rsidR="00970643" w:rsidRPr="00CB38F0">
        <w:rPr>
          <w:rFonts w:ascii="Arial" w:hAnsi="Arial" w:cs="Arial"/>
          <w:sz w:val="18"/>
          <w:szCs w:val="18"/>
          <w:lang w:val="el-GR"/>
        </w:rPr>
        <w:t>αντικατοπτρίζοντας κυρίως τη σημαντική αύξηση στα καθαρά έσοδα από τόκους.</w:t>
      </w:r>
      <w:r w:rsidR="00970643">
        <w:rPr>
          <w:rFonts w:ascii="Arial" w:hAnsi="Arial" w:cs="Arial"/>
          <w:sz w:val="18"/>
          <w:szCs w:val="18"/>
          <w:lang w:val="el-GR"/>
        </w:rPr>
        <w:t xml:space="preserve"> </w:t>
      </w:r>
      <w:r w:rsidR="00970643" w:rsidRPr="00970643">
        <w:rPr>
          <w:rFonts w:ascii="Arial" w:hAnsi="Arial" w:cs="Arial"/>
          <w:sz w:val="18"/>
          <w:szCs w:val="18"/>
          <w:lang w:val="el-GR"/>
        </w:rPr>
        <w:t>Τα λειτουργικά κέρδη</w:t>
      </w:r>
      <w:r w:rsidR="00970643">
        <w:rPr>
          <w:rFonts w:ascii="Arial" w:hAnsi="Arial" w:cs="Arial"/>
          <w:sz w:val="18"/>
          <w:szCs w:val="18"/>
          <w:lang w:val="el-GR"/>
        </w:rPr>
        <w:t xml:space="preserve"> για το β’ τρίμηνο 2024 ανήλθαν σε €</w:t>
      </w:r>
      <w:r w:rsidR="00767E3F" w:rsidRPr="006A1797">
        <w:rPr>
          <w:rFonts w:ascii="Arial" w:hAnsi="Arial" w:cs="Arial"/>
          <w:sz w:val="18"/>
          <w:lang w:val="el-GR"/>
        </w:rPr>
        <w:t>179</w:t>
      </w:r>
      <w:r w:rsidR="00767E3F">
        <w:rPr>
          <w:rFonts w:ascii="Arial" w:hAnsi="Arial" w:cs="Arial"/>
          <w:sz w:val="18"/>
          <w:lang w:val="el-GR"/>
        </w:rPr>
        <w:t xml:space="preserve"> </w:t>
      </w:r>
      <w:r w:rsidR="00970643">
        <w:rPr>
          <w:rFonts w:ascii="Arial" w:hAnsi="Arial" w:cs="Arial"/>
          <w:sz w:val="18"/>
          <w:szCs w:val="18"/>
          <w:lang w:val="el-GR"/>
        </w:rPr>
        <w:t xml:space="preserve">εκατ., μειωμένα κατά </w:t>
      </w:r>
      <w:r w:rsidR="00767E3F" w:rsidRPr="006A1797">
        <w:rPr>
          <w:rFonts w:ascii="Arial" w:hAnsi="Arial" w:cs="Arial"/>
          <w:sz w:val="18"/>
          <w:lang w:val="el-GR"/>
        </w:rPr>
        <w:t>2</w:t>
      </w:r>
      <w:r w:rsidR="00970643">
        <w:rPr>
          <w:rFonts w:ascii="Arial" w:hAnsi="Arial" w:cs="Arial"/>
          <w:sz w:val="18"/>
          <w:szCs w:val="18"/>
          <w:lang w:val="el-GR"/>
        </w:rPr>
        <w:t xml:space="preserve">% σε τριμηνιαία βάση, λόγω τη μείωσης </w:t>
      </w:r>
      <w:r w:rsidR="00970643" w:rsidRPr="00CB38F0">
        <w:rPr>
          <w:rFonts w:ascii="Arial" w:hAnsi="Arial" w:cs="Arial"/>
          <w:sz w:val="18"/>
          <w:szCs w:val="18"/>
          <w:lang w:val="el-GR"/>
        </w:rPr>
        <w:t>στα συνολικά έσοδα</w:t>
      </w:r>
      <w:r w:rsidR="00767E3F">
        <w:rPr>
          <w:rFonts w:ascii="Arial" w:hAnsi="Arial" w:cs="Arial"/>
          <w:sz w:val="18"/>
          <w:szCs w:val="18"/>
          <w:lang w:val="el-GR"/>
        </w:rPr>
        <w:t xml:space="preserve"> και της αύξησης στα συνολικά έξοδα, </w:t>
      </w:r>
      <w:r w:rsidR="00970643" w:rsidRPr="00CB38F0">
        <w:rPr>
          <w:rFonts w:ascii="Arial" w:hAnsi="Arial" w:cs="Arial"/>
          <w:sz w:val="18"/>
          <w:szCs w:val="18"/>
          <w:lang w:val="el-GR"/>
        </w:rPr>
        <w:t xml:space="preserve">όπως εξηγείται πιο πάνω. </w:t>
      </w:r>
    </w:p>
    <w:p w14:paraId="1D9F4AF2" w14:textId="77777777" w:rsidR="00F26111" w:rsidRPr="006B5511" w:rsidRDefault="00F26111" w:rsidP="00F26350">
      <w:pPr>
        <w:spacing w:after="0" w:line="240" w:lineRule="auto"/>
        <w:jc w:val="both"/>
        <w:rPr>
          <w:rFonts w:ascii="Arial" w:hAnsi="Arial" w:cs="Arial"/>
          <w:sz w:val="14"/>
          <w:szCs w:val="14"/>
          <w:highlight w:val="yellow"/>
          <w:lang w:val="el-GR"/>
        </w:rPr>
      </w:pPr>
    </w:p>
    <w:p w14:paraId="2543872A" w14:textId="2AA26D87" w:rsidR="00AD55E9" w:rsidRPr="00CB38F0" w:rsidRDefault="00F26111" w:rsidP="005D4999">
      <w:pPr>
        <w:pStyle w:val="BodyText3"/>
        <w:jc w:val="both"/>
        <w:rPr>
          <w:rFonts w:ascii="Arial" w:hAnsi="Arial" w:cs="Arial"/>
          <w:sz w:val="18"/>
          <w:szCs w:val="18"/>
          <w:lang w:val="el-GR"/>
        </w:rPr>
      </w:pPr>
      <w:r w:rsidRPr="00CB38F0">
        <w:rPr>
          <w:rFonts w:ascii="Arial" w:hAnsi="Arial" w:cs="Arial"/>
          <w:b/>
          <w:bCs/>
          <w:sz w:val="18"/>
          <w:szCs w:val="18"/>
          <w:lang w:val="el-GR"/>
        </w:rPr>
        <w:t>Οι πιστωτικές ζημιές δανείων</w:t>
      </w:r>
      <w:r w:rsidRPr="00CB38F0">
        <w:rPr>
          <w:rFonts w:ascii="Arial" w:hAnsi="Arial" w:cs="Arial"/>
          <w:sz w:val="18"/>
          <w:szCs w:val="18"/>
          <w:lang w:val="el-GR"/>
        </w:rPr>
        <w:t xml:space="preserve"> </w:t>
      </w:r>
      <w:r w:rsidR="008D4948" w:rsidRPr="00CB38F0">
        <w:rPr>
          <w:rFonts w:ascii="Arial" w:hAnsi="Arial" w:cs="Arial"/>
          <w:sz w:val="18"/>
          <w:szCs w:val="18"/>
          <w:lang w:val="el-GR"/>
        </w:rPr>
        <w:t>για το</w:t>
      </w:r>
      <w:r w:rsidR="00970643" w:rsidRPr="00CB38F0">
        <w:rPr>
          <w:rFonts w:ascii="Arial" w:hAnsi="Arial" w:cs="Arial"/>
          <w:sz w:val="18"/>
          <w:szCs w:val="18"/>
          <w:lang w:val="el-GR"/>
        </w:rPr>
        <w:t xml:space="preserve"> α’ εξάμηνο 2024 ανήλθαν σε €</w:t>
      </w:r>
      <w:r w:rsidR="003B65F4" w:rsidRPr="006A1797">
        <w:rPr>
          <w:rFonts w:ascii="Arial" w:hAnsi="Arial" w:cs="Arial"/>
          <w:sz w:val="18"/>
          <w:lang w:val="el-GR"/>
        </w:rPr>
        <w:t>16</w:t>
      </w:r>
      <w:r w:rsidR="003B65F4">
        <w:rPr>
          <w:rFonts w:ascii="Arial" w:hAnsi="Arial" w:cs="Arial"/>
          <w:sz w:val="18"/>
          <w:lang w:val="el-GR"/>
        </w:rPr>
        <w:t xml:space="preserve"> </w:t>
      </w:r>
      <w:r w:rsidR="00970643" w:rsidRPr="00CB38F0">
        <w:rPr>
          <w:rFonts w:ascii="Arial" w:hAnsi="Arial" w:cs="Arial"/>
          <w:sz w:val="18"/>
          <w:szCs w:val="18"/>
          <w:lang w:val="el-GR"/>
        </w:rPr>
        <w:t>εκατ.</w:t>
      </w:r>
      <w:r w:rsidR="00970643">
        <w:rPr>
          <w:rFonts w:ascii="Arial" w:hAnsi="Arial" w:cs="Arial"/>
          <w:sz w:val="18"/>
          <w:szCs w:val="18"/>
          <w:lang w:val="el-GR"/>
        </w:rPr>
        <w:t>, σε σύγκριση με €24 εκατ. για το α’ εξάμηνο 2023, μειωμένα κ</w:t>
      </w:r>
      <w:r w:rsidR="00970643" w:rsidRPr="003B65F4">
        <w:rPr>
          <w:rFonts w:ascii="Arial" w:hAnsi="Arial" w:cs="Arial"/>
          <w:sz w:val="18"/>
          <w:szCs w:val="18"/>
          <w:lang w:val="el-GR"/>
        </w:rPr>
        <w:t xml:space="preserve">ατά </w:t>
      </w:r>
      <w:r w:rsidR="003B65F4" w:rsidRPr="006A1797">
        <w:rPr>
          <w:rFonts w:ascii="Arial" w:hAnsi="Arial" w:cs="Arial"/>
          <w:sz w:val="18"/>
          <w:lang w:val="el-GR"/>
        </w:rPr>
        <w:t>36</w:t>
      </w:r>
      <w:r w:rsidR="00970643" w:rsidRPr="003B65F4">
        <w:rPr>
          <w:rFonts w:ascii="Arial" w:hAnsi="Arial" w:cs="Arial"/>
          <w:sz w:val="18"/>
          <w:szCs w:val="18"/>
          <w:lang w:val="el-GR"/>
        </w:rPr>
        <w:t>%</w:t>
      </w:r>
      <w:r w:rsidR="003B65F4">
        <w:rPr>
          <w:rFonts w:ascii="Arial" w:hAnsi="Arial" w:cs="Arial"/>
          <w:sz w:val="18"/>
          <w:szCs w:val="18"/>
          <w:lang w:val="el-GR"/>
        </w:rPr>
        <w:t xml:space="preserve"> σε ετήσια βάση</w:t>
      </w:r>
      <w:r w:rsidR="00970643" w:rsidRPr="003B65F4">
        <w:rPr>
          <w:rFonts w:ascii="Arial" w:hAnsi="Arial" w:cs="Arial"/>
          <w:sz w:val="18"/>
          <w:szCs w:val="18"/>
          <w:lang w:val="el-GR"/>
        </w:rPr>
        <w:t>,</w:t>
      </w:r>
      <w:r w:rsidR="003B65F4">
        <w:rPr>
          <w:rFonts w:ascii="Arial" w:hAnsi="Arial" w:cs="Arial"/>
          <w:sz w:val="18"/>
          <w:szCs w:val="18"/>
          <w:lang w:val="el-GR"/>
        </w:rPr>
        <w:t xml:space="preserve"> </w:t>
      </w:r>
      <w:r w:rsidR="00970643" w:rsidRPr="006A1797">
        <w:rPr>
          <w:rFonts w:ascii="Arial" w:hAnsi="Arial" w:cs="Arial"/>
          <w:sz w:val="18"/>
          <w:szCs w:val="18"/>
          <w:lang w:val="el-GR"/>
        </w:rPr>
        <w:t>αντικατοπτρίζοντας τις</w:t>
      </w:r>
      <w:r w:rsidR="007E3AEA" w:rsidRPr="007E3AEA">
        <w:rPr>
          <w:rFonts w:ascii="Arial" w:hAnsi="Arial" w:cs="Arial"/>
          <w:sz w:val="18"/>
          <w:szCs w:val="18"/>
          <w:lang w:val="el-GR"/>
        </w:rPr>
        <w:t xml:space="preserve"> </w:t>
      </w:r>
      <w:r w:rsidR="007E3AEA">
        <w:rPr>
          <w:rFonts w:ascii="Arial" w:hAnsi="Arial" w:cs="Arial"/>
          <w:sz w:val="18"/>
          <w:szCs w:val="18"/>
          <w:lang w:val="el-GR"/>
        </w:rPr>
        <w:t>συνεχείς</w:t>
      </w:r>
      <w:r w:rsidR="00970643" w:rsidRPr="006A1797">
        <w:rPr>
          <w:rFonts w:ascii="Arial" w:hAnsi="Arial" w:cs="Arial"/>
          <w:sz w:val="18"/>
          <w:szCs w:val="18"/>
          <w:lang w:val="el-GR"/>
        </w:rPr>
        <w:t xml:space="preserve"> ισχυρές επιδόσεις του δανειακού χαρτοφυλακίου και το σταθερό οικονομικό περιβάλλον</w:t>
      </w:r>
      <w:r w:rsidR="00970643" w:rsidRPr="003B65F4">
        <w:rPr>
          <w:rFonts w:ascii="Arial" w:hAnsi="Arial" w:cs="Arial"/>
          <w:sz w:val="18"/>
          <w:szCs w:val="18"/>
          <w:lang w:val="el-GR"/>
        </w:rPr>
        <w:t>. Οι πιστωτικές ζημιές δανείων για το β’ τρίμηνο 2024 ανήλθαν σε €</w:t>
      </w:r>
      <w:r w:rsidR="003B65F4" w:rsidRPr="006A1797">
        <w:rPr>
          <w:rFonts w:ascii="Arial" w:hAnsi="Arial" w:cs="Arial"/>
          <w:sz w:val="18"/>
          <w:lang w:val="el-GR"/>
        </w:rPr>
        <w:t xml:space="preserve">9 </w:t>
      </w:r>
      <w:r w:rsidR="00970643" w:rsidRPr="003B65F4">
        <w:rPr>
          <w:rFonts w:ascii="Arial" w:hAnsi="Arial" w:cs="Arial"/>
          <w:sz w:val="18"/>
          <w:szCs w:val="18"/>
          <w:lang w:val="el-GR"/>
        </w:rPr>
        <w:t xml:space="preserve">εκατ., σε σύγκριση με </w:t>
      </w:r>
      <w:r w:rsidR="00970643" w:rsidRPr="006A1797">
        <w:rPr>
          <w:rFonts w:ascii="Arial" w:hAnsi="Arial" w:cs="Arial"/>
          <w:sz w:val="18"/>
          <w:szCs w:val="18"/>
          <w:lang w:val="el-GR"/>
        </w:rPr>
        <w:t>€</w:t>
      </w:r>
      <w:r w:rsidR="00970643" w:rsidRPr="006A1797">
        <w:rPr>
          <w:rFonts w:ascii="Arial" w:hAnsi="Arial" w:cs="Arial"/>
          <w:sz w:val="18"/>
          <w:lang w:val="el-GR"/>
        </w:rPr>
        <w:t xml:space="preserve">7 </w:t>
      </w:r>
      <w:r w:rsidR="00970643" w:rsidRPr="006A1797">
        <w:rPr>
          <w:rFonts w:ascii="Arial" w:hAnsi="Arial" w:cs="Arial"/>
          <w:sz w:val="18"/>
          <w:szCs w:val="18"/>
          <w:lang w:val="el-GR"/>
        </w:rPr>
        <w:t>εκατ.</w:t>
      </w:r>
      <w:r w:rsidR="00970643">
        <w:rPr>
          <w:rFonts w:ascii="Arial" w:hAnsi="Arial" w:cs="Arial"/>
          <w:sz w:val="18"/>
          <w:szCs w:val="18"/>
          <w:lang w:val="el-GR"/>
        </w:rPr>
        <w:t xml:space="preserve"> για το α’ τρίμηνο 2024</w:t>
      </w:r>
      <w:r w:rsidR="003B65F4">
        <w:rPr>
          <w:rFonts w:ascii="Arial" w:hAnsi="Arial" w:cs="Arial"/>
          <w:sz w:val="18"/>
          <w:szCs w:val="18"/>
          <w:lang w:val="el-GR"/>
        </w:rPr>
        <w:t>.</w:t>
      </w:r>
    </w:p>
    <w:p w14:paraId="1B72C071" w14:textId="77777777" w:rsidR="00AD55E9" w:rsidRPr="006B5511" w:rsidRDefault="00AD55E9" w:rsidP="00F26350">
      <w:pPr>
        <w:pStyle w:val="BodyText3"/>
        <w:jc w:val="both"/>
        <w:rPr>
          <w:rFonts w:ascii="Arial" w:hAnsi="Arial" w:cs="Arial"/>
          <w:sz w:val="18"/>
          <w:szCs w:val="18"/>
          <w:highlight w:val="yellow"/>
          <w:lang w:val="el-GR"/>
        </w:rPr>
      </w:pPr>
    </w:p>
    <w:p w14:paraId="1B4E68E1" w14:textId="42196F74" w:rsidR="00C31E76" w:rsidRPr="00CB38F0" w:rsidRDefault="00543B5E">
      <w:pPr>
        <w:pStyle w:val="BodyText3"/>
        <w:jc w:val="both"/>
        <w:rPr>
          <w:rFonts w:ascii="Arial" w:hAnsi="Arial" w:cs="Arial"/>
          <w:sz w:val="18"/>
          <w:szCs w:val="18"/>
          <w:lang w:val="el-GR"/>
        </w:rPr>
      </w:pPr>
      <w:r w:rsidRPr="00CB38F0">
        <w:rPr>
          <w:rFonts w:ascii="Arial" w:hAnsi="Arial" w:cs="Arial"/>
          <w:b/>
          <w:bCs/>
          <w:sz w:val="18"/>
          <w:szCs w:val="18"/>
          <w:lang w:val="el-GR"/>
        </w:rPr>
        <w:t>Η χρέωση πιστωτικών ζημιών δανείων (cost of risk)</w:t>
      </w:r>
      <w:r w:rsidRPr="00CB38F0">
        <w:rPr>
          <w:rFonts w:ascii="Arial" w:hAnsi="Arial" w:cs="Arial"/>
          <w:sz w:val="18"/>
          <w:szCs w:val="18"/>
          <w:lang w:val="el-GR"/>
        </w:rPr>
        <w:t xml:space="preserve"> για το</w:t>
      </w:r>
      <w:r w:rsidR="00C31E76" w:rsidRPr="00CB38F0">
        <w:rPr>
          <w:rFonts w:ascii="Arial" w:hAnsi="Arial" w:cs="Arial"/>
          <w:sz w:val="18"/>
          <w:szCs w:val="18"/>
          <w:lang w:val="el-GR"/>
        </w:rPr>
        <w:t xml:space="preserve"> α’ εξάμηνο 2024 ανήλθε σε </w:t>
      </w:r>
      <w:r w:rsidR="003B65F4" w:rsidRPr="006A1797">
        <w:rPr>
          <w:rFonts w:ascii="Arial" w:hAnsi="Arial" w:cs="Arial"/>
          <w:sz w:val="18"/>
          <w:lang w:val="el-GR"/>
        </w:rPr>
        <w:t>31</w:t>
      </w:r>
      <w:r w:rsidR="003B65F4">
        <w:rPr>
          <w:rFonts w:ascii="Arial" w:hAnsi="Arial" w:cs="Arial"/>
          <w:sz w:val="18"/>
          <w:lang w:val="el-GR"/>
        </w:rPr>
        <w:t xml:space="preserve"> </w:t>
      </w:r>
      <w:r w:rsidR="00C31E76" w:rsidRPr="00CB38F0">
        <w:rPr>
          <w:rFonts w:ascii="Arial" w:hAnsi="Arial" w:cs="Arial"/>
          <w:sz w:val="18"/>
          <w:szCs w:val="18"/>
          <w:lang w:val="el-GR"/>
        </w:rPr>
        <w:t xml:space="preserve">μ.β., σε σύγκριση με χρέωση πιστωτικών ζημιών δανείων (cost of risk) ύψους 48 μ.β. για το α’ εξάμηνο 2023 (μειωμένη κατά </w:t>
      </w:r>
      <w:r w:rsidR="003B65F4" w:rsidRPr="006A1797">
        <w:rPr>
          <w:rFonts w:ascii="Arial" w:hAnsi="Arial" w:cs="Arial"/>
          <w:sz w:val="18"/>
          <w:lang w:val="el-GR"/>
        </w:rPr>
        <w:t>17</w:t>
      </w:r>
      <w:r w:rsidR="003B65F4">
        <w:rPr>
          <w:rFonts w:ascii="Arial" w:hAnsi="Arial" w:cs="Arial"/>
          <w:sz w:val="18"/>
          <w:lang w:val="el-GR"/>
        </w:rPr>
        <w:t xml:space="preserve"> </w:t>
      </w:r>
      <w:r w:rsidR="00C31E76" w:rsidRPr="00CB38F0">
        <w:rPr>
          <w:rFonts w:ascii="Arial" w:hAnsi="Arial" w:cs="Arial"/>
          <w:sz w:val="18"/>
          <w:szCs w:val="18"/>
          <w:lang w:val="el-GR"/>
        </w:rPr>
        <w:t>μ.β. σε ετήσια βάση). Η χρέωση πιστωτικών ζημιών δανείων (cost of risk)</w:t>
      </w:r>
      <w:r w:rsidR="00C31E76" w:rsidRPr="00C31E76">
        <w:rPr>
          <w:rFonts w:ascii="Arial" w:hAnsi="Arial" w:cs="Arial"/>
          <w:sz w:val="18"/>
          <w:szCs w:val="18"/>
          <w:lang w:val="el-GR"/>
        </w:rPr>
        <w:t xml:space="preserve"> για το </w:t>
      </w:r>
      <w:r w:rsidR="00C31E76">
        <w:rPr>
          <w:rFonts w:ascii="Arial" w:hAnsi="Arial" w:cs="Arial"/>
          <w:sz w:val="18"/>
          <w:szCs w:val="18"/>
          <w:lang w:val="el-GR"/>
        </w:rPr>
        <w:t>β</w:t>
      </w:r>
      <w:r w:rsidR="00C31E76" w:rsidRPr="00C31E76">
        <w:rPr>
          <w:rFonts w:ascii="Arial" w:hAnsi="Arial" w:cs="Arial"/>
          <w:sz w:val="18"/>
          <w:szCs w:val="18"/>
          <w:lang w:val="el-GR"/>
        </w:rPr>
        <w:t xml:space="preserve">’ </w:t>
      </w:r>
      <w:r w:rsidR="00C31E76">
        <w:rPr>
          <w:rFonts w:ascii="Arial" w:hAnsi="Arial" w:cs="Arial"/>
          <w:sz w:val="18"/>
          <w:szCs w:val="18"/>
          <w:lang w:val="el-GR"/>
        </w:rPr>
        <w:t>τρίμηνο</w:t>
      </w:r>
      <w:r w:rsidR="00C31E76" w:rsidRPr="00C31E76">
        <w:rPr>
          <w:rFonts w:ascii="Arial" w:hAnsi="Arial" w:cs="Arial"/>
          <w:sz w:val="18"/>
          <w:szCs w:val="18"/>
          <w:lang w:val="el-GR"/>
        </w:rPr>
        <w:t xml:space="preserve"> 2024 ανήλθε σε </w:t>
      </w:r>
      <w:r w:rsidR="003B65F4" w:rsidRPr="006A1797">
        <w:rPr>
          <w:rFonts w:ascii="Arial" w:hAnsi="Arial" w:cs="Arial"/>
          <w:sz w:val="18"/>
          <w:lang w:val="el-GR"/>
        </w:rPr>
        <w:t>34</w:t>
      </w:r>
      <w:r w:rsidR="003B65F4">
        <w:rPr>
          <w:rFonts w:ascii="Arial" w:hAnsi="Arial" w:cs="Arial"/>
          <w:sz w:val="18"/>
          <w:lang w:val="el-GR"/>
        </w:rPr>
        <w:t xml:space="preserve"> </w:t>
      </w:r>
      <w:r w:rsidR="00C31E76" w:rsidRPr="00C31E76">
        <w:rPr>
          <w:rFonts w:ascii="Arial" w:hAnsi="Arial" w:cs="Arial"/>
          <w:sz w:val="18"/>
          <w:szCs w:val="18"/>
          <w:lang w:val="el-GR"/>
        </w:rPr>
        <w:t>μ.β., σε σύγκριση με χρέωση πιστω</w:t>
      </w:r>
      <w:r w:rsidR="00C31E76" w:rsidRPr="005D5ED4">
        <w:rPr>
          <w:rFonts w:ascii="Arial" w:hAnsi="Arial" w:cs="Arial"/>
          <w:sz w:val="18"/>
          <w:szCs w:val="18"/>
          <w:lang w:val="el-GR"/>
        </w:rPr>
        <w:t xml:space="preserve">τικών ζημιών δανείων (cost of risk) ύψους </w:t>
      </w:r>
      <w:r w:rsidR="00C31E76">
        <w:rPr>
          <w:rFonts w:ascii="Arial" w:hAnsi="Arial" w:cs="Arial"/>
          <w:sz w:val="18"/>
          <w:szCs w:val="18"/>
          <w:lang w:val="el-GR"/>
        </w:rPr>
        <w:t>27</w:t>
      </w:r>
      <w:r w:rsidR="00C31E76" w:rsidRPr="005D5ED4">
        <w:rPr>
          <w:rFonts w:ascii="Arial" w:hAnsi="Arial" w:cs="Arial"/>
          <w:sz w:val="18"/>
          <w:szCs w:val="18"/>
          <w:lang w:val="el-GR"/>
        </w:rPr>
        <w:t xml:space="preserve"> μ.β. για το α’ </w:t>
      </w:r>
      <w:r w:rsidR="00C31E76">
        <w:rPr>
          <w:rFonts w:ascii="Arial" w:hAnsi="Arial" w:cs="Arial"/>
          <w:sz w:val="18"/>
          <w:szCs w:val="18"/>
          <w:lang w:val="el-GR"/>
        </w:rPr>
        <w:t>τρίμηνο</w:t>
      </w:r>
      <w:r w:rsidR="00C31E76" w:rsidRPr="005D5ED4">
        <w:rPr>
          <w:rFonts w:ascii="Arial" w:hAnsi="Arial" w:cs="Arial"/>
          <w:sz w:val="18"/>
          <w:szCs w:val="18"/>
          <w:lang w:val="el-GR"/>
        </w:rPr>
        <w:t xml:space="preserve"> 2024</w:t>
      </w:r>
      <w:r w:rsidR="00C31E76">
        <w:rPr>
          <w:rFonts w:ascii="Arial" w:hAnsi="Arial" w:cs="Arial"/>
          <w:sz w:val="18"/>
          <w:szCs w:val="18"/>
          <w:lang w:val="el-GR"/>
        </w:rPr>
        <w:t>,</w:t>
      </w:r>
      <w:r w:rsidR="003B65F4">
        <w:rPr>
          <w:rFonts w:ascii="Arial" w:hAnsi="Arial" w:cs="Arial"/>
          <w:sz w:val="18"/>
          <w:szCs w:val="18"/>
          <w:lang w:val="el-GR"/>
        </w:rPr>
        <w:t xml:space="preserve"> </w:t>
      </w:r>
      <w:r w:rsidR="00C31E76">
        <w:rPr>
          <w:rFonts w:ascii="Arial" w:hAnsi="Arial" w:cs="Arial"/>
          <w:sz w:val="18"/>
          <w:szCs w:val="18"/>
          <w:lang w:val="el-GR"/>
        </w:rPr>
        <w:t>αυξημένη</w:t>
      </w:r>
      <w:r w:rsidR="00C31E76" w:rsidRPr="005D5ED4">
        <w:rPr>
          <w:rFonts w:ascii="Arial" w:hAnsi="Arial" w:cs="Arial"/>
          <w:sz w:val="18"/>
          <w:szCs w:val="18"/>
          <w:lang w:val="el-GR"/>
        </w:rPr>
        <w:t xml:space="preserve"> κατά </w:t>
      </w:r>
      <w:r w:rsidR="003B65F4" w:rsidRPr="006A1797">
        <w:rPr>
          <w:rFonts w:ascii="Arial" w:hAnsi="Arial" w:cs="Arial"/>
          <w:sz w:val="18"/>
          <w:lang w:val="el-GR"/>
        </w:rPr>
        <w:t>7</w:t>
      </w:r>
      <w:r w:rsidR="003B65F4">
        <w:rPr>
          <w:rFonts w:ascii="Arial" w:hAnsi="Arial" w:cs="Arial"/>
          <w:sz w:val="18"/>
          <w:lang w:val="el-GR"/>
        </w:rPr>
        <w:t xml:space="preserve"> </w:t>
      </w:r>
      <w:r w:rsidR="00C31E76" w:rsidRPr="005D5ED4">
        <w:rPr>
          <w:rFonts w:ascii="Arial" w:hAnsi="Arial" w:cs="Arial"/>
          <w:sz w:val="18"/>
          <w:szCs w:val="18"/>
          <w:lang w:val="el-GR"/>
        </w:rPr>
        <w:t xml:space="preserve">μ.β. σε </w:t>
      </w:r>
      <w:r w:rsidR="00C31E76">
        <w:rPr>
          <w:rFonts w:ascii="Arial" w:hAnsi="Arial" w:cs="Arial"/>
          <w:sz w:val="18"/>
          <w:szCs w:val="18"/>
          <w:lang w:val="el-GR"/>
        </w:rPr>
        <w:t>τριμηνιαία</w:t>
      </w:r>
      <w:r w:rsidR="00C31E76" w:rsidRPr="005D5ED4">
        <w:rPr>
          <w:rFonts w:ascii="Arial" w:hAnsi="Arial" w:cs="Arial"/>
          <w:sz w:val="18"/>
          <w:szCs w:val="18"/>
          <w:lang w:val="el-GR"/>
        </w:rPr>
        <w:t xml:space="preserve"> βάση</w:t>
      </w:r>
      <w:r w:rsidR="00C31E76">
        <w:rPr>
          <w:rFonts w:ascii="Arial" w:hAnsi="Arial" w:cs="Arial"/>
          <w:sz w:val="18"/>
          <w:szCs w:val="18"/>
          <w:lang w:val="el-GR"/>
        </w:rPr>
        <w:t>.</w:t>
      </w:r>
    </w:p>
    <w:p w14:paraId="4ED1E8F7" w14:textId="77777777" w:rsidR="00543B5E" w:rsidRPr="00CB38F0" w:rsidRDefault="00543B5E" w:rsidP="00543B5E">
      <w:pPr>
        <w:spacing w:after="0" w:line="240" w:lineRule="auto"/>
        <w:jc w:val="both"/>
        <w:rPr>
          <w:rFonts w:ascii="Arial" w:hAnsi="Arial" w:cs="Arial"/>
          <w:sz w:val="14"/>
          <w:szCs w:val="14"/>
          <w:lang w:val="el-GR"/>
        </w:rPr>
      </w:pPr>
    </w:p>
    <w:p w14:paraId="507B5B89" w14:textId="3BB10B63" w:rsidR="009B4868" w:rsidRPr="00CB38F0" w:rsidRDefault="009B4868" w:rsidP="00F26350">
      <w:pPr>
        <w:spacing w:after="0" w:line="240" w:lineRule="auto"/>
        <w:jc w:val="both"/>
        <w:rPr>
          <w:rFonts w:ascii="Arial" w:hAnsi="Arial" w:cs="Arial"/>
          <w:lang w:val="el-GR"/>
        </w:rPr>
      </w:pPr>
      <w:r w:rsidRPr="00CB38F0">
        <w:rPr>
          <w:rFonts w:ascii="Arial" w:eastAsia="Times New Roman" w:hAnsi="Arial" w:cs="Arial"/>
          <w:sz w:val="18"/>
          <w:szCs w:val="16"/>
          <w:lang w:val="el-GR" w:eastAsia="el-GR"/>
        </w:rPr>
        <w:t xml:space="preserve">Στις </w:t>
      </w:r>
      <w:r w:rsidR="00C31E76" w:rsidRPr="00CB38F0">
        <w:rPr>
          <w:rFonts w:ascii="Arial" w:eastAsia="Times New Roman" w:hAnsi="Arial" w:cs="Arial"/>
          <w:sz w:val="18"/>
          <w:szCs w:val="16"/>
          <w:lang w:val="el-GR" w:eastAsia="el-GR"/>
        </w:rPr>
        <w:t xml:space="preserve">30 Ιουνίου </w:t>
      </w:r>
      <w:r w:rsidR="007E4D94" w:rsidRPr="00CB38F0">
        <w:rPr>
          <w:rFonts w:ascii="Arial" w:eastAsia="Times New Roman" w:hAnsi="Arial" w:cs="Arial"/>
          <w:sz w:val="18"/>
          <w:szCs w:val="16"/>
          <w:lang w:val="el-GR" w:eastAsia="el-GR"/>
        </w:rPr>
        <w:t>2024</w:t>
      </w:r>
      <w:r w:rsidRPr="00CB38F0">
        <w:rPr>
          <w:rFonts w:ascii="Arial" w:eastAsia="Times New Roman" w:hAnsi="Arial" w:cs="Arial"/>
          <w:sz w:val="18"/>
          <w:szCs w:val="16"/>
          <w:lang w:val="el-GR" w:eastAsia="el-GR"/>
        </w:rPr>
        <w:t>,</w:t>
      </w:r>
      <w:r w:rsidR="0007097C" w:rsidRPr="00CB38F0">
        <w:rPr>
          <w:rFonts w:ascii="Arial" w:eastAsia="Times New Roman" w:hAnsi="Arial" w:cs="Arial"/>
          <w:sz w:val="18"/>
          <w:szCs w:val="16"/>
          <w:lang w:val="el-GR" w:eastAsia="el-GR"/>
        </w:rPr>
        <w:t xml:space="preserve"> </w:t>
      </w:r>
      <w:r w:rsidRPr="00CB38F0">
        <w:rPr>
          <w:rFonts w:ascii="Arial" w:eastAsia="Times New Roman" w:hAnsi="Arial" w:cs="Arial"/>
          <w:sz w:val="18"/>
          <w:szCs w:val="16"/>
          <w:lang w:val="el-GR" w:eastAsia="el-GR"/>
        </w:rPr>
        <w:t xml:space="preserve">οι συσσωρευμένες αναμενόμενες πιστωτικές ζημιές δανείων, περιλαμβανομένης της αναπροσαρμογής στην εύλογη αξία κατά την αρχική αναγνώριση και των πιστωτικών ζημιών για εκθέσεις εκτός ισολογισμού (βλέπε </w:t>
      </w:r>
      <w:r w:rsidR="00C36D38" w:rsidRPr="00CB38F0">
        <w:rPr>
          <w:rFonts w:ascii="Arial" w:eastAsia="Times New Roman" w:hAnsi="Arial" w:cs="Arial"/>
          <w:color w:val="000000" w:themeColor="text1"/>
          <w:sz w:val="18"/>
          <w:szCs w:val="16"/>
          <w:lang w:val="el-GR" w:eastAsia="el-GR"/>
        </w:rPr>
        <w:t xml:space="preserve">Μέρος </w:t>
      </w:r>
      <w:r w:rsidR="00C31E76" w:rsidRPr="00CB38F0">
        <w:rPr>
          <w:rFonts w:ascii="Arial" w:eastAsia="Times New Roman" w:hAnsi="Arial" w:cs="Arial"/>
          <w:sz w:val="18"/>
          <w:szCs w:val="16"/>
          <w:lang w:val="el-GR" w:eastAsia="el-GR"/>
        </w:rPr>
        <w:t>ΣΤ</w:t>
      </w:r>
      <w:r w:rsidR="00C9443A" w:rsidRPr="00CB38F0">
        <w:rPr>
          <w:rFonts w:ascii="Arial" w:eastAsia="Times New Roman" w:hAnsi="Arial" w:cs="Arial"/>
          <w:sz w:val="18"/>
          <w:szCs w:val="16"/>
          <w:lang w:val="el-GR" w:eastAsia="el-GR"/>
        </w:rPr>
        <w:t>.</w:t>
      </w:r>
      <w:r w:rsidR="00D77842" w:rsidRPr="00CB38F0">
        <w:rPr>
          <w:rFonts w:ascii="Arial" w:eastAsia="Times New Roman" w:hAnsi="Arial" w:cs="Arial"/>
          <w:sz w:val="18"/>
          <w:szCs w:val="16"/>
          <w:lang w:val="el-GR" w:eastAsia="el-GR"/>
        </w:rPr>
        <w:t xml:space="preserve"> </w:t>
      </w:r>
      <w:r w:rsidRPr="00CB38F0">
        <w:rPr>
          <w:rFonts w:ascii="Arial" w:eastAsia="Times New Roman" w:hAnsi="Arial" w:cs="Arial"/>
          <w:sz w:val="18"/>
          <w:szCs w:val="16"/>
          <w:lang w:val="el-GR" w:eastAsia="el-GR"/>
        </w:rPr>
        <w:t>‘</w:t>
      </w:r>
      <w:r w:rsidR="008F48B4" w:rsidRPr="00CB38F0">
        <w:rPr>
          <w:rFonts w:ascii="Arial" w:eastAsia="Times New Roman" w:hAnsi="Arial" w:cs="Arial"/>
          <w:color w:val="000000" w:themeColor="text1"/>
          <w:sz w:val="18"/>
          <w:szCs w:val="16"/>
          <w:lang w:val="el-GR" w:eastAsia="el-GR"/>
        </w:rPr>
        <w:t>Όροι και Επεξηγήσεις’</w:t>
      </w:r>
      <w:r w:rsidRPr="00CB38F0">
        <w:rPr>
          <w:rFonts w:ascii="Arial" w:eastAsia="Times New Roman" w:hAnsi="Arial" w:cs="Arial"/>
          <w:color w:val="000000" w:themeColor="text1"/>
          <w:sz w:val="18"/>
          <w:szCs w:val="16"/>
          <w:lang w:val="el-GR" w:eastAsia="el-GR"/>
        </w:rPr>
        <w:t>),</w:t>
      </w:r>
      <w:r w:rsidR="007E4D94" w:rsidRPr="00CB38F0">
        <w:rPr>
          <w:rFonts w:ascii="Arial" w:eastAsia="Times New Roman" w:hAnsi="Arial" w:cs="Arial"/>
          <w:color w:val="000000" w:themeColor="text1"/>
          <w:sz w:val="18"/>
          <w:szCs w:val="16"/>
          <w:lang w:val="el-GR" w:eastAsia="el-GR"/>
        </w:rPr>
        <w:t xml:space="preserve"> </w:t>
      </w:r>
      <w:r w:rsidRPr="00CB38F0">
        <w:rPr>
          <w:rFonts w:ascii="Arial" w:eastAsia="Times New Roman" w:hAnsi="Arial" w:cs="Arial"/>
          <w:sz w:val="18"/>
          <w:szCs w:val="16"/>
          <w:lang w:val="el-GR" w:eastAsia="el-GR"/>
        </w:rPr>
        <w:t>ανήλθαν σε €</w:t>
      </w:r>
      <w:r w:rsidR="003B65F4" w:rsidRPr="006A1797">
        <w:rPr>
          <w:rFonts w:ascii="Arial" w:hAnsi="Arial" w:cs="Arial"/>
          <w:sz w:val="18"/>
          <w:lang w:val="el-GR"/>
        </w:rPr>
        <w:t>251</w:t>
      </w:r>
      <w:r w:rsidR="003B65F4">
        <w:rPr>
          <w:rFonts w:ascii="Arial" w:hAnsi="Arial" w:cs="Arial"/>
          <w:sz w:val="18"/>
          <w:lang w:val="el-GR"/>
        </w:rPr>
        <w:t xml:space="preserve"> </w:t>
      </w:r>
      <w:r w:rsidRPr="00CB38F0">
        <w:rPr>
          <w:rFonts w:ascii="Arial" w:eastAsia="Times New Roman" w:hAnsi="Arial" w:cs="Arial"/>
          <w:sz w:val="18"/>
          <w:szCs w:val="16"/>
          <w:lang w:val="el-GR" w:eastAsia="el-GR"/>
        </w:rPr>
        <w:t>εκατ. (σε σύγκριση με</w:t>
      </w:r>
      <w:r w:rsidR="00DC0BC1" w:rsidRPr="00CB38F0">
        <w:rPr>
          <w:rFonts w:ascii="Arial" w:eastAsia="Times New Roman" w:hAnsi="Arial" w:cs="Arial"/>
          <w:sz w:val="18"/>
          <w:szCs w:val="16"/>
          <w:lang w:val="el-GR" w:eastAsia="el-GR"/>
        </w:rPr>
        <w:t xml:space="preserve"> </w:t>
      </w:r>
      <w:r w:rsidR="00C31E76" w:rsidRPr="00CB38F0">
        <w:rPr>
          <w:rFonts w:ascii="Arial" w:eastAsia="Times New Roman" w:hAnsi="Arial" w:cs="Arial"/>
          <w:sz w:val="18"/>
          <w:szCs w:val="16"/>
          <w:lang w:val="el-GR" w:eastAsia="el-GR"/>
        </w:rPr>
        <w:t>€</w:t>
      </w:r>
      <w:r w:rsidR="00C31E76" w:rsidRPr="00CB38F0">
        <w:rPr>
          <w:rFonts w:ascii="Arial" w:hAnsi="Arial" w:cs="Arial"/>
          <w:sz w:val="18"/>
          <w:lang w:val="el-GR"/>
        </w:rPr>
        <w:t xml:space="preserve">267 </w:t>
      </w:r>
      <w:r w:rsidR="00C31E76" w:rsidRPr="00CB38F0">
        <w:rPr>
          <w:rFonts w:ascii="Arial" w:eastAsia="Times New Roman" w:hAnsi="Arial" w:cs="Arial"/>
          <w:sz w:val="18"/>
          <w:szCs w:val="16"/>
          <w:lang w:val="el-GR" w:eastAsia="el-GR"/>
        </w:rPr>
        <w:t xml:space="preserve">εκατ. στις 31 Μαρτίου 2024 και με </w:t>
      </w:r>
      <w:r w:rsidR="00DC0BC1" w:rsidRPr="00CB38F0">
        <w:rPr>
          <w:rFonts w:ascii="Arial" w:eastAsia="Times New Roman" w:hAnsi="Arial" w:cs="Arial"/>
          <w:sz w:val="18"/>
          <w:szCs w:val="16"/>
          <w:lang w:val="el-GR" w:eastAsia="el-GR"/>
        </w:rPr>
        <w:t>€</w:t>
      </w:r>
      <w:r w:rsidR="007E4D94" w:rsidRPr="00CB38F0">
        <w:rPr>
          <w:rFonts w:ascii="Arial" w:hAnsi="Arial" w:cs="Arial"/>
          <w:sz w:val="18"/>
          <w:lang w:val="el-GR"/>
        </w:rPr>
        <w:t xml:space="preserve">267 </w:t>
      </w:r>
      <w:r w:rsidR="00DC0BC1" w:rsidRPr="00CB38F0">
        <w:rPr>
          <w:rFonts w:ascii="Arial" w:eastAsia="Times New Roman" w:hAnsi="Arial" w:cs="Arial"/>
          <w:sz w:val="18"/>
          <w:szCs w:val="16"/>
          <w:lang w:val="el-GR" w:eastAsia="el-GR"/>
        </w:rPr>
        <w:t xml:space="preserve">εκατ. στις </w:t>
      </w:r>
      <w:r w:rsidR="007E4D94" w:rsidRPr="00CB38F0">
        <w:rPr>
          <w:rFonts w:ascii="Arial" w:eastAsia="Times New Roman" w:hAnsi="Arial" w:cs="Arial"/>
          <w:sz w:val="18"/>
          <w:szCs w:val="16"/>
          <w:lang w:val="el-GR" w:eastAsia="el-GR"/>
        </w:rPr>
        <w:t xml:space="preserve">31 Δεκεμβρίου </w:t>
      </w:r>
      <w:r w:rsidR="00DC0BC1" w:rsidRPr="00CB38F0">
        <w:rPr>
          <w:rFonts w:ascii="Arial" w:eastAsia="Times New Roman" w:hAnsi="Arial" w:cs="Arial"/>
          <w:sz w:val="18"/>
          <w:szCs w:val="16"/>
          <w:lang w:val="el-GR" w:eastAsia="el-GR"/>
        </w:rPr>
        <w:t>2023</w:t>
      </w:r>
      <w:r w:rsidRPr="00CB38F0">
        <w:rPr>
          <w:rFonts w:ascii="Arial" w:eastAsia="Times New Roman" w:hAnsi="Arial" w:cs="Arial"/>
          <w:sz w:val="18"/>
          <w:szCs w:val="16"/>
          <w:lang w:val="el-GR" w:eastAsia="el-GR"/>
        </w:rPr>
        <w:t xml:space="preserve">) και αναλογούν σε </w:t>
      </w:r>
      <w:r w:rsidR="003B65F4" w:rsidRPr="006A1797">
        <w:rPr>
          <w:rFonts w:ascii="Arial" w:hAnsi="Arial" w:cs="Arial"/>
          <w:sz w:val="18"/>
          <w:lang w:val="el-GR"/>
        </w:rPr>
        <w:t>2.4</w:t>
      </w:r>
      <w:r w:rsidR="00982313" w:rsidRPr="00CB38F0">
        <w:rPr>
          <w:rFonts w:ascii="Arial" w:hAnsi="Arial" w:cs="Arial"/>
          <w:sz w:val="18"/>
          <w:lang w:val="el-GR"/>
        </w:rPr>
        <w:t>%</w:t>
      </w:r>
      <w:r w:rsidR="00982313" w:rsidRPr="00CB38F0">
        <w:rPr>
          <w:rFonts w:ascii="Arial" w:eastAsia="Times New Roman" w:hAnsi="Arial" w:cs="Arial"/>
          <w:sz w:val="18"/>
          <w:szCs w:val="16"/>
          <w:lang w:val="el-GR" w:eastAsia="el-GR"/>
        </w:rPr>
        <w:t xml:space="preserve"> </w:t>
      </w:r>
      <w:r w:rsidR="001A0EC6" w:rsidRPr="00CB38F0">
        <w:rPr>
          <w:rFonts w:ascii="Arial" w:eastAsia="Times New Roman" w:hAnsi="Arial" w:cs="Arial"/>
          <w:sz w:val="18"/>
          <w:szCs w:val="16"/>
          <w:lang w:val="el-GR" w:eastAsia="el-GR"/>
        </w:rPr>
        <w:t xml:space="preserve">του συνόλου των </w:t>
      </w:r>
      <w:r w:rsidRPr="00CB38F0">
        <w:rPr>
          <w:rFonts w:ascii="Arial" w:eastAsia="Times New Roman" w:hAnsi="Arial" w:cs="Arial"/>
          <w:sz w:val="18"/>
          <w:szCs w:val="16"/>
          <w:lang w:val="el-GR" w:eastAsia="el-GR"/>
        </w:rPr>
        <w:t>δανείων (</w:t>
      </w:r>
      <w:r w:rsidR="003B65F4">
        <w:rPr>
          <w:rFonts w:ascii="Arial" w:eastAsia="Times New Roman" w:hAnsi="Arial" w:cs="Arial"/>
          <w:sz w:val="18"/>
          <w:szCs w:val="16"/>
          <w:lang w:val="el-GR" w:eastAsia="el-GR"/>
        </w:rPr>
        <w:t>σε σύγκριση με 2.6% στις 31 Μαρτίου 2024 και με 2.7% στις 31 Δεκεμβρίου 2023</w:t>
      </w:r>
      <w:r w:rsidR="0007097C" w:rsidRPr="00CB38F0">
        <w:rPr>
          <w:rFonts w:ascii="Arial" w:eastAsia="Times New Roman" w:hAnsi="Arial" w:cs="Arial"/>
          <w:sz w:val="18"/>
          <w:szCs w:val="16"/>
          <w:lang w:val="el-GR" w:eastAsia="el-GR"/>
        </w:rPr>
        <w:t xml:space="preserve">). </w:t>
      </w:r>
    </w:p>
    <w:p w14:paraId="15AFA896" w14:textId="77777777" w:rsidR="009B4868" w:rsidRPr="00CB38F0" w:rsidRDefault="009B4868" w:rsidP="00F26350">
      <w:pPr>
        <w:spacing w:after="0" w:line="240" w:lineRule="auto"/>
        <w:jc w:val="both"/>
        <w:rPr>
          <w:rFonts w:ascii="Arial" w:hAnsi="Arial" w:cs="Arial"/>
          <w:sz w:val="14"/>
          <w:szCs w:val="14"/>
          <w:lang w:val="el-GR"/>
        </w:rPr>
      </w:pPr>
    </w:p>
    <w:p w14:paraId="7BA80049" w14:textId="158C61CA" w:rsidR="00207425" w:rsidRPr="00CB38F0" w:rsidRDefault="00F26111" w:rsidP="00247B5B">
      <w:pPr>
        <w:spacing w:after="0" w:line="240" w:lineRule="auto"/>
        <w:jc w:val="both"/>
        <w:rPr>
          <w:rFonts w:ascii="Arial" w:eastAsia="Times New Roman" w:hAnsi="Arial" w:cs="Arial"/>
          <w:sz w:val="18"/>
          <w:szCs w:val="16"/>
          <w:lang w:val="el-GR" w:eastAsia="el-GR"/>
        </w:rPr>
      </w:pPr>
      <w:r w:rsidRPr="00CB38F0">
        <w:rPr>
          <w:rFonts w:ascii="Arial" w:hAnsi="Arial" w:cs="Arial"/>
          <w:b/>
          <w:bCs/>
          <w:sz w:val="18"/>
          <w:szCs w:val="18"/>
          <w:lang w:val="el-GR"/>
        </w:rPr>
        <w:t>Οι απομειώσεις άλλων χρηματοοικονομικών και μη χρηματοοικονομικών περιουσιακών στοιχείων</w:t>
      </w:r>
      <w:r w:rsidRPr="00CB38F0">
        <w:rPr>
          <w:rFonts w:ascii="Arial" w:hAnsi="Arial" w:cs="Arial"/>
          <w:sz w:val="18"/>
          <w:szCs w:val="18"/>
          <w:lang w:val="el-GR"/>
        </w:rPr>
        <w:t xml:space="preserve"> </w:t>
      </w:r>
      <w:r w:rsidR="00F3264C" w:rsidRPr="00CB38F0">
        <w:rPr>
          <w:rFonts w:ascii="Arial" w:hAnsi="Arial" w:cs="Arial"/>
          <w:sz w:val="18"/>
          <w:szCs w:val="18"/>
          <w:lang w:val="el-GR"/>
        </w:rPr>
        <w:t>γ</w:t>
      </w:r>
      <w:r w:rsidR="00F3264C" w:rsidRPr="00CB38F0">
        <w:rPr>
          <w:rFonts w:ascii="Arial" w:eastAsia="Times New Roman" w:hAnsi="Arial" w:cs="Arial"/>
          <w:sz w:val="18"/>
          <w:szCs w:val="16"/>
          <w:lang w:val="el-GR" w:eastAsia="el-GR"/>
        </w:rPr>
        <w:t>ια το</w:t>
      </w:r>
      <w:r w:rsidR="007E4D94" w:rsidRPr="00CB38F0">
        <w:rPr>
          <w:rFonts w:ascii="Arial" w:eastAsia="Times New Roman" w:hAnsi="Arial" w:cs="Arial"/>
          <w:sz w:val="18"/>
          <w:szCs w:val="16"/>
          <w:lang w:val="el-GR" w:eastAsia="el-GR"/>
        </w:rPr>
        <w:t xml:space="preserve"> </w:t>
      </w:r>
      <w:r w:rsidR="00C31E76" w:rsidRPr="00CB38F0">
        <w:rPr>
          <w:rFonts w:ascii="Arial" w:eastAsia="Times New Roman" w:hAnsi="Arial" w:cs="Arial"/>
          <w:sz w:val="18"/>
          <w:szCs w:val="16"/>
          <w:lang w:val="el-GR" w:eastAsia="el-GR"/>
        </w:rPr>
        <w:t>α’ εξάμηνο 2024 ανήλθαν σε €</w:t>
      </w:r>
      <w:r w:rsidR="003B65F4" w:rsidRPr="006A1797">
        <w:rPr>
          <w:rFonts w:ascii="Arial" w:hAnsi="Arial" w:cs="Arial"/>
          <w:sz w:val="18"/>
          <w:lang w:val="el-GR"/>
        </w:rPr>
        <w:t>25</w:t>
      </w:r>
      <w:r w:rsidR="003B65F4">
        <w:rPr>
          <w:rFonts w:ascii="Arial" w:hAnsi="Arial" w:cs="Arial"/>
          <w:sz w:val="18"/>
          <w:lang w:val="el-GR"/>
        </w:rPr>
        <w:t xml:space="preserve"> </w:t>
      </w:r>
      <w:r w:rsidR="00C31E76" w:rsidRPr="00CB38F0">
        <w:rPr>
          <w:rFonts w:ascii="Arial" w:eastAsia="Times New Roman" w:hAnsi="Arial" w:cs="Arial"/>
          <w:sz w:val="18"/>
          <w:szCs w:val="16"/>
          <w:lang w:val="el-GR" w:eastAsia="el-GR"/>
        </w:rPr>
        <w:t>εκατ., σε σύγκριση με €30 εκατ. για το α’ εξάμηνο 2023, μειωμένες</w:t>
      </w:r>
      <w:r w:rsidR="003B65F4">
        <w:rPr>
          <w:rFonts w:ascii="Arial" w:eastAsia="Times New Roman" w:hAnsi="Arial" w:cs="Arial"/>
          <w:sz w:val="18"/>
          <w:szCs w:val="16"/>
          <w:lang w:val="el-GR" w:eastAsia="el-GR"/>
        </w:rPr>
        <w:t xml:space="preserve"> </w:t>
      </w:r>
      <w:r w:rsidR="00C31E76" w:rsidRPr="00CB38F0">
        <w:rPr>
          <w:rFonts w:ascii="Arial" w:eastAsia="Times New Roman" w:hAnsi="Arial" w:cs="Arial"/>
          <w:sz w:val="18"/>
          <w:szCs w:val="16"/>
          <w:lang w:val="el-GR" w:eastAsia="el-GR"/>
        </w:rPr>
        <w:t xml:space="preserve">κατά </w:t>
      </w:r>
      <w:r w:rsidR="003B65F4" w:rsidRPr="006A1797">
        <w:rPr>
          <w:rFonts w:ascii="Arial" w:hAnsi="Arial" w:cs="Arial"/>
          <w:sz w:val="18"/>
          <w:lang w:val="el-GR"/>
        </w:rPr>
        <w:t>26</w:t>
      </w:r>
      <w:r w:rsidR="00C31E76" w:rsidRPr="00CB38F0">
        <w:rPr>
          <w:rFonts w:ascii="Arial" w:eastAsia="Times New Roman" w:hAnsi="Arial" w:cs="Arial"/>
          <w:sz w:val="18"/>
          <w:szCs w:val="16"/>
          <w:lang w:val="el-GR" w:eastAsia="el-GR"/>
        </w:rPr>
        <w:t>% σε ετήσια βάση, και αφορούν κυρίως</w:t>
      </w:r>
      <w:r w:rsidR="003B65F4">
        <w:rPr>
          <w:rFonts w:ascii="Arial" w:eastAsia="Times New Roman" w:hAnsi="Arial" w:cs="Arial"/>
          <w:sz w:val="18"/>
          <w:szCs w:val="16"/>
          <w:lang w:val="el-GR" w:eastAsia="el-GR"/>
        </w:rPr>
        <w:t xml:space="preserve"> τα</w:t>
      </w:r>
      <w:r w:rsidR="003B65F4" w:rsidRPr="00CB38F0">
        <w:rPr>
          <w:rFonts w:ascii="Arial" w:eastAsia="Times New Roman" w:hAnsi="Arial" w:cs="Arial"/>
          <w:sz w:val="18"/>
          <w:szCs w:val="16"/>
          <w:lang w:val="el-GR" w:eastAsia="el-GR"/>
        </w:rPr>
        <w:t xml:space="preserve"> </w:t>
      </w:r>
      <w:r w:rsidR="00247B5B">
        <w:rPr>
          <w:rFonts w:ascii="Arial" w:eastAsia="Times New Roman" w:hAnsi="Arial" w:cs="Arial"/>
          <w:sz w:val="18"/>
          <w:szCs w:val="16"/>
          <w:lang w:val="el-GR" w:eastAsia="el-GR"/>
        </w:rPr>
        <w:t>ακίνητα</w:t>
      </w:r>
      <w:r w:rsidR="003B65F4" w:rsidRPr="00CB38F0">
        <w:rPr>
          <w:rFonts w:ascii="Arial" w:eastAsia="Times New Roman" w:hAnsi="Arial" w:cs="Arial"/>
          <w:sz w:val="18"/>
          <w:szCs w:val="16"/>
          <w:lang w:val="el-GR" w:eastAsia="el-GR"/>
        </w:rPr>
        <w:t xml:space="preserve"> της ΔΔΑ</w:t>
      </w:r>
      <w:r w:rsidR="003B65F4">
        <w:rPr>
          <w:rFonts w:ascii="Arial" w:eastAsia="Times New Roman" w:hAnsi="Arial" w:cs="Arial"/>
          <w:sz w:val="18"/>
          <w:szCs w:val="16"/>
          <w:lang w:val="el-GR" w:eastAsia="el-GR"/>
        </w:rPr>
        <w:t xml:space="preserve">. </w:t>
      </w:r>
      <w:r w:rsidR="003B65F4" w:rsidRPr="006A1797">
        <w:rPr>
          <w:rFonts w:ascii="Arial" w:hAnsi="Arial" w:cs="Arial"/>
          <w:sz w:val="18"/>
          <w:szCs w:val="18"/>
          <w:lang w:val="el-GR"/>
        </w:rPr>
        <w:t>Οι απομειώσεις άλλων χρηματοοικονομικών και μη χρηματοοικονομικών περιουσιακών στοιχείων</w:t>
      </w:r>
      <w:r w:rsidR="003B65F4" w:rsidRPr="003B65F4">
        <w:rPr>
          <w:rFonts w:ascii="Arial" w:eastAsia="Times New Roman" w:hAnsi="Arial" w:cs="Arial"/>
          <w:sz w:val="18"/>
          <w:szCs w:val="16"/>
          <w:lang w:val="el-GR" w:eastAsia="el-GR"/>
        </w:rPr>
        <w:t xml:space="preserve"> </w:t>
      </w:r>
      <w:r w:rsidR="003B65F4">
        <w:rPr>
          <w:rFonts w:ascii="Arial" w:eastAsia="Times New Roman" w:hAnsi="Arial" w:cs="Arial"/>
          <w:sz w:val="18"/>
          <w:szCs w:val="16"/>
          <w:lang w:val="el-GR" w:eastAsia="el-GR"/>
        </w:rPr>
        <w:t>για</w:t>
      </w:r>
      <w:r w:rsidR="003B65F4" w:rsidRPr="00CB38F0">
        <w:rPr>
          <w:rFonts w:ascii="Arial" w:eastAsia="Times New Roman" w:hAnsi="Arial" w:cs="Arial"/>
          <w:sz w:val="18"/>
          <w:szCs w:val="16"/>
          <w:lang w:val="el-GR" w:eastAsia="el-GR"/>
        </w:rPr>
        <w:t xml:space="preserve"> το </w:t>
      </w:r>
      <w:r w:rsidR="003B65F4">
        <w:rPr>
          <w:rFonts w:ascii="Arial" w:eastAsia="Times New Roman" w:hAnsi="Arial" w:cs="Arial"/>
          <w:sz w:val="18"/>
          <w:szCs w:val="16"/>
          <w:lang w:val="el-GR" w:eastAsia="el-GR"/>
        </w:rPr>
        <w:t>β</w:t>
      </w:r>
      <w:r w:rsidR="003B65F4" w:rsidRPr="00CB38F0">
        <w:rPr>
          <w:rFonts w:ascii="Arial" w:eastAsia="Times New Roman" w:hAnsi="Arial" w:cs="Arial"/>
          <w:sz w:val="18"/>
          <w:szCs w:val="16"/>
          <w:lang w:val="el-GR" w:eastAsia="el-GR"/>
        </w:rPr>
        <w:t xml:space="preserve">’ </w:t>
      </w:r>
      <w:r w:rsidR="003B65F4">
        <w:rPr>
          <w:rFonts w:ascii="Arial" w:eastAsia="Times New Roman" w:hAnsi="Arial" w:cs="Arial"/>
          <w:sz w:val="18"/>
          <w:szCs w:val="16"/>
          <w:lang w:val="el-GR" w:eastAsia="el-GR"/>
        </w:rPr>
        <w:t>τρίμηνο</w:t>
      </w:r>
      <w:r w:rsidR="003B65F4" w:rsidRPr="00CB38F0">
        <w:rPr>
          <w:rFonts w:ascii="Arial" w:eastAsia="Times New Roman" w:hAnsi="Arial" w:cs="Arial"/>
          <w:sz w:val="18"/>
          <w:szCs w:val="16"/>
          <w:lang w:val="el-GR" w:eastAsia="el-GR"/>
        </w:rPr>
        <w:t xml:space="preserve"> 2024 ανήλθαν σε €</w:t>
      </w:r>
      <w:r w:rsidR="003B65F4" w:rsidRPr="006A1797">
        <w:rPr>
          <w:rFonts w:ascii="Arial" w:hAnsi="Arial" w:cs="Arial"/>
          <w:sz w:val="18"/>
          <w:lang w:val="el-GR"/>
        </w:rPr>
        <w:t xml:space="preserve">17 </w:t>
      </w:r>
      <w:r w:rsidR="003B65F4" w:rsidRPr="00CB38F0">
        <w:rPr>
          <w:rFonts w:ascii="Arial" w:eastAsia="Times New Roman" w:hAnsi="Arial" w:cs="Arial"/>
          <w:sz w:val="18"/>
          <w:szCs w:val="16"/>
          <w:lang w:val="el-GR" w:eastAsia="el-GR"/>
        </w:rPr>
        <w:t>εκατ., σε σύγκριση με €</w:t>
      </w:r>
      <w:r w:rsidR="003B65F4" w:rsidRPr="006A1797">
        <w:rPr>
          <w:rFonts w:ascii="Arial" w:hAnsi="Arial" w:cs="Arial"/>
          <w:sz w:val="18"/>
          <w:lang w:val="el-GR"/>
        </w:rPr>
        <w:t>8</w:t>
      </w:r>
      <w:r w:rsidR="003B65F4">
        <w:rPr>
          <w:rFonts w:ascii="Arial" w:hAnsi="Arial" w:cs="Arial"/>
          <w:sz w:val="18"/>
          <w:lang w:val="el-GR"/>
        </w:rPr>
        <w:t xml:space="preserve"> </w:t>
      </w:r>
      <w:r w:rsidR="003B65F4" w:rsidRPr="00CB38F0">
        <w:rPr>
          <w:rFonts w:ascii="Arial" w:eastAsia="Times New Roman" w:hAnsi="Arial" w:cs="Arial"/>
          <w:sz w:val="18"/>
          <w:szCs w:val="16"/>
          <w:lang w:val="el-GR" w:eastAsia="el-GR"/>
        </w:rPr>
        <w:t xml:space="preserve">εκατ. για το α’ </w:t>
      </w:r>
      <w:r w:rsidR="003B65F4">
        <w:rPr>
          <w:rFonts w:ascii="Arial" w:eastAsia="Times New Roman" w:hAnsi="Arial" w:cs="Arial"/>
          <w:sz w:val="18"/>
          <w:szCs w:val="16"/>
          <w:lang w:val="el-GR" w:eastAsia="el-GR"/>
        </w:rPr>
        <w:t>τρίμηνο</w:t>
      </w:r>
      <w:r w:rsidR="003B65F4" w:rsidRPr="00CB38F0">
        <w:rPr>
          <w:rFonts w:ascii="Arial" w:eastAsia="Times New Roman" w:hAnsi="Arial" w:cs="Arial"/>
          <w:sz w:val="18"/>
          <w:szCs w:val="16"/>
          <w:lang w:val="el-GR" w:eastAsia="el-GR"/>
        </w:rPr>
        <w:t xml:space="preserve"> </w:t>
      </w:r>
      <w:r w:rsidR="003B65F4">
        <w:rPr>
          <w:rFonts w:ascii="Arial" w:eastAsia="Times New Roman" w:hAnsi="Arial" w:cs="Arial"/>
          <w:sz w:val="18"/>
          <w:szCs w:val="16"/>
          <w:lang w:val="el-GR" w:eastAsia="el-GR"/>
        </w:rPr>
        <w:t>2024</w:t>
      </w:r>
      <w:r w:rsidR="003B65F4" w:rsidRPr="00CB38F0">
        <w:rPr>
          <w:rFonts w:ascii="Arial" w:eastAsia="Times New Roman" w:hAnsi="Arial" w:cs="Arial"/>
          <w:sz w:val="18"/>
          <w:szCs w:val="16"/>
          <w:lang w:val="el-GR" w:eastAsia="el-GR"/>
        </w:rPr>
        <w:t>, και αφορούν κυρίως</w:t>
      </w:r>
      <w:r w:rsidR="003B65F4">
        <w:rPr>
          <w:rFonts w:ascii="Arial" w:eastAsia="Times New Roman" w:hAnsi="Arial" w:cs="Arial"/>
          <w:sz w:val="18"/>
          <w:szCs w:val="16"/>
          <w:lang w:val="el-GR" w:eastAsia="el-GR"/>
        </w:rPr>
        <w:t xml:space="preserve"> </w:t>
      </w:r>
      <w:r w:rsidR="00C31E76" w:rsidRPr="00CB38F0">
        <w:rPr>
          <w:rFonts w:ascii="Arial" w:eastAsia="Times New Roman" w:hAnsi="Arial" w:cs="Arial"/>
          <w:sz w:val="18"/>
          <w:szCs w:val="16"/>
          <w:lang w:val="el-GR" w:eastAsia="el-GR"/>
        </w:rPr>
        <w:t>την παλαιότητα των ακινήτων της ΔΔΑ</w:t>
      </w:r>
      <w:r w:rsidR="003B65F4">
        <w:rPr>
          <w:rFonts w:ascii="Arial" w:eastAsia="Times New Roman" w:hAnsi="Arial" w:cs="Arial"/>
          <w:sz w:val="18"/>
          <w:szCs w:val="16"/>
          <w:lang w:val="el-GR" w:eastAsia="el-GR"/>
        </w:rPr>
        <w:t xml:space="preserve"> </w:t>
      </w:r>
      <w:r w:rsidR="00247B5B">
        <w:rPr>
          <w:rFonts w:ascii="Arial" w:eastAsia="Times New Roman" w:hAnsi="Arial" w:cs="Arial"/>
          <w:sz w:val="18"/>
          <w:szCs w:val="16"/>
          <w:lang w:val="el-GR" w:eastAsia="el-GR"/>
        </w:rPr>
        <w:t xml:space="preserve">καθώς και τις αυξημένες απομειώσεις </w:t>
      </w:r>
      <w:r w:rsidR="00247B5B" w:rsidRPr="00247B5B">
        <w:rPr>
          <w:rFonts w:ascii="Arial" w:eastAsia="Times New Roman" w:hAnsi="Arial" w:cs="Arial"/>
          <w:sz w:val="18"/>
          <w:szCs w:val="16"/>
          <w:lang w:val="el-GR" w:eastAsia="el-GR"/>
        </w:rPr>
        <w:t>σε συγκεκριμένα, μεγάλα, μη</w:t>
      </w:r>
      <w:r w:rsidR="00247B5B">
        <w:rPr>
          <w:rFonts w:ascii="Arial" w:eastAsia="Times New Roman" w:hAnsi="Arial" w:cs="Arial"/>
          <w:sz w:val="18"/>
          <w:szCs w:val="16"/>
          <w:lang w:val="el-GR" w:eastAsia="el-GR"/>
        </w:rPr>
        <w:t xml:space="preserve"> </w:t>
      </w:r>
      <w:r w:rsidR="00247B5B" w:rsidRPr="00247B5B">
        <w:rPr>
          <w:rFonts w:ascii="Arial" w:eastAsia="Times New Roman" w:hAnsi="Arial" w:cs="Arial"/>
          <w:sz w:val="18"/>
          <w:szCs w:val="16"/>
          <w:lang w:val="el-GR" w:eastAsia="el-GR"/>
        </w:rPr>
        <w:t>ρευστοποιήσιμα ακίνητα της ΔΔΑ</w:t>
      </w:r>
      <w:r w:rsidR="00247B5B">
        <w:rPr>
          <w:rFonts w:ascii="Arial" w:eastAsia="Times New Roman" w:hAnsi="Arial" w:cs="Arial"/>
          <w:sz w:val="18"/>
          <w:szCs w:val="16"/>
          <w:lang w:val="el-GR" w:eastAsia="el-GR"/>
        </w:rPr>
        <w:t>.</w:t>
      </w:r>
    </w:p>
    <w:p w14:paraId="05F06AEF" w14:textId="77777777" w:rsidR="00162C18" w:rsidRPr="00CB38F0" w:rsidRDefault="00162C18" w:rsidP="00F26350">
      <w:pPr>
        <w:spacing w:after="0" w:line="240" w:lineRule="auto"/>
        <w:jc w:val="both"/>
        <w:rPr>
          <w:rFonts w:ascii="Arial" w:eastAsia="Times New Roman" w:hAnsi="Arial" w:cs="Arial"/>
          <w:sz w:val="14"/>
          <w:szCs w:val="14"/>
          <w:lang w:val="el-GR" w:eastAsia="en-US"/>
        </w:rPr>
      </w:pPr>
    </w:p>
    <w:p w14:paraId="09A0DCCF" w14:textId="5CF16225" w:rsidR="00BB4BD1" w:rsidRPr="006A1797" w:rsidRDefault="00162C18" w:rsidP="00214588">
      <w:pPr>
        <w:spacing w:after="0" w:line="240" w:lineRule="auto"/>
        <w:jc w:val="both"/>
        <w:rPr>
          <w:rFonts w:ascii="Arial" w:hAnsi="Arial" w:cs="Arial"/>
          <w:sz w:val="18"/>
          <w:szCs w:val="18"/>
          <w:lang w:val="el-GR"/>
        </w:rPr>
      </w:pPr>
      <w:r w:rsidRPr="00BB4BD1">
        <w:rPr>
          <w:rFonts w:ascii="Arial" w:hAnsi="Arial" w:cs="Arial"/>
          <w:b/>
          <w:bCs/>
          <w:sz w:val="18"/>
          <w:szCs w:val="18"/>
          <w:lang w:val="el-GR" w:eastAsia="el-GR"/>
        </w:rPr>
        <w:t xml:space="preserve">Οι </w:t>
      </w:r>
      <w:r w:rsidR="00CA3F6F" w:rsidRPr="00BB4BD1">
        <w:rPr>
          <w:rFonts w:ascii="Arial" w:hAnsi="Arial" w:cs="Arial"/>
          <w:b/>
          <w:bCs/>
          <w:sz w:val="18"/>
          <w:szCs w:val="18"/>
          <w:lang w:val="el-GR" w:eastAsia="el-GR"/>
        </w:rPr>
        <w:t xml:space="preserve">προβλέψεις για επιδικίες, απαιτήσεις, κανονιστικά θέματα και άλλα θέματα (μετά από αναστροφές) </w:t>
      </w:r>
      <w:r w:rsidRPr="00BB4BD1">
        <w:rPr>
          <w:rFonts w:ascii="Arial" w:hAnsi="Arial" w:cs="Arial"/>
          <w:sz w:val="18"/>
          <w:szCs w:val="18"/>
          <w:lang w:val="el-GR"/>
        </w:rPr>
        <w:t>για το</w:t>
      </w:r>
      <w:r w:rsidR="00DA6014" w:rsidRPr="00BB4BD1">
        <w:rPr>
          <w:rFonts w:ascii="Arial" w:hAnsi="Arial" w:cs="Arial"/>
          <w:sz w:val="18"/>
          <w:szCs w:val="18"/>
          <w:lang w:val="el-GR"/>
        </w:rPr>
        <w:t xml:space="preserve"> </w:t>
      </w:r>
      <w:r w:rsidR="00C31E76" w:rsidRPr="00BB4BD1">
        <w:rPr>
          <w:rFonts w:ascii="Arial" w:hAnsi="Arial" w:cs="Arial"/>
          <w:sz w:val="18"/>
          <w:szCs w:val="18"/>
          <w:lang w:val="el-GR"/>
        </w:rPr>
        <w:t>α’ εξάμηνο 2024 ανήλθαν σε €</w:t>
      </w:r>
      <w:r w:rsidR="00247B5B" w:rsidRPr="006A1797">
        <w:rPr>
          <w:rFonts w:ascii="Arial" w:hAnsi="Arial" w:cs="Arial"/>
          <w:sz w:val="18"/>
          <w:szCs w:val="18"/>
          <w:lang w:val="el-GR"/>
        </w:rPr>
        <w:t>3</w:t>
      </w:r>
      <w:r w:rsidR="00247B5B" w:rsidRPr="00BB4BD1">
        <w:rPr>
          <w:rFonts w:ascii="Arial" w:hAnsi="Arial" w:cs="Arial"/>
          <w:sz w:val="18"/>
          <w:szCs w:val="18"/>
          <w:lang w:val="el-GR"/>
        </w:rPr>
        <w:t xml:space="preserve"> </w:t>
      </w:r>
      <w:r w:rsidR="00C31E76" w:rsidRPr="00BB4BD1">
        <w:rPr>
          <w:rFonts w:ascii="Arial" w:hAnsi="Arial" w:cs="Arial"/>
          <w:sz w:val="18"/>
          <w:szCs w:val="18"/>
          <w:lang w:val="el-GR"/>
        </w:rPr>
        <w:t>εκατ., σε σύγκριση με €14 εκατ. για το α’ εξάμηνο 2023</w:t>
      </w:r>
      <w:r w:rsidR="00247B5B" w:rsidRPr="00BB4BD1">
        <w:rPr>
          <w:rFonts w:ascii="Arial" w:hAnsi="Arial" w:cs="Arial"/>
          <w:sz w:val="18"/>
          <w:szCs w:val="18"/>
          <w:lang w:val="el-GR"/>
        </w:rPr>
        <w:t xml:space="preserve">. Οι </w:t>
      </w:r>
      <w:r w:rsidR="00214588" w:rsidRPr="00BB4BD1">
        <w:rPr>
          <w:rFonts w:ascii="Arial" w:hAnsi="Arial" w:cs="Arial"/>
          <w:sz w:val="18"/>
          <w:szCs w:val="18"/>
          <w:lang w:val="el-GR"/>
        </w:rPr>
        <w:t>προβλέψεις για επιδικίες, απαιτήσεις, κανονιστικά θέματα και άλλα θέματα (μετά από αναστροφές)</w:t>
      </w:r>
      <w:r w:rsidR="00BB4BD1" w:rsidRPr="006A1797">
        <w:rPr>
          <w:rFonts w:ascii="Arial" w:hAnsi="Arial" w:cs="Arial"/>
          <w:sz w:val="18"/>
          <w:szCs w:val="18"/>
          <w:lang w:val="el-GR"/>
        </w:rPr>
        <w:t xml:space="preserve"> ανήλθαν σε αναστροφή ύψους €7 εκατ.</w:t>
      </w:r>
      <w:r w:rsidR="00214588" w:rsidRPr="00BB4BD1">
        <w:rPr>
          <w:rFonts w:ascii="Arial" w:hAnsi="Arial" w:cs="Arial"/>
          <w:sz w:val="18"/>
          <w:szCs w:val="18"/>
          <w:lang w:val="el-GR"/>
        </w:rPr>
        <w:t xml:space="preserve"> για το β</w:t>
      </w:r>
      <w:r w:rsidR="00DA6014" w:rsidRPr="00BB4BD1">
        <w:rPr>
          <w:rFonts w:ascii="Arial" w:hAnsi="Arial" w:cs="Arial"/>
          <w:sz w:val="18"/>
          <w:szCs w:val="18"/>
          <w:lang w:val="el-GR"/>
        </w:rPr>
        <w:t>’ τρίμηνο 2024</w:t>
      </w:r>
      <w:r w:rsidR="00BB4BD1" w:rsidRPr="006A1797">
        <w:rPr>
          <w:rFonts w:ascii="Arial" w:hAnsi="Arial" w:cs="Arial"/>
          <w:sz w:val="18"/>
          <w:szCs w:val="18"/>
          <w:lang w:val="el-GR"/>
        </w:rPr>
        <w:t xml:space="preserve">, </w:t>
      </w:r>
      <w:r w:rsidRPr="00BB4BD1">
        <w:rPr>
          <w:rFonts w:ascii="Arial" w:hAnsi="Arial" w:cs="Arial"/>
          <w:sz w:val="18"/>
          <w:szCs w:val="18"/>
          <w:lang w:val="el-GR"/>
        </w:rPr>
        <w:t xml:space="preserve">σε σύγκριση με </w:t>
      </w:r>
      <w:r w:rsidR="00BB4BD1" w:rsidRPr="006A1797">
        <w:rPr>
          <w:rFonts w:ascii="Arial" w:hAnsi="Arial" w:cs="Arial"/>
          <w:sz w:val="18"/>
          <w:szCs w:val="18"/>
          <w:lang w:val="el-GR"/>
        </w:rPr>
        <w:t xml:space="preserve">πρόβλεψη ύψους </w:t>
      </w:r>
      <w:r w:rsidRPr="00BB4BD1">
        <w:rPr>
          <w:rFonts w:ascii="Arial" w:hAnsi="Arial" w:cs="Arial"/>
          <w:sz w:val="18"/>
          <w:szCs w:val="18"/>
          <w:lang w:val="el-GR"/>
        </w:rPr>
        <w:t>€</w:t>
      </w:r>
      <w:r w:rsidR="00214588" w:rsidRPr="00BB4BD1">
        <w:rPr>
          <w:rFonts w:ascii="Arial" w:hAnsi="Arial" w:cs="Arial"/>
          <w:sz w:val="18"/>
          <w:szCs w:val="18"/>
          <w:lang w:val="el-GR"/>
        </w:rPr>
        <w:t xml:space="preserve">10 </w:t>
      </w:r>
      <w:r w:rsidRPr="00BB4BD1">
        <w:rPr>
          <w:rFonts w:ascii="Arial" w:hAnsi="Arial" w:cs="Arial"/>
          <w:sz w:val="18"/>
          <w:szCs w:val="18"/>
          <w:lang w:val="el-GR"/>
        </w:rPr>
        <w:t xml:space="preserve">εκατ. </w:t>
      </w:r>
      <w:r w:rsidR="00553362" w:rsidRPr="00BB4BD1">
        <w:rPr>
          <w:rFonts w:ascii="Arial" w:hAnsi="Arial" w:cs="Arial"/>
          <w:sz w:val="18"/>
          <w:szCs w:val="18"/>
          <w:lang w:val="el-GR"/>
        </w:rPr>
        <w:t>για το</w:t>
      </w:r>
      <w:r w:rsidR="00DA6014" w:rsidRPr="00BB4BD1">
        <w:rPr>
          <w:rFonts w:ascii="Arial" w:hAnsi="Arial" w:cs="Arial"/>
          <w:sz w:val="18"/>
          <w:szCs w:val="18"/>
          <w:lang w:val="el-GR"/>
        </w:rPr>
        <w:t xml:space="preserve"> </w:t>
      </w:r>
      <w:r w:rsidR="00214588" w:rsidRPr="00BB4BD1">
        <w:rPr>
          <w:rFonts w:ascii="Arial" w:hAnsi="Arial" w:cs="Arial"/>
          <w:sz w:val="18"/>
          <w:szCs w:val="18"/>
          <w:lang w:val="el-GR"/>
        </w:rPr>
        <w:t xml:space="preserve">α’ </w:t>
      </w:r>
      <w:r w:rsidR="00DA6014" w:rsidRPr="00BB4BD1">
        <w:rPr>
          <w:rFonts w:ascii="Arial" w:hAnsi="Arial" w:cs="Arial"/>
          <w:sz w:val="18"/>
          <w:szCs w:val="18"/>
          <w:lang w:val="el-GR"/>
        </w:rPr>
        <w:t xml:space="preserve">τρίμηνο </w:t>
      </w:r>
      <w:r w:rsidR="00214588" w:rsidRPr="00BB4BD1">
        <w:rPr>
          <w:rFonts w:ascii="Arial" w:hAnsi="Arial" w:cs="Arial"/>
          <w:sz w:val="18"/>
          <w:szCs w:val="18"/>
          <w:lang w:val="el-GR"/>
        </w:rPr>
        <w:t>2024,</w:t>
      </w:r>
      <w:r w:rsidR="00BB4BD1" w:rsidRPr="006A1797">
        <w:rPr>
          <w:rFonts w:ascii="Arial" w:hAnsi="Arial" w:cs="Arial"/>
          <w:sz w:val="18"/>
          <w:szCs w:val="18"/>
          <w:lang w:val="el-GR"/>
        </w:rPr>
        <w:t xml:space="preserve"> και αφορούν κυρίως αναστροφή πρόβλεψης για απαίτηση μετά την ολοκλήρωση της έρευνας από την Επιτροπή Προστασίας του Ανταγωνισμού. </w:t>
      </w:r>
    </w:p>
    <w:p w14:paraId="54D2BCB4" w14:textId="77777777" w:rsidR="00214588" w:rsidRPr="00CB38F0" w:rsidRDefault="00214588" w:rsidP="00F26350">
      <w:pPr>
        <w:spacing w:after="0" w:line="240" w:lineRule="auto"/>
        <w:jc w:val="both"/>
        <w:rPr>
          <w:rFonts w:ascii="Arial" w:hAnsi="Arial" w:cs="Arial"/>
          <w:sz w:val="18"/>
          <w:szCs w:val="18"/>
          <w:lang w:val="el-GR"/>
        </w:rPr>
      </w:pPr>
    </w:p>
    <w:p w14:paraId="3B66B273" w14:textId="476AC688" w:rsidR="00C870C6" w:rsidRPr="00CB38F0" w:rsidRDefault="00853CEA" w:rsidP="00F26350">
      <w:pPr>
        <w:spacing w:after="0" w:line="240" w:lineRule="auto"/>
        <w:jc w:val="both"/>
        <w:rPr>
          <w:rFonts w:ascii="Arial" w:eastAsia="Times New Roman" w:hAnsi="Arial" w:cs="Arial"/>
          <w:bCs/>
          <w:sz w:val="18"/>
          <w:szCs w:val="20"/>
          <w:lang w:val="el-GR" w:eastAsia="el-GR"/>
        </w:rPr>
      </w:pPr>
      <w:r w:rsidRPr="00CB38F0">
        <w:rPr>
          <w:rFonts w:ascii="Arial" w:eastAsia="Times New Roman" w:hAnsi="Arial" w:cs="Arial"/>
          <w:b/>
          <w:sz w:val="18"/>
          <w:szCs w:val="20"/>
          <w:lang w:val="el-GR" w:eastAsia="el-GR"/>
        </w:rPr>
        <w:t>Τα κέρδη πριν τη φορολογία και μη-επαναλαμβανόμενα στοιχεία</w:t>
      </w:r>
      <w:r w:rsidRPr="00CB38F0">
        <w:rPr>
          <w:rFonts w:ascii="Arial" w:eastAsia="Times New Roman" w:hAnsi="Arial" w:cs="Arial"/>
          <w:bCs/>
          <w:sz w:val="18"/>
          <w:szCs w:val="20"/>
          <w:lang w:val="el-GR" w:eastAsia="el-GR"/>
        </w:rPr>
        <w:t xml:space="preserve"> </w:t>
      </w:r>
      <w:r w:rsidR="00980472" w:rsidRPr="00CB38F0">
        <w:rPr>
          <w:rFonts w:ascii="Arial" w:eastAsia="Times New Roman" w:hAnsi="Arial" w:cs="Arial"/>
          <w:bCs/>
          <w:sz w:val="18"/>
          <w:szCs w:val="20"/>
          <w:lang w:val="el-GR" w:eastAsia="el-GR"/>
        </w:rPr>
        <w:t>για το</w:t>
      </w:r>
      <w:r w:rsidR="00EA18ED" w:rsidRPr="00CB38F0">
        <w:rPr>
          <w:rFonts w:ascii="Arial" w:eastAsia="Times New Roman" w:hAnsi="Arial" w:cs="Arial"/>
          <w:bCs/>
          <w:sz w:val="18"/>
          <w:szCs w:val="20"/>
          <w:lang w:val="el-GR" w:eastAsia="el-GR"/>
        </w:rPr>
        <w:t xml:space="preserve"> α’ εξάμηνο 2024 ανήλθαν σε €</w:t>
      </w:r>
      <w:r w:rsidR="00247B5B" w:rsidRPr="006A1797">
        <w:rPr>
          <w:rFonts w:ascii="Arial" w:eastAsia="Times New Roman" w:hAnsi="Arial" w:cs="Arial"/>
          <w:bCs/>
          <w:sz w:val="18"/>
          <w:szCs w:val="20"/>
          <w:lang w:val="el-GR" w:eastAsia="el-GR"/>
        </w:rPr>
        <w:t xml:space="preserve">319 </w:t>
      </w:r>
      <w:r w:rsidR="00EA18ED" w:rsidRPr="00CB38F0">
        <w:rPr>
          <w:rFonts w:ascii="Arial" w:eastAsia="Times New Roman" w:hAnsi="Arial" w:cs="Arial"/>
          <w:bCs/>
          <w:sz w:val="18"/>
          <w:szCs w:val="20"/>
          <w:lang w:val="el-GR" w:eastAsia="el-GR"/>
        </w:rPr>
        <w:t>εκατ., σε σύγκριση με €263 εκατ. για το α΄ εξάμηνο 2023.</w:t>
      </w:r>
      <w:r w:rsidR="00EA18ED">
        <w:rPr>
          <w:rFonts w:ascii="Arial" w:eastAsia="Times New Roman" w:hAnsi="Arial" w:cs="Arial"/>
          <w:bCs/>
          <w:sz w:val="18"/>
          <w:szCs w:val="20"/>
          <w:lang w:val="el-GR" w:eastAsia="el-GR"/>
        </w:rPr>
        <w:t xml:space="preserve"> </w:t>
      </w:r>
      <w:r w:rsidR="00EA18ED" w:rsidRPr="00EA18ED">
        <w:rPr>
          <w:rFonts w:ascii="Arial" w:eastAsia="Times New Roman" w:hAnsi="Arial" w:cs="Arial"/>
          <w:bCs/>
          <w:sz w:val="18"/>
          <w:szCs w:val="20"/>
          <w:lang w:val="el-GR" w:eastAsia="el-GR"/>
        </w:rPr>
        <w:t>Τα κέρδη πριν τη φορολογία και μη-επαναλαμβανόμενα στοιχεία για το</w:t>
      </w:r>
      <w:r w:rsidR="00980472" w:rsidRPr="00CB38F0">
        <w:rPr>
          <w:rFonts w:ascii="Arial" w:eastAsia="Times New Roman" w:hAnsi="Arial" w:cs="Arial"/>
          <w:bCs/>
          <w:sz w:val="18"/>
          <w:szCs w:val="20"/>
          <w:lang w:val="el-GR" w:eastAsia="el-GR"/>
        </w:rPr>
        <w:t xml:space="preserve"> </w:t>
      </w:r>
      <w:r w:rsidR="00EA18ED" w:rsidRPr="00CB38F0">
        <w:rPr>
          <w:rFonts w:ascii="Arial" w:eastAsia="Times New Roman" w:hAnsi="Arial" w:cs="Arial"/>
          <w:bCs/>
          <w:sz w:val="18"/>
          <w:szCs w:val="20"/>
          <w:lang w:val="el-GR" w:eastAsia="el-GR"/>
        </w:rPr>
        <w:t xml:space="preserve">β’ </w:t>
      </w:r>
      <w:r w:rsidR="00980472" w:rsidRPr="00CB38F0">
        <w:rPr>
          <w:rFonts w:ascii="Arial" w:eastAsia="Times New Roman" w:hAnsi="Arial" w:cs="Arial"/>
          <w:bCs/>
          <w:sz w:val="18"/>
          <w:szCs w:val="20"/>
          <w:lang w:val="el-GR" w:eastAsia="el-GR"/>
        </w:rPr>
        <w:t xml:space="preserve">τρίμηνο 2024 </w:t>
      </w:r>
      <w:r w:rsidRPr="00CB38F0">
        <w:rPr>
          <w:rFonts w:ascii="Arial" w:eastAsia="Times New Roman" w:hAnsi="Arial" w:cs="Arial"/>
          <w:bCs/>
          <w:sz w:val="18"/>
          <w:szCs w:val="20"/>
          <w:lang w:val="el-GR" w:eastAsia="el-GR"/>
        </w:rPr>
        <w:t>ανήλθαν σε €</w:t>
      </w:r>
      <w:r w:rsidR="00247B5B" w:rsidRPr="006A1797">
        <w:rPr>
          <w:rFonts w:ascii="Arial" w:eastAsia="Times New Roman" w:hAnsi="Arial" w:cs="Arial"/>
          <w:bCs/>
          <w:sz w:val="18"/>
          <w:szCs w:val="20"/>
          <w:lang w:val="el-GR" w:eastAsia="el-GR"/>
        </w:rPr>
        <w:t xml:space="preserve">160 </w:t>
      </w:r>
      <w:r w:rsidRPr="00CB38F0">
        <w:rPr>
          <w:rFonts w:ascii="Arial" w:eastAsia="Times New Roman" w:hAnsi="Arial" w:cs="Arial"/>
          <w:bCs/>
          <w:sz w:val="18"/>
          <w:szCs w:val="20"/>
          <w:lang w:val="el-GR" w:eastAsia="el-GR"/>
        </w:rPr>
        <w:t>εκατ.,</w:t>
      </w:r>
      <w:r w:rsidR="00247B5B">
        <w:rPr>
          <w:rFonts w:ascii="Arial" w:eastAsia="Times New Roman" w:hAnsi="Arial" w:cs="Arial"/>
          <w:bCs/>
          <w:sz w:val="18"/>
          <w:szCs w:val="20"/>
          <w:lang w:val="el-GR" w:eastAsia="el-GR"/>
        </w:rPr>
        <w:t xml:space="preserve"> περίπου στα ίδια επίπεδα σε τριμηνιαία βάση. </w:t>
      </w:r>
    </w:p>
    <w:p w14:paraId="1AAE17F4" w14:textId="77777777" w:rsidR="002B45C7" w:rsidRPr="006B5511" w:rsidRDefault="002B45C7" w:rsidP="00F26350">
      <w:pPr>
        <w:spacing w:after="0" w:line="240" w:lineRule="auto"/>
        <w:jc w:val="both"/>
        <w:rPr>
          <w:rFonts w:ascii="Arial" w:eastAsia="Times New Roman" w:hAnsi="Arial" w:cs="Arial"/>
          <w:bCs/>
          <w:sz w:val="18"/>
          <w:szCs w:val="20"/>
          <w:highlight w:val="yellow"/>
          <w:lang w:val="el-GR" w:eastAsia="el-GR"/>
        </w:rPr>
      </w:pPr>
    </w:p>
    <w:p w14:paraId="0DA34A44" w14:textId="77777777" w:rsidR="00BB697F" w:rsidRPr="006B5511" w:rsidRDefault="00BB697F" w:rsidP="00F26350">
      <w:pPr>
        <w:spacing w:after="0" w:line="240" w:lineRule="auto"/>
        <w:jc w:val="both"/>
        <w:rPr>
          <w:rFonts w:ascii="Arial" w:eastAsia="Times New Roman" w:hAnsi="Arial" w:cs="Arial"/>
          <w:bCs/>
          <w:sz w:val="18"/>
          <w:szCs w:val="20"/>
          <w:highlight w:val="yellow"/>
          <w:lang w:val="el-GR" w:eastAsia="el-GR"/>
        </w:rPr>
      </w:pPr>
    </w:p>
    <w:p w14:paraId="0E3B8F3C" w14:textId="77777777" w:rsidR="00D022B5" w:rsidRDefault="00D022B5" w:rsidP="00262989">
      <w:pPr>
        <w:spacing w:after="0" w:line="240" w:lineRule="auto"/>
        <w:rPr>
          <w:rFonts w:ascii="Arial" w:hAnsi="Arial" w:cs="Arial"/>
          <w:b/>
          <w:bCs/>
          <w:color w:val="FF9900"/>
          <w:sz w:val="24"/>
          <w:szCs w:val="24"/>
          <w:lang w:val="el-GR"/>
        </w:rPr>
      </w:pPr>
    </w:p>
    <w:p w14:paraId="39442981" w14:textId="5647740A" w:rsidR="00FE42B7" w:rsidRPr="00CB38F0" w:rsidRDefault="00214588" w:rsidP="00262989">
      <w:pPr>
        <w:spacing w:after="0" w:line="240" w:lineRule="auto"/>
        <w:rPr>
          <w:rFonts w:ascii="Arial" w:hAnsi="Arial" w:cs="Arial"/>
          <w:color w:val="FF9900"/>
          <w:sz w:val="24"/>
          <w:szCs w:val="24"/>
          <w:lang w:val="el-GR"/>
        </w:rPr>
      </w:pPr>
      <w:r w:rsidRPr="00CB38F0">
        <w:rPr>
          <w:rFonts w:ascii="Arial" w:hAnsi="Arial" w:cs="Arial"/>
          <w:b/>
          <w:bCs/>
          <w:color w:val="FF9900"/>
          <w:sz w:val="24"/>
          <w:szCs w:val="24"/>
          <w:lang w:val="el-GR"/>
        </w:rPr>
        <w:lastRenderedPageBreak/>
        <w:t>Β</w:t>
      </w:r>
      <w:r w:rsidR="00303CCC" w:rsidRPr="00CB38F0">
        <w:rPr>
          <w:rFonts w:ascii="Arial" w:hAnsi="Arial" w:cs="Arial"/>
          <w:b/>
          <w:bCs/>
          <w:color w:val="FF9900"/>
          <w:sz w:val="24"/>
          <w:szCs w:val="24"/>
          <w:lang w:val="el-GR"/>
        </w:rPr>
        <w:t>.</w:t>
      </w:r>
      <w:r w:rsidR="00C810D5" w:rsidRPr="00CB38F0">
        <w:rPr>
          <w:rFonts w:ascii="Arial" w:hAnsi="Arial" w:cs="Arial"/>
          <w:b/>
          <w:bCs/>
          <w:color w:val="FF9900"/>
          <w:sz w:val="24"/>
          <w:szCs w:val="24"/>
          <w:lang w:val="el-GR"/>
        </w:rPr>
        <w:t xml:space="preserve"> </w:t>
      </w:r>
      <w:r w:rsidR="00303CCC" w:rsidRPr="00CB38F0">
        <w:rPr>
          <w:rFonts w:ascii="Arial" w:hAnsi="Arial" w:cs="Arial"/>
          <w:b/>
          <w:bCs/>
          <w:color w:val="FF9900"/>
          <w:sz w:val="24"/>
          <w:szCs w:val="24"/>
          <w:lang w:val="el-GR"/>
        </w:rPr>
        <w:t xml:space="preserve">Οικονομικά Αποτελέσματα Συγκροτήματος – Υποκείμενη Βάση </w:t>
      </w:r>
      <w:r w:rsidR="00303CCC" w:rsidRPr="00CB38F0">
        <w:rPr>
          <w:rFonts w:ascii="Arial" w:hAnsi="Arial" w:cs="Arial"/>
          <w:color w:val="FF9900"/>
          <w:sz w:val="24"/>
          <w:szCs w:val="24"/>
          <w:lang w:val="el-GR"/>
        </w:rPr>
        <w:t>(συνέχεια)</w:t>
      </w:r>
    </w:p>
    <w:p w14:paraId="58988D4A" w14:textId="77777777" w:rsidR="00262989" w:rsidRPr="00CB38F0" w:rsidRDefault="00262989" w:rsidP="00262989">
      <w:pPr>
        <w:spacing w:after="0" w:line="240" w:lineRule="auto"/>
        <w:rPr>
          <w:rFonts w:ascii="Arial" w:hAnsi="Arial" w:cs="Arial"/>
          <w:b/>
          <w:bCs/>
          <w:color w:val="FF9900"/>
          <w:sz w:val="24"/>
          <w:szCs w:val="24"/>
          <w:lang w:val="el-GR"/>
        </w:rPr>
      </w:pPr>
    </w:p>
    <w:p w14:paraId="047D8A3C" w14:textId="47142381" w:rsidR="00303CCC" w:rsidRPr="00CB38F0" w:rsidRDefault="00214588">
      <w:pPr>
        <w:spacing w:after="0" w:line="360" w:lineRule="auto"/>
        <w:ind w:left="851" w:hanging="851"/>
        <w:rPr>
          <w:rFonts w:ascii="Arial" w:hAnsi="Arial" w:cs="Arial"/>
          <w:b/>
          <w:bCs/>
          <w:color w:val="FF9900"/>
          <w:sz w:val="24"/>
          <w:szCs w:val="24"/>
          <w:lang w:val="el-GR"/>
        </w:rPr>
      </w:pPr>
      <w:r w:rsidRPr="00CB38F0">
        <w:rPr>
          <w:rFonts w:ascii="Arial" w:hAnsi="Arial" w:cs="Arial"/>
          <w:b/>
          <w:bCs/>
          <w:color w:val="FF9900"/>
          <w:sz w:val="24"/>
          <w:szCs w:val="24"/>
          <w:lang w:val="el-GR"/>
        </w:rPr>
        <w:t>Β</w:t>
      </w:r>
      <w:r w:rsidR="008D11CA" w:rsidRPr="00CB38F0">
        <w:rPr>
          <w:rFonts w:ascii="Arial" w:hAnsi="Arial" w:cs="Arial"/>
          <w:b/>
          <w:bCs/>
          <w:color w:val="FF9900"/>
          <w:sz w:val="24"/>
          <w:szCs w:val="24"/>
          <w:lang w:val="el-GR"/>
        </w:rPr>
        <w:t>.</w:t>
      </w:r>
      <w:r w:rsidR="00581640" w:rsidRPr="00CB38F0">
        <w:rPr>
          <w:rFonts w:ascii="Arial" w:hAnsi="Arial" w:cs="Arial"/>
          <w:b/>
          <w:bCs/>
          <w:color w:val="FF9900"/>
          <w:sz w:val="24"/>
          <w:szCs w:val="24"/>
          <w:lang w:val="el-GR"/>
        </w:rPr>
        <w:t>3</w:t>
      </w:r>
      <w:r w:rsidR="00B21AA4" w:rsidRPr="00CB38F0">
        <w:rPr>
          <w:rFonts w:ascii="Arial" w:hAnsi="Arial" w:cs="Arial"/>
          <w:b/>
          <w:bCs/>
          <w:color w:val="FF9900"/>
          <w:sz w:val="24"/>
          <w:szCs w:val="24"/>
          <w:lang w:val="el-GR"/>
        </w:rPr>
        <w:t>.</w:t>
      </w:r>
      <w:r w:rsidR="00303CCC" w:rsidRPr="00CB38F0">
        <w:rPr>
          <w:rFonts w:ascii="Arial" w:hAnsi="Arial" w:cs="Arial"/>
          <w:b/>
          <w:bCs/>
          <w:color w:val="FF9900"/>
          <w:sz w:val="24"/>
          <w:szCs w:val="24"/>
          <w:lang w:val="el-GR"/>
        </w:rPr>
        <w:t xml:space="preserve"> Ανάλυση Κατάστασης Λογαριασμού Αποτελεσμάτων (συνέχεια)</w:t>
      </w:r>
    </w:p>
    <w:p w14:paraId="592416D2" w14:textId="6AA2D37E" w:rsidR="00BC4C32" w:rsidRPr="00CB38F0" w:rsidRDefault="00214588">
      <w:pPr>
        <w:spacing w:after="0" w:line="360" w:lineRule="auto"/>
        <w:ind w:left="851" w:hanging="851"/>
        <w:rPr>
          <w:rFonts w:ascii="Arial" w:hAnsi="Arial" w:cs="Arial"/>
          <w:b/>
          <w:bCs/>
          <w:color w:val="FF9900"/>
          <w:sz w:val="24"/>
          <w:szCs w:val="24"/>
          <w:lang w:val="el-GR"/>
        </w:rPr>
      </w:pPr>
      <w:r w:rsidRPr="00CB38F0">
        <w:rPr>
          <w:rFonts w:ascii="Arial" w:hAnsi="Arial" w:cs="Arial"/>
          <w:b/>
          <w:bCs/>
          <w:color w:val="FF9900"/>
          <w:sz w:val="24"/>
          <w:szCs w:val="24"/>
          <w:lang w:val="el-GR"/>
        </w:rPr>
        <w:t>Β</w:t>
      </w:r>
      <w:r w:rsidR="008D11CA" w:rsidRPr="00CB38F0">
        <w:rPr>
          <w:rFonts w:ascii="Arial" w:hAnsi="Arial" w:cs="Arial"/>
          <w:b/>
          <w:bCs/>
          <w:color w:val="FF9900"/>
          <w:sz w:val="24"/>
          <w:szCs w:val="24"/>
          <w:lang w:val="el-GR"/>
        </w:rPr>
        <w:t>.</w:t>
      </w:r>
      <w:r w:rsidR="00581640" w:rsidRPr="00CB38F0">
        <w:rPr>
          <w:rFonts w:ascii="Arial" w:hAnsi="Arial" w:cs="Arial"/>
          <w:b/>
          <w:bCs/>
          <w:color w:val="FF9900"/>
          <w:sz w:val="24"/>
          <w:szCs w:val="24"/>
          <w:lang w:val="el-GR"/>
        </w:rPr>
        <w:t>3</w:t>
      </w:r>
      <w:r w:rsidR="00B21AA4" w:rsidRPr="00CB38F0">
        <w:rPr>
          <w:rFonts w:ascii="Arial" w:hAnsi="Arial" w:cs="Arial"/>
          <w:b/>
          <w:bCs/>
          <w:color w:val="FF9900"/>
          <w:sz w:val="24"/>
          <w:szCs w:val="24"/>
          <w:lang w:val="el-GR"/>
        </w:rPr>
        <w:t>.4</w:t>
      </w:r>
      <w:r w:rsidR="00BC4C32" w:rsidRPr="00CB38F0">
        <w:rPr>
          <w:rFonts w:ascii="Arial" w:hAnsi="Arial" w:cs="Arial"/>
          <w:b/>
          <w:bCs/>
          <w:color w:val="FF9900"/>
          <w:sz w:val="24"/>
          <w:szCs w:val="24"/>
          <w:lang w:val="el-GR"/>
        </w:rPr>
        <w:t xml:space="preserve"> Κέρδη</w:t>
      </w:r>
      <w:r w:rsidR="00BC4C32" w:rsidRPr="00CB38F0" w:rsidDel="006331C1">
        <w:rPr>
          <w:rFonts w:ascii="Arial" w:hAnsi="Arial" w:cs="Arial"/>
          <w:b/>
          <w:bCs/>
          <w:color w:val="FF9900"/>
          <w:sz w:val="24"/>
          <w:szCs w:val="24"/>
          <w:lang w:val="el-GR"/>
        </w:rPr>
        <w:t xml:space="preserve"> </w:t>
      </w:r>
      <w:r w:rsidR="00BC4C32" w:rsidRPr="00CB38F0">
        <w:rPr>
          <w:rFonts w:ascii="Arial" w:hAnsi="Arial" w:cs="Arial"/>
          <w:b/>
          <w:bCs/>
          <w:color w:val="FF9900"/>
          <w:sz w:val="24"/>
          <w:szCs w:val="24"/>
          <w:lang w:val="el-GR"/>
        </w:rPr>
        <w:t xml:space="preserve">μετά τη φορολογία (που αναλογούν στους ιδιοκτήτες της Εταιρίας) </w:t>
      </w:r>
      <w:r w:rsidR="00BC4C32" w:rsidRPr="00CB38F0" w:rsidDel="00B60973">
        <w:rPr>
          <w:rFonts w:ascii="Arial" w:hAnsi="Arial" w:cs="Arial"/>
          <w:b/>
          <w:bCs/>
          <w:color w:val="FF9900"/>
          <w:sz w:val="24"/>
          <w:szCs w:val="24"/>
          <w:lang w:val="el-GR"/>
        </w:rPr>
        <w:t xml:space="preserve"> </w:t>
      </w:r>
    </w:p>
    <w:tbl>
      <w:tblPr>
        <w:tblW w:w="5188" w:type="pct"/>
        <w:jc w:val="center"/>
        <w:tblLayout w:type="fixed"/>
        <w:tblCellMar>
          <w:left w:w="40" w:type="dxa"/>
          <w:right w:w="40" w:type="dxa"/>
        </w:tblCellMar>
        <w:tblLook w:val="0000" w:firstRow="0" w:lastRow="0" w:firstColumn="0" w:lastColumn="0" w:noHBand="0" w:noVBand="0"/>
      </w:tblPr>
      <w:tblGrid>
        <w:gridCol w:w="3747"/>
        <w:gridCol w:w="1047"/>
        <w:gridCol w:w="1047"/>
        <w:gridCol w:w="1053"/>
        <w:gridCol w:w="1053"/>
        <w:gridCol w:w="1053"/>
        <w:gridCol w:w="1049"/>
      </w:tblGrid>
      <w:tr w:rsidR="00A93643" w:rsidRPr="006B5511" w14:paraId="076F6AAF" w14:textId="77777777" w:rsidTr="00CB38F0">
        <w:trPr>
          <w:trHeight w:val="330"/>
          <w:jc w:val="center"/>
        </w:trPr>
        <w:tc>
          <w:tcPr>
            <w:tcW w:w="1864" w:type="pct"/>
            <w:tcBorders>
              <w:top w:val="single" w:sz="4" w:space="0" w:color="BFBFBF" w:themeColor="background1" w:themeShade="BF"/>
              <w:left w:val="single" w:sz="4" w:space="0" w:color="808080" w:themeColor="background1" w:themeShade="80"/>
              <w:bottom w:val="single" w:sz="4" w:space="0" w:color="808080" w:themeColor="background1" w:themeShade="80"/>
            </w:tcBorders>
            <w:vAlign w:val="center"/>
          </w:tcPr>
          <w:p w14:paraId="45EE13E6" w14:textId="1E71086A" w:rsidR="00A93643" w:rsidRPr="00CB38F0" w:rsidRDefault="00A93643" w:rsidP="00A93643">
            <w:pPr>
              <w:tabs>
                <w:tab w:val="left" w:pos="0"/>
                <w:tab w:val="left" w:pos="1416"/>
                <w:tab w:val="decimal" w:pos="4962"/>
                <w:tab w:val="decimal" w:pos="6521"/>
                <w:tab w:val="right" w:pos="7560"/>
                <w:tab w:val="decimal" w:pos="8220"/>
                <w:tab w:val="left" w:pos="8640"/>
                <w:tab w:val="right" w:pos="9000"/>
              </w:tabs>
              <w:suppressAutoHyphens/>
              <w:spacing w:before="60" w:after="0"/>
              <w:ind w:right="23"/>
              <w:rPr>
                <w:rFonts w:ascii="Arial" w:eastAsia="Times New Roman" w:hAnsi="Arial" w:cs="Arial"/>
                <w:b/>
                <w:bCs/>
                <w:sz w:val="16"/>
                <w:szCs w:val="16"/>
                <w:lang w:eastAsia="el-GR"/>
              </w:rPr>
            </w:pPr>
            <w:r w:rsidRPr="00CB38F0">
              <w:rPr>
                <w:rFonts w:ascii="Arial" w:eastAsia="Times New Roman" w:hAnsi="Arial" w:cs="Arial"/>
                <w:b/>
                <w:sz w:val="16"/>
                <w:szCs w:val="16"/>
                <w:lang w:eastAsia="el-GR"/>
              </w:rPr>
              <w:t xml:space="preserve">€ </w:t>
            </w:r>
            <w:r w:rsidRPr="00CB38F0">
              <w:rPr>
                <w:rFonts w:ascii="Arial" w:eastAsia="Times New Roman" w:hAnsi="Arial" w:cs="Arial"/>
                <w:b/>
                <w:sz w:val="16"/>
                <w:szCs w:val="16"/>
                <w:lang w:val="el-GR" w:eastAsia="el-GR"/>
              </w:rPr>
              <w:t>εκατ.</w:t>
            </w:r>
          </w:p>
        </w:tc>
        <w:tc>
          <w:tcPr>
            <w:tcW w:w="521" w:type="pct"/>
            <w:tcBorders>
              <w:top w:val="single" w:sz="4" w:space="0" w:color="BFBFBF" w:themeColor="background1" w:themeShade="BF"/>
              <w:bottom w:val="single" w:sz="4" w:space="0" w:color="808080" w:themeColor="background1" w:themeShade="80"/>
            </w:tcBorders>
            <w:vAlign w:val="center"/>
          </w:tcPr>
          <w:p w14:paraId="0BD43EFB" w14:textId="77777777" w:rsidR="00A93643" w:rsidRPr="00A30D62" w:rsidRDefault="00A93643" w:rsidP="00A93643">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lang w:val="el-GR" w:eastAsia="el-GR"/>
              </w:rPr>
            </w:pPr>
            <w:r w:rsidRPr="00A30D62">
              <w:rPr>
                <w:rFonts w:ascii="Arial" w:eastAsia="Times New Roman" w:hAnsi="Arial" w:cs="Arial"/>
                <w:b/>
                <w:bCs/>
                <w:sz w:val="18"/>
                <w:szCs w:val="18"/>
                <w:lang w:val="el-GR" w:eastAsia="el-GR"/>
              </w:rPr>
              <w:t>Α’</w:t>
            </w:r>
          </w:p>
          <w:p w14:paraId="4E6EED9D" w14:textId="6880D77B" w:rsidR="00A93643" w:rsidRPr="006B5511" w:rsidRDefault="00A93643" w:rsidP="00A93643">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6"/>
                <w:szCs w:val="16"/>
                <w:highlight w:val="yellow"/>
                <w:lang w:val="el-GR" w:eastAsia="el-GR"/>
              </w:rPr>
            </w:pPr>
            <w:r w:rsidRPr="00A30D62">
              <w:rPr>
                <w:rFonts w:ascii="Arial" w:eastAsia="Times New Roman" w:hAnsi="Arial" w:cs="Arial"/>
                <w:b/>
                <w:bCs/>
                <w:sz w:val="18"/>
                <w:szCs w:val="18"/>
                <w:lang w:val="el-GR" w:eastAsia="el-GR"/>
              </w:rPr>
              <w:t>εξάμηνο 2024</w:t>
            </w:r>
          </w:p>
        </w:tc>
        <w:tc>
          <w:tcPr>
            <w:tcW w:w="521" w:type="pct"/>
            <w:tcBorders>
              <w:top w:val="single" w:sz="4" w:space="0" w:color="BFBFBF" w:themeColor="background1" w:themeShade="BF"/>
              <w:bottom w:val="single" w:sz="4" w:space="0" w:color="808080" w:themeColor="background1" w:themeShade="80"/>
            </w:tcBorders>
            <w:vAlign w:val="center"/>
          </w:tcPr>
          <w:p w14:paraId="4DEC5E6C" w14:textId="77777777" w:rsidR="00A93643" w:rsidRPr="00A30D62" w:rsidRDefault="00A93643" w:rsidP="00A93643">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lang w:val="el-GR" w:eastAsia="el-GR"/>
              </w:rPr>
            </w:pPr>
            <w:r w:rsidRPr="00A30D62">
              <w:rPr>
                <w:rFonts w:ascii="Arial" w:eastAsia="Times New Roman" w:hAnsi="Arial" w:cs="Arial"/>
                <w:b/>
                <w:bCs/>
                <w:sz w:val="18"/>
                <w:szCs w:val="18"/>
                <w:lang w:val="el-GR" w:eastAsia="el-GR"/>
              </w:rPr>
              <w:t>Α’</w:t>
            </w:r>
          </w:p>
          <w:p w14:paraId="597E3DDD" w14:textId="622F514A" w:rsidR="00A93643" w:rsidRPr="006B5511" w:rsidRDefault="00A93643" w:rsidP="00A93643">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6"/>
                <w:szCs w:val="16"/>
                <w:highlight w:val="yellow"/>
                <w:lang w:val="el-GR" w:eastAsia="el-GR"/>
              </w:rPr>
            </w:pPr>
            <w:r w:rsidRPr="00A30D62">
              <w:rPr>
                <w:rFonts w:ascii="Arial" w:eastAsia="Times New Roman" w:hAnsi="Arial" w:cs="Arial"/>
                <w:b/>
                <w:bCs/>
                <w:sz w:val="18"/>
                <w:szCs w:val="18"/>
                <w:lang w:val="el-GR" w:eastAsia="el-GR"/>
              </w:rPr>
              <w:t>εξάμηνο 2023</w:t>
            </w:r>
          </w:p>
        </w:tc>
        <w:tc>
          <w:tcPr>
            <w:tcW w:w="524" w:type="pct"/>
            <w:tcBorders>
              <w:top w:val="single" w:sz="4" w:space="0" w:color="BFBFBF" w:themeColor="background1" w:themeShade="BF"/>
              <w:bottom w:val="single" w:sz="4" w:space="0" w:color="808080" w:themeColor="background1" w:themeShade="80"/>
            </w:tcBorders>
            <w:vAlign w:val="center"/>
          </w:tcPr>
          <w:p w14:paraId="00F2131C" w14:textId="77777777" w:rsidR="00A93643" w:rsidRPr="00A30D62" w:rsidRDefault="00A93643" w:rsidP="00A93643">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lang w:val="el-GR" w:eastAsia="el-GR"/>
              </w:rPr>
            </w:pPr>
            <w:r w:rsidRPr="00A30D62">
              <w:rPr>
                <w:rFonts w:ascii="Arial" w:eastAsia="Times New Roman" w:hAnsi="Arial" w:cs="Arial"/>
                <w:b/>
                <w:bCs/>
                <w:sz w:val="18"/>
                <w:szCs w:val="18"/>
                <w:lang w:val="el-GR" w:eastAsia="el-GR"/>
              </w:rPr>
              <w:t>Β’</w:t>
            </w:r>
          </w:p>
          <w:p w14:paraId="6F01B3EE" w14:textId="4A71CA44" w:rsidR="00A93643" w:rsidRPr="006B5511" w:rsidRDefault="00A93643" w:rsidP="00A93643">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6"/>
                <w:szCs w:val="16"/>
                <w:highlight w:val="yellow"/>
                <w:lang w:val="el-GR" w:eastAsia="el-GR"/>
              </w:rPr>
            </w:pPr>
            <w:r w:rsidRPr="00A30D62">
              <w:rPr>
                <w:rFonts w:ascii="Arial" w:eastAsia="Times New Roman" w:hAnsi="Arial" w:cs="Arial"/>
                <w:b/>
                <w:bCs/>
                <w:sz w:val="18"/>
                <w:szCs w:val="18"/>
                <w:lang w:val="el-GR" w:eastAsia="el-GR"/>
              </w:rPr>
              <w:t>τρίμηνο 2024</w:t>
            </w:r>
          </w:p>
        </w:tc>
        <w:tc>
          <w:tcPr>
            <w:tcW w:w="524" w:type="pct"/>
            <w:tcBorders>
              <w:top w:val="single" w:sz="4" w:space="0" w:color="BFBFBF" w:themeColor="background1" w:themeShade="BF"/>
              <w:bottom w:val="single" w:sz="4" w:space="0" w:color="808080" w:themeColor="background1" w:themeShade="80"/>
            </w:tcBorders>
            <w:vAlign w:val="center"/>
          </w:tcPr>
          <w:p w14:paraId="6DAF88F0" w14:textId="77777777" w:rsidR="00A93643" w:rsidRPr="00A30D62" w:rsidRDefault="00A93643" w:rsidP="00A93643">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lang w:val="el-GR" w:eastAsia="el-GR"/>
              </w:rPr>
            </w:pPr>
            <w:r w:rsidRPr="00A30D62">
              <w:rPr>
                <w:rFonts w:ascii="Arial" w:eastAsia="Times New Roman" w:hAnsi="Arial" w:cs="Arial"/>
                <w:b/>
                <w:bCs/>
                <w:sz w:val="18"/>
                <w:szCs w:val="18"/>
                <w:lang w:val="el-GR" w:eastAsia="el-GR"/>
              </w:rPr>
              <w:t>Α’</w:t>
            </w:r>
          </w:p>
          <w:p w14:paraId="23A88B26" w14:textId="31BB19FA" w:rsidR="00A93643" w:rsidRPr="006B5511" w:rsidRDefault="00A93643" w:rsidP="00A93643">
            <w:pPr>
              <w:tabs>
                <w:tab w:val="left" w:pos="0"/>
                <w:tab w:val="left" w:pos="1416"/>
                <w:tab w:val="decimal" w:pos="4962"/>
                <w:tab w:val="decimal" w:pos="6521"/>
                <w:tab w:val="right" w:pos="7560"/>
                <w:tab w:val="decimal" w:pos="8220"/>
                <w:tab w:val="left" w:pos="8640"/>
                <w:tab w:val="right" w:pos="9000"/>
              </w:tabs>
              <w:suppressAutoHyphens/>
              <w:spacing w:afterLines="20" w:after="48"/>
              <w:ind w:right="23"/>
              <w:jc w:val="center"/>
              <w:rPr>
                <w:rFonts w:ascii="Arial" w:eastAsia="Times New Roman" w:hAnsi="Arial" w:cs="Arial"/>
                <w:bCs/>
                <w:sz w:val="16"/>
                <w:szCs w:val="16"/>
                <w:highlight w:val="yellow"/>
                <w:lang w:val="el-GR" w:eastAsia="el-GR"/>
              </w:rPr>
            </w:pPr>
            <w:r w:rsidRPr="00A30D62">
              <w:rPr>
                <w:rFonts w:ascii="Arial" w:eastAsia="Times New Roman" w:hAnsi="Arial" w:cs="Arial"/>
                <w:b/>
                <w:bCs/>
                <w:sz w:val="18"/>
                <w:szCs w:val="18"/>
                <w:lang w:val="el-GR" w:eastAsia="el-GR"/>
              </w:rPr>
              <w:t>τρίμηνο 2024</w:t>
            </w:r>
          </w:p>
        </w:tc>
        <w:tc>
          <w:tcPr>
            <w:tcW w:w="524" w:type="pct"/>
            <w:tcBorders>
              <w:top w:val="single" w:sz="4" w:space="0" w:color="BFBFBF" w:themeColor="background1" w:themeShade="BF"/>
              <w:bottom w:val="single" w:sz="4" w:space="0" w:color="808080" w:themeColor="background1" w:themeShade="80"/>
            </w:tcBorders>
            <w:vAlign w:val="center"/>
          </w:tcPr>
          <w:p w14:paraId="264C7B19" w14:textId="77777777" w:rsidR="00A93643" w:rsidRPr="00A30D62" w:rsidRDefault="00A93643" w:rsidP="00A93643">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8"/>
                <w:szCs w:val="18"/>
                <w:lang w:val="el-GR" w:eastAsia="el-GR"/>
              </w:rPr>
            </w:pPr>
            <w:r w:rsidRPr="00A30D62">
              <w:rPr>
                <w:rFonts w:ascii="Arial" w:eastAsia="Times New Roman" w:hAnsi="Arial" w:cs="Arial"/>
                <w:bCs/>
                <w:sz w:val="18"/>
                <w:szCs w:val="18"/>
                <w:lang w:val="el-GR" w:eastAsia="el-GR"/>
              </w:rPr>
              <w:t>Τριμηνιαία μεταβολή</w:t>
            </w:r>
          </w:p>
          <w:p w14:paraId="59B51C60" w14:textId="712CE634" w:rsidR="00A93643" w:rsidRPr="006B5511" w:rsidRDefault="00A93643" w:rsidP="00A93643">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6"/>
                <w:szCs w:val="16"/>
                <w:highlight w:val="yellow"/>
                <w:lang w:val="el-GR" w:eastAsia="el-GR"/>
              </w:rPr>
            </w:pPr>
            <w:r w:rsidRPr="00A30D62">
              <w:rPr>
                <w:rFonts w:ascii="Arial" w:eastAsia="Times New Roman" w:hAnsi="Arial" w:cs="Arial"/>
                <w:bCs/>
                <w:sz w:val="18"/>
                <w:szCs w:val="18"/>
                <w:u w:val="single"/>
                <w:lang w:val="el-GR" w:eastAsia="el-GR"/>
              </w:rPr>
              <w:t>+</w:t>
            </w:r>
            <w:r w:rsidRPr="00A30D62">
              <w:rPr>
                <w:rFonts w:ascii="Arial" w:eastAsia="Times New Roman" w:hAnsi="Arial" w:cs="Arial"/>
                <w:bCs/>
                <w:sz w:val="18"/>
                <w:szCs w:val="18"/>
                <w:lang w:val="el-GR" w:eastAsia="el-GR"/>
              </w:rPr>
              <w:t>%</w:t>
            </w:r>
          </w:p>
        </w:tc>
        <w:tc>
          <w:tcPr>
            <w:tcW w:w="522" w:type="pct"/>
            <w:tcBorders>
              <w:top w:val="single" w:sz="4" w:space="0" w:color="BFBFBF" w:themeColor="background1" w:themeShade="BF"/>
              <w:bottom w:val="single" w:sz="4" w:space="0" w:color="808080" w:themeColor="background1" w:themeShade="80"/>
              <w:right w:val="single" w:sz="4" w:space="0" w:color="808080" w:themeColor="background1" w:themeShade="80"/>
            </w:tcBorders>
            <w:shd w:val="clear" w:color="auto" w:fill="auto"/>
            <w:vAlign w:val="center"/>
          </w:tcPr>
          <w:p w14:paraId="0D6DA425" w14:textId="77777777" w:rsidR="00A93643" w:rsidRPr="00A30D62" w:rsidRDefault="00A93643" w:rsidP="00A93643">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8"/>
                <w:szCs w:val="18"/>
                <w:lang w:val="el-GR" w:eastAsia="el-GR"/>
              </w:rPr>
            </w:pPr>
            <w:r w:rsidRPr="00A30D62">
              <w:rPr>
                <w:rFonts w:ascii="Arial" w:eastAsia="Times New Roman" w:hAnsi="Arial" w:cs="Arial"/>
                <w:bCs/>
                <w:sz w:val="18"/>
                <w:szCs w:val="18"/>
                <w:lang w:val="el-GR" w:eastAsia="el-GR"/>
              </w:rPr>
              <w:t>Ετήσια μεταβολή</w:t>
            </w:r>
          </w:p>
          <w:p w14:paraId="140E6618" w14:textId="7156DED4" w:rsidR="00A93643" w:rsidRPr="006B5511" w:rsidRDefault="00A93643" w:rsidP="00A93643">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6"/>
                <w:szCs w:val="16"/>
                <w:highlight w:val="yellow"/>
                <w:lang w:eastAsia="el-GR"/>
              </w:rPr>
            </w:pPr>
            <w:r w:rsidRPr="00A30D62">
              <w:rPr>
                <w:rFonts w:ascii="Arial" w:eastAsia="Times New Roman" w:hAnsi="Arial" w:cs="Arial"/>
                <w:bCs/>
                <w:sz w:val="18"/>
                <w:szCs w:val="18"/>
                <w:u w:val="single"/>
                <w:lang w:eastAsia="el-GR"/>
              </w:rPr>
              <w:t>+</w:t>
            </w:r>
            <w:r w:rsidRPr="00A30D62">
              <w:rPr>
                <w:rFonts w:ascii="Arial" w:eastAsia="Times New Roman" w:hAnsi="Arial" w:cs="Arial"/>
                <w:bCs/>
                <w:sz w:val="18"/>
                <w:szCs w:val="18"/>
                <w:lang w:eastAsia="el-GR"/>
              </w:rPr>
              <w:t>%</w:t>
            </w:r>
          </w:p>
        </w:tc>
      </w:tr>
      <w:tr w:rsidR="00BB4BD1" w:rsidRPr="006B5511" w14:paraId="60237FAD" w14:textId="77777777" w:rsidTr="006A1797">
        <w:trPr>
          <w:trHeight w:val="302"/>
          <w:jc w:val="center"/>
        </w:trPr>
        <w:tc>
          <w:tcPr>
            <w:tcW w:w="1864" w:type="pct"/>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410024B3" w14:textId="7721193A" w:rsidR="00BB4BD1" w:rsidRPr="00CB38F0" w:rsidRDefault="00BB4BD1" w:rsidP="00BB4BD1">
            <w:pPr>
              <w:tabs>
                <w:tab w:val="left" w:pos="0"/>
                <w:tab w:val="left" w:pos="1416"/>
                <w:tab w:val="decimal" w:pos="4962"/>
                <w:tab w:val="decimal" w:pos="6521"/>
                <w:tab w:val="right" w:pos="7560"/>
                <w:tab w:val="decimal" w:pos="8220"/>
                <w:tab w:val="left" w:pos="8640"/>
                <w:tab w:val="right" w:pos="9000"/>
              </w:tabs>
              <w:suppressAutoHyphens/>
              <w:spacing w:before="60" w:after="0" w:line="240" w:lineRule="auto"/>
              <w:ind w:right="23"/>
              <w:rPr>
                <w:rFonts w:ascii="Arial" w:eastAsia="Times New Roman" w:hAnsi="Arial" w:cs="Arial"/>
                <w:b/>
                <w:bCs/>
                <w:sz w:val="16"/>
                <w:szCs w:val="16"/>
                <w:lang w:val="el-GR" w:eastAsia="el-GR"/>
              </w:rPr>
            </w:pPr>
            <w:r w:rsidRPr="00CB38F0">
              <w:rPr>
                <w:rFonts w:ascii="Arial" w:eastAsia="Times New Roman" w:hAnsi="Arial" w:cs="Arial"/>
                <w:b/>
                <w:sz w:val="16"/>
                <w:szCs w:val="16"/>
                <w:lang w:val="el-GR" w:eastAsia="el-GR"/>
              </w:rPr>
              <w:t>Κέρδη πριν τη φορολογία και μη-επαναλαμβανόμενα στοιχεία</w:t>
            </w:r>
          </w:p>
        </w:tc>
        <w:tc>
          <w:tcPr>
            <w:tcW w:w="521" w:type="pct"/>
            <w:tcBorders>
              <w:top w:val="single" w:sz="4" w:space="0" w:color="808080" w:themeColor="background1" w:themeShade="80"/>
              <w:bottom w:val="single" w:sz="4" w:space="0" w:color="808080" w:themeColor="background1" w:themeShade="80"/>
            </w:tcBorders>
            <w:vAlign w:val="center"/>
          </w:tcPr>
          <w:p w14:paraId="293DC8FE" w14:textId="0A58BD9B" w:rsidR="00BB4BD1" w:rsidRPr="00CB38F0"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8"/>
                <w:szCs w:val="20"/>
                <w:highlight w:val="yellow"/>
                <w:lang w:val="el-GR" w:eastAsia="el-GR"/>
              </w:rPr>
            </w:pPr>
            <w:r>
              <w:rPr>
                <w:rFonts w:ascii="Arial" w:eastAsia="Times New Roman" w:hAnsi="Arial" w:cs="Arial"/>
                <w:b/>
                <w:bCs/>
                <w:sz w:val="18"/>
                <w:szCs w:val="20"/>
                <w:lang w:eastAsia="el-GR"/>
              </w:rPr>
              <w:t>319</w:t>
            </w:r>
          </w:p>
        </w:tc>
        <w:tc>
          <w:tcPr>
            <w:tcW w:w="521" w:type="pct"/>
            <w:tcBorders>
              <w:top w:val="single" w:sz="4" w:space="0" w:color="808080" w:themeColor="background1" w:themeShade="80"/>
              <w:bottom w:val="single" w:sz="4" w:space="0" w:color="808080" w:themeColor="background1" w:themeShade="80"/>
            </w:tcBorders>
            <w:vAlign w:val="center"/>
          </w:tcPr>
          <w:p w14:paraId="3D8CACC9" w14:textId="664F1C81" w:rsidR="00BB4BD1" w:rsidRPr="006B5511"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val="el-GR" w:eastAsia="el-GR"/>
              </w:rPr>
            </w:pPr>
            <w:r>
              <w:rPr>
                <w:rFonts w:ascii="Arial" w:eastAsia="Times New Roman" w:hAnsi="Arial" w:cs="Arial"/>
                <w:b/>
                <w:bCs/>
                <w:sz w:val="18"/>
                <w:szCs w:val="20"/>
                <w:lang w:eastAsia="el-GR"/>
              </w:rPr>
              <w:t>263</w:t>
            </w:r>
          </w:p>
        </w:tc>
        <w:tc>
          <w:tcPr>
            <w:tcW w:w="524" w:type="pct"/>
            <w:tcBorders>
              <w:top w:val="single" w:sz="4" w:space="0" w:color="808080" w:themeColor="background1" w:themeShade="80"/>
              <w:bottom w:val="single" w:sz="4" w:space="0" w:color="808080" w:themeColor="background1" w:themeShade="80"/>
            </w:tcBorders>
            <w:vAlign w:val="center"/>
          </w:tcPr>
          <w:p w14:paraId="2722EB68" w14:textId="5568C7AB" w:rsidR="00BB4BD1" w:rsidRPr="006B5511"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eastAsia="el-GR"/>
              </w:rPr>
            </w:pPr>
            <w:r>
              <w:rPr>
                <w:rFonts w:ascii="Arial" w:eastAsia="Times New Roman" w:hAnsi="Arial" w:cs="Arial"/>
                <w:b/>
                <w:bCs/>
                <w:sz w:val="18"/>
                <w:szCs w:val="20"/>
                <w:lang w:eastAsia="el-GR"/>
              </w:rPr>
              <w:t>160</w:t>
            </w:r>
          </w:p>
        </w:tc>
        <w:tc>
          <w:tcPr>
            <w:tcW w:w="524" w:type="pct"/>
            <w:tcBorders>
              <w:top w:val="single" w:sz="4" w:space="0" w:color="808080" w:themeColor="background1" w:themeShade="80"/>
              <w:bottom w:val="single" w:sz="4" w:space="0" w:color="808080" w:themeColor="background1" w:themeShade="80"/>
            </w:tcBorders>
            <w:vAlign w:val="center"/>
          </w:tcPr>
          <w:p w14:paraId="514D9215" w14:textId="04057D8C" w:rsidR="00BB4BD1" w:rsidRPr="00CB38F0"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sz w:val="16"/>
                <w:szCs w:val="16"/>
                <w:lang w:eastAsia="el-GR"/>
              </w:rPr>
            </w:pPr>
            <w:r>
              <w:rPr>
                <w:rFonts w:ascii="Arial" w:eastAsia="Times New Roman" w:hAnsi="Arial" w:cs="Arial"/>
                <w:b/>
                <w:bCs/>
                <w:sz w:val="18"/>
                <w:szCs w:val="20"/>
                <w:lang w:eastAsia="el-GR"/>
              </w:rPr>
              <w:t>159</w:t>
            </w:r>
          </w:p>
        </w:tc>
        <w:tc>
          <w:tcPr>
            <w:tcW w:w="524" w:type="pct"/>
            <w:tcBorders>
              <w:top w:val="single" w:sz="4" w:space="0" w:color="808080" w:themeColor="background1" w:themeShade="80"/>
              <w:bottom w:val="single" w:sz="4" w:space="0" w:color="808080" w:themeColor="background1" w:themeShade="80"/>
            </w:tcBorders>
            <w:vAlign w:val="center"/>
          </w:tcPr>
          <w:p w14:paraId="6BB07998" w14:textId="61AE20ED" w:rsidR="00BB4BD1" w:rsidRPr="006B5511"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Pr>
                <w:rFonts w:ascii="Arial" w:eastAsia="Times New Roman" w:hAnsi="Arial" w:cs="Arial"/>
                <w:sz w:val="18"/>
                <w:szCs w:val="20"/>
                <w:lang w:eastAsia="el-GR"/>
              </w:rPr>
              <w:t>-2%</w:t>
            </w:r>
          </w:p>
        </w:tc>
        <w:tc>
          <w:tcPr>
            <w:tcW w:w="522"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C359F0C" w14:textId="7031FF5C" w:rsidR="00BB4BD1" w:rsidRPr="006B5511"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Pr>
                <w:rFonts w:ascii="Arial" w:eastAsia="Times New Roman" w:hAnsi="Arial" w:cs="Arial"/>
                <w:sz w:val="18"/>
                <w:szCs w:val="20"/>
                <w:lang w:eastAsia="el-GR"/>
              </w:rPr>
              <w:t>21%</w:t>
            </w:r>
          </w:p>
        </w:tc>
      </w:tr>
      <w:tr w:rsidR="00BB4BD1" w:rsidRPr="006B5511" w14:paraId="6754F412" w14:textId="77777777" w:rsidTr="006A1797">
        <w:trPr>
          <w:trHeight w:val="149"/>
          <w:jc w:val="center"/>
        </w:trPr>
        <w:tc>
          <w:tcPr>
            <w:tcW w:w="1864" w:type="pct"/>
            <w:vAlign w:val="center"/>
          </w:tcPr>
          <w:p w14:paraId="2C39693D" w14:textId="45164F94" w:rsidR="00BB4BD1" w:rsidRPr="00CB38F0" w:rsidRDefault="00BB4BD1" w:rsidP="00BB4BD1">
            <w:pPr>
              <w:tabs>
                <w:tab w:val="left" w:pos="0"/>
                <w:tab w:val="left" w:pos="1416"/>
                <w:tab w:val="decimal" w:pos="4962"/>
                <w:tab w:val="decimal" w:pos="6521"/>
                <w:tab w:val="right" w:pos="7560"/>
                <w:tab w:val="decimal" w:pos="8220"/>
                <w:tab w:val="left" w:pos="8640"/>
                <w:tab w:val="right" w:pos="9000"/>
              </w:tabs>
              <w:suppressAutoHyphens/>
              <w:spacing w:before="60" w:after="0" w:line="240" w:lineRule="auto"/>
              <w:ind w:right="23"/>
              <w:rPr>
                <w:rFonts w:ascii="Arial" w:eastAsia="Times New Roman" w:hAnsi="Arial" w:cs="Arial"/>
                <w:bCs/>
                <w:sz w:val="16"/>
                <w:szCs w:val="16"/>
                <w:lang w:eastAsia="el-GR"/>
              </w:rPr>
            </w:pPr>
            <w:r w:rsidRPr="00CB38F0">
              <w:rPr>
                <w:rFonts w:ascii="Arial" w:eastAsia="Times New Roman" w:hAnsi="Arial" w:cs="Arial"/>
                <w:bCs/>
                <w:sz w:val="16"/>
                <w:szCs w:val="16"/>
                <w:lang w:eastAsia="el-GR"/>
              </w:rPr>
              <w:t>Φορολογία</w:t>
            </w:r>
          </w:p>
        </w:tc>
        <w:tc>
          <w:tcPr>
            <w:tcW w:w="521" w:type="pct"/>
            <w:vAlign w:val="center"/>
          </w:tcPr>
          <w:p w14:paraId="3C0F926A" w14:textId="16752620" w:rsidR="00BB4BD1" w:rsidRPr="006B5511"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8"/>
                <w:szCs w:val="20"/>
                <w:highlight w:val="yellow"/>
                <w:lang w:eastAsia="el-GR"/>
              </w:rPr>
            </w:pPr>
            <w:r>
              <w:rPr>
                <w:rFonts w:ascii="Arial" w:eastAsia="Times New Roman" w:hAnsi="Arial" w:cs="Arial"/>
                <w:sz w:val="18"/>
                <w:szCs w:val="20"/>
                <w:lang w:eastAsia="el-GR"/>
              </w:rPr>
              <w:t>(48)</w:t>
            </w:r>
          </w:p>
        </w:tc>
        <w:tc>
          <w:tcPr>
            <w:tcW w:w="521" w:type="pct"/>
            <w:vAlign w:val="center"/>
          </w:tcPr>
          <w:p w14:paraId="31870C86" w14:textId="491E4F67" w:rsidR="00BB4BD1" w:rsidRPr="006B5511"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Pr>
                <w:rFonts w:ascii="Arial" w:eastAsia="Times New Roman" w:hAnsi="Arial" w:cs="Arial"/>
                <w:sz w:val="18"/>
                <w:szCs w:val="20"/>
                <w:lang w:eastAsia="el-GR"/>
              </w:rPr>
              <w:t>(40)</w:t>
            </w:r>
          </w:p>
        </w:tc>
        <w:tc>
          <w:tcPr>
            <w:tcW w:w="524" w:type="pct"/>
            <w:vAlign w:val="center"/>
          </w:tcPr>
          <w:p w14:paraId="01613805" w14:textId="17902680" w:rsidR="00BB4BD1" w:rsidRPr="006B5511"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Pr>
                <w:rFonts w:ascii="Arial" w:eastAsia="Times New Roman" w:hAnsi="Arial" w:cs="Arial"/>
                <w:sz w:val="18"/>
                <w:szCs w:val="20"/>
                <w:lang w:eastAsia="el-GR"/>
              </w:rPr>
              <w:t>(23)</w:t>
            </w:r>
          </w:p>
        </w:tc>
        <w:tc>
          <w:tcPr>
            <w:tcW w:w="524" w:type="pct"/>
            <w:vAlign w:val="center"/>
          </w:tcPr>
          <w:p w14:paraId="5A17FFA4" w14:textId="2AD8FA4F" w:rsidR="00BB4BD1" w:rsidRPr="00CB38F0"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lang w:eastAsia="el-GR"/>
              </w:rPr>
            </w:pPr>
            <w:r>
              <w:rPr>
                <w:rFonts w:ascii="Arial" w:eastAsia="Times New Roman" w:hAnsi="Arial" w:cs="Arial"/>
                <w:sz w:val="18"/>
                <w:szCs w:val="20"/>
                <w:lang w:eastAsia="el-GR"/>
              </w:rPr>
              <w:t>(25)</w:t>
            </w:r>
          </w:p>
        </w:tc>
        <w:tc>
          <w:tcPr>
            <w:tcW w:w="524" w:type="pct"/>
            <w:vAlign w:val="center"/>
          </w:tcPr>
          <w:p w14:paraId="5CBAEDC5" w14:textId="61078502" w:rsidR="00BB4BD1" w:rsidRPr="006B5511"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Pr>
                <w:rFonts w:ascii="Arial" w:eastAsia="Times New Roman" w:hAnsi="Arial" w:cs="Arial"/>
                <w:sz w:val="18"/>
                <w:szCs w:val="20"/>
                <w:lang w:eastAsia="el-GR"/>
              </w:rPr>
              <w:t>-7%</w:t>
            </w:r>
          </w:p>
        </w:tc>
        <w:tc>
          <w:tcPr>
            <w:tcW w:w="522" w:type="pct"/>
            <w:shd w:val="clear" w:color="auto" w:fill="auto"/>
            <w:vAlign w:val="center"/>
          </w:tcPr>
          <w:p w14:paraId="0A407F01" w14:textId="78869589" w:rsidR="00BB4BD1" w:rsidRPr="006B5511"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Pr>
                <w:rFonts w:ascii="Arial" w:eastAsia="Times New Roman" w:hAnsi="Arial" w:cs="Arial"/>
                <w:sz w:val="18"/>
                <w:szCs w:val="20"/>
                <w:lang w:eastAsia="el-GR"/>
              </w:rPr>
              <w:t>21%</w:t>
            </w:r>
          </w:p>
        </w:tc>
      </w:tr>
      <w:tr w:rsidR="00BB4BD1" w:rsidRPr="006B5511" w14:paraId="50AF6660" w14:textId="77777777" w:rsidTr="006A1797">
        <w:trPr>
          <w:trHeight w:val="164"/>
          <w:jc w:val="center"/>
        </w:trPr>
        <w:tc>
          <w:tcPr>
            <w:tcW w:w="1864" w:type="pct"/>
            <w:vAlign w:val="center"/>
          </w:tcPr>
          <w:p w14:paraId="554ECD0D" w14:textId="40AB49EF" w:rsidR="00BB4BD1" w:rsidRPr="00CB38F0" w:rsidRDefault="00BB4BD1" w:rsidP="00BB4BD1">
            <w:pPr>
              <w:tabs>
                <w:tab w:val="left" w:pos="0"/>
                <w:tab w:val="left" w:pos="1416"/>
                <w:tab w:val="decimal" w:pos="4962"/>
                <w:tab w:val="decimal" w:pos="6521"/>
                <w:tab w:val="right" w:pos="7560"/>
                <w:tab w:val="decimal" w:pos="8220"/>
                <w:tab w:val="left" w:pos="8640"/>
                <w:tab w:val="right" w:pos="9000"/>
              </w:tabs>
              <w:suppressAutoHyphens/>
              <w:spacing w:before="60" w:after="0" w:line="240" w:lineRule="auto"/>
              <w:ind w:right="23"/>
              <w:rPr>
                <w:rFonts w:ascii="Arial" w:eastAsia="Times New Roman" w:hAnsi="Arial" w:cs="Arial"/>
                <w:sz w:val="16"/>
                <w:szCs w:val="16"/>
                <w:lang w:val="el-GR" w:eastAsia="el-GR"/>
              </w:rPr>
            </w:pPr>
            <w:r w:rsidRPr="00CB38F0">
              <w:rPr>
                <w:rFonts w:ascii="Arial" w:eastAsia="Times New Roman" w:hAnsi="Arial" w:cs="Arial"/>
                <w:bCs/>
                <w:sz w:val="16"/>
                <w:szCs w:val="16"/>
                <w:lang w:val="el-GR" w:eastAsia="el-GR"/>
              </w:rPr>
              <w:t>Κέρδη που αναλογούν σε δικαιώματα μειοψηφίας</w:t>
            </w:r>
          </w:p>
        </w:tc>
        <w:tc>
          <w:tcPr>
            <w:tcW w:w="521" w:type="pct"/>
            <w:vAlign w:val="center"/>
          </w:tcPr>
          <w:p w14:paraId="4B7F0CA3" w14:textId="33914CB3" w:rsidR="00BB4BD1" w:rsidRPr="00CB38F0"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60" w:line="240" w:lineRule="auto"/>
              <w:ind w:left="-93" w:right="20"/>
              <w:jc w:val="right"/>
              <w:rPr>
                <w:rFonts w:ascii="Arial" w:eastAsia="Times New Roman" w:hAnsi="Arial" w:cs="Arial"/>
                <w:sz w:val="18"/>
                <w:szCs w:val="20"/>
                <w:highlight w:val="yellow"/>
                <w:lang w:val="el-GR" w:eastAsia="el-GR"/>
              </w:rPr>
            </w:pPr>
            <w:r>
              <w:rPr>
                <w:rFonts w:ascii="Arial" w:eastAsia="Times New Roman" w:hAnsi="Arial" w:cs="Arial"/>
                <w:sz w:val="18"/>
                <w:szCs w:val="20"/>
                <w:lang w:eastAsia="el-GR"/>
              </w:rPr>
              <w:t>(1)</w:t>
            </w:r>
          </w:p>
        </w:tc>
        <w:tc>
          <w:tcPr>
            <w:tcW w:w="521" w:type="pct"/>
            <w:vAlign w:val="center"/>
          </w:tcPr>
          <w:p w14:paraId="4B1D57FE" w14:textId="5E23939E" w:rsidR="00BB4BD1" w:rsidRPr="006B5511"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60" w:line="240" w:lineRule="auto"/>
              <w:ind w:left="-93" w:right="20"/>
              <w:jc w:val="right"/>
              <w:rPr>
                <w:rFonts w:ascii="Arial" w:eastAsia="Times New Roman" w:hAnsi="Arial" w:cs="Arial"/>
                <w:sz w:val="16"/>
                <w:szCs w:val="16"/>
                <w:highlight w:val="yellow"/>
                <w:lang w:val="el-GR" w:eastAsia="el-GR"/>
              </w:rPr>
            </w:pPr>
            <w:r>
              <w:rPr>
                <w:rFonts w:ascii="Arial" w:eastAsia="Times New Roman" w:hAnsi="Arial" w:cs="Arial"/>
                <w:sz w:val="18"/>
                <w:szCs w:val="20"/>
                <w:lang w:eastAsia="el-GR"/>
              </w:rPr>
              <w:t>(1)</w:t>
            </w:r>
          </w:p>
        </w:tc>
        <w:tc>
          <w:tcPr>
            <w:tcW w:w="524" w:type="pct"/>
            <w:vAlign w:val="center"/>
          </w:tcPr>
          <w:p w14:paraId="102A56E5" w14:textId="1904DB41" w:rsidR="00BB4BD1" w:rsidRPr="006B5511"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60" w:line="240" w:lineRule="auto"/>
              <w:ind w:left="-93" w:right="20"/>
              <w:jc w:val="right"/>
              <w:rPr>
                <w:rFonts w:ascii="Arial" w:eastAsia="Times New Roman" w:hAnsi="Arial" w:cs="Arial"/>
                <w:sz w:val="16"/>
                <w:szCs w:val="16"/>
                <w:highlight w:val="yellow"/>
                <w:lang w:eastAsia="el-GR"/>
              </w:rPr>
            </w:pPr>
            <w:r>
              <w:rPr>
                <w:rFonts w:ascii="Arial" w:eastAsia="Times New Roman" w:hAnsi="Arial" w:cs="Arial"/>
                <w:sz w:val="18"/>
                <w:szCs w:val="20"/>
                <w:lang w:eastAsia="el-GR"/>
              </w:rPr>
              <w:t>0</w:t>
            </w:r>
          </w:p>
        </w:tc>
        <w:tc>
          <w:tcPr>
            <w:tcW w:w="524" w:type="pct"/>
            <w:vAlign w:val="center"/>
          </w:tcPr>
          <w:p w14:paraId="3DFA4825" w14:textId="15E2EF24" w:rsidR="00BB4BD1" w:rsidRPr="00CB38F0"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60" w:line="240" w:lineRule="auto"/>
              <w:ind w:left="-93" w:right="20"/>
              <w:jc w:val="right"/>
              <w:rPr>
                <w:rFonts w:ascii="Arial" w:eastAsia="Times New Roman" w:hAnsi="Arial" w:cs="Arial"/>
                <w:sz w:val="16"/>
                <w:szCs w:val="16"/>
                <w:lang w:eastAsia="el-GR"/>
              </w:rPr>
            </w:pPr>
            <w:r>
              <w:rPr>
                <w:rFonts w:ascii="Arial" w:eastAsia="Times New Roman" w:hAnsi="Arial" w:cs="Arial"/>
                <w:sz w:val="18"/>
                <w:szCs w:val="20"/>
                <w:lang w:eastAsia="el-GR"/>
              </w:rPr>
              <w:t>(1)</w:t>
            </w:r>
          </w:p>
        </w:tc>
        <w:tc>
          <w:tcPr>
            <w:tcW w:w="524" w:type="pct"/>
            <w:vAlign w:val="center"/>
          </w:tcPr>
          <w:p w14:paraId="6D1D294A" w14:textId="3DFCEA48" w:rsidR="00BB4BD1" w:rsidRPr="006B5511"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60" w:line="240" w:lineRule="auto"/>
              <w:ind w:left="-93" w:right="20"/>
              <w:jc w:val="right"/>
              <w:rPr>
                <w:rFonts w:ascii="Arial" w:eastAsia="Times New Roman" w:hAnsi="Arial" w:cs="Arial"/>
                <w:sz w:val="16"/>
                <w:szCs w:val="16"/>
                <w:highlight w:val="yellow"/>
                <w:lang w:eastAsia="el-GR"/>
              </w:rPr>
            </w:pPr>
            <w:r>
              <w:rPr>
                <w:rFonts w:ascii="Arial" w:eastAsia="Times New Roman" w:hAnsi="Arial" w:cs="Arial"/>
                <w:sz w:val="18"/>
                <w:szCs w:val="20"/>
                <w:lang w:eastAsia="el-GR"/>
              </w:rPr>
              <w:t>-22%</w:t>
            </w:r>
          </w:p>
        </w:tc>
        <w:tc>
          <w:tcPr>
            <w:tcW w:w="522" w:type="pct"/>
            <w:shd w:val="clear" w:color="auto" w:fill="auto"/>
            <w:vAlign w:val="center"/>
          </w:tcPr>
          <w:p w14:paraId="12C5FE09" w14:textId="2AB49A75" w:rsidR="00BB4BD1" w:rsidRPr="006B5511"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60" w:line="240" w:lineRule="auto"/>
              <w:ind w:left="-93" w:right="20"/>
              <w:jc w:val="right"/>
              <w:rPr>
                <w:rFonts w:ascii="Arial" w:eastAsia="Times New Roman" w:hAnsi="Arial" w:cs="Arial"/>
                <w:sz w:val="16"/>
                <w:szCs w:val="16"/>
                <w:highlight w:val="yellow"/>
                <w:lang w:eastAsia="el-GR"/>
              </w:rPr>
            </w:pPr>
            <w:r>
              <w:rPr>
                <w:rFonts w:ascii="Arial" w:eastAsia="Times New Roman" w:hAnsi="Arial" w:cs="Arial"/>
                <w:sz w:val="18"/>
                <w:szCs w:val="20"/>
                <w:lang w:eastAsia="el-GR"/>
              </w:rPr>
              <w:t>14%</w:t>
            </w:r>
          </w:p>
        </w:tc>
      </w:tr>
      <w:tr w:rsidR="00BB4BD1" w:rsidRPr="006B5511" w14:paraId="7C72BB99" w14:textId="77777777" w:rsidTr="006A1797">
        <w:trPr>
          <w:trHeight w:val="302"/>
          <w:jc w:val="center"/>
        </w:trPr>
        <w:tc>
          <w:tcPr>
            <w:tcW w:w="1864" w:type="pct"/>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71C10040" w14:textId="18FC4421" w:rsidR="00BB4BD1" w:rsidRPr="00CB38F0" w:rsidRDefault="00BB4BD1" w:rsidP="00BB4BD1">
            <w:pPr>
              <w:tabs>
                <w:tab w:val="left" w:pos="0"/>
                <w:tab w:val="left" w:pos="1416"/>
                <w:tab w:val="decimal" w:pos="4962"/>
                <w:tab w:val="decimal" w:pos="6521"/>
                <w:tab w:val="right" w:pos="7560"/>
                <w:tab w:val="decimal" w:pos="8220"/>
                <w:tab w:val="left" w:pos="8640"/>
                <w:tab w:val="right" w:pos="9000"/>
              </w:tabs>
              <w:suppressAutoHyphens/>
              <w:spacing w:before="60" w:after="0" w:line="240" w:lineRule="auto"/>
              <w:ind w:right="23"/>
              <w:rPr>
                <w:rFonts w:ascii="Arial" w:eastAsia="Times New Roman" w:hAnsi="Arial" w:cs="Arial"/>
                <w:b/>
                <w:bCs/>
                <w:sz w:val="16"/>
                <w:szCs w:val="16"/>
                <w:lang w:val="el-GR" w:eastAsia="el-GR"/>
              </w:rPr>
            </w:pPr>
            <w:r w:rsidRPr="00CB38F0">
              <w:rPr>
                <w:rFonts w:ascii="Arial" w:hAnsi="Arial" w:cs="Arial"/>
                <w:b/>
                <w:sz w:val="16"/>
                <w:szCs w:val="16"/>
                <w:lang w:val="el-GR"/>
              </w:rPr>
              <w:t>Κέρδη</w:t>
            </w:r>
            <w:r w:rsidRPr="00CB38F0">
              <w:rPr>
                <w:rFonts w:ascii="Arial" w:hAnsi="Arial" w:cs="Arial"/>
                <w:b/>
                <w:bCs/>
                <w:color w:val="FF0000"/>
                <w:sz w:val="16"/>
                <w:szCs w:val="16"/>
                <w:lang w:val="el-GR"/>
              </w:rPr>
              <w:t xml:space="preserve"> </w:t>
            </w:r>
            <w:r w:rsidRPr="00CB38F0">
              <w:rPr>
                <w:rFonts w:ascii="Arial" w:hAnsi="Arial" w:cs="Arial"/>
                <w:b/>
                <w:bCs/>
                <w:sz w:val="16"/>
                <w:szCs w:val="16"/>
                <w:lang w:val="el-GR"/>
              </w:rPr>
              <w:t>μετά τη φορολογία και πριν τα μη-επαναλαμβανόμενα στοιχεία (που αναλογούν της ιδιοκτήτες της Εταιρίας)</w:t>
            </w:r>
          </w:p>
        </w:tc>
        <w:tc>
          <w:tcPr>
            <w:tcW w:w="521" w:type="pct"/>
            <w:tcBorders>
              <w:top w:val="single" w:sz="4" w:space="0" w:color="808080" w:themeColor="background1" w:themeShade="80"/>
              <w:bottom w:val="single" w:sz="4" w:space="0" w:color="808080" w:themeColor="background1" w:themeShade="80"/>
            </w:tcBorders>
            <w:vAlign w:val="center"/>
          </w:tcPr>
          <w:p w14:paraId="0586CFDC" w14:textId="1D6A8B57" w:rsidR="00BB4BD1" w:rsidRPr="00CB38F0"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8"/>
                <w:szCs w:val="20"/>
                <w:highlight w:val="yellow"/>
                <w:lang w:val="el-GR" w:eastAsia="el-GR"/>
              </w:rPr>
            </w:pPr>
            <w:r>
              <w:rPr>
                <w:rFonts w:ascii="Arial" w:eastAsia="Times New Roman" w:hAnsi="Arial" w:cs="Arial"/>
                <w:b/>
                <w:bCs/>
                <w:sz w:val="18"/>
                <w:szCs w:val="20"/>
                <w:lang w:eastAsia="el-GR"/>
              </w:rPr>
              <w:t>270</w:t>
            </w:r>
          </w:p>
        </w:tc>
        <w:tc>
          <w:tcPr>
            <w:tcW w:w="521" w:type="pct"/>
            <w:tcBorders>
              <w:top w:val="single" w:sz="4" w:space="0" w:color="808080" w:themeColor="background1" w:themeShade="80"/>
              <w:bottom w:val="single" w:sz="4" w:space="0" w:color="808080" w:themeColor="background1" w:themeShade="80"/>
            </w:tcBorders>
            <w:vAlign w:val="center"/>
          </w:tcPr>
          <w:p w14:paraId="14339715" w14:textId="6D964D39" w:rsidR="00BB4BD1" w:rsidRPr="006B5511"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val="el-GR" w:eastAsia="el-GR"/>
              </w:rPr>
            </w:pPr>
            <w:r>
              <w:rPr>
                <w:rFonts w:ascii="Arial" w:eastAsia="Times New Roman" w:hAnsi="Arial" w:cs="Arial"/>
                <w:b/>
                <w:bCs/>
                <w:sz w:val="18"/>
                <w:szCs w:val="20"/>
                <w:lang w:eastAsia="el-GR"/>
              </w:rPr>
              <w:t>222</w:t>
            </w:r>
          </w:p>
        </w:tc>
        <w:tc>
          <w:tcPr>
            <w:tcW w:w="524" w:type="pct"/>
            <w:tcBorders>
              <w:top w:val="single" w:sz="4" w:space="0" w:color="808080" w:themeColor="background1" w:themeShade="80"/>
              <w:bottom w:val="single" w:sz="4" w:space="0" w:color="808080" w:themeColor="background1" w:themeShade="80"/>
            </w:tcBorders>
            <w:vAlign w:val="center"/>
          </w:tcPr>
          <w:p w14:paraId="139EC78B" w14:textId="2CD332C1" w:rsidR="00BB4BD1" w:rsidRPr="006B5511"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eastAsia="el-GR"/>
              </w:rPr>
            </w:pPr>
            <w:r>
              <w:rPr>
                <w:rFonts w:ascii="Arial" w:eastAsia="Times New Roman" w:hAnsi="Arial" w:cs="Arial"/>
                <w:b/>
                <w:bCs/>
                <w:sz w:val="18"/>
                <w:szCs w:val="20"/>
                <w:lang w:eastAsia="el-GR"/>
              </w:rPr>
              <w:t>137</w:t>
            </w:r>
          </w:p>
        </w:tc>
        <w:tc>
          <w:tcPr>
            <w:tcW w:w="524" w:type="pct"/>
            <w:tcBorders>
              <w:top w:val="single" w:sz="4" w:space="0" w:color="808080" w:themeColor="background1" w:themeShade="80"/>
              <w:bottom w:val="single" w:sz="4" w:space="0" w:color="808080" w:themeColor="background1" w:themeShade="80"/>
            </w:tcBorders>
            <w:vAlign w:val="center"/>
          </w:tcPr>
          <w:p w14:paraId="51107BA0" w14:textId="3A1D71ED" w:rsidR="00BB4BD1" w:rsidRPr="00CB38F0"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lang w:eastAsia="el-GR"/>
              </w:rPr>
            </w:pPr>
            <w:r>
              <w:rPr>
                <w:rFonts w:ascii="Arial" w:eastAsia="Times New Roman" w:hAnsi="Arial" w:cs="Arial"/>
                <w:b/>
                <w:bCs/>
                <w:sz w:val="18"/>
                <w:szCs w:val="20"/>
                <w:lang w:eastAsia="el-GR"/>
              </w:rPr>
              <w:t>133</w:t>
            </w:r>
          </w:p>
        </w:tc>
        <w:tc>
          <w:tcPr>
            <w:tcW w:w="524" w:type="pct"/>
            <w:tcBorders>
              <w:top w:val="single" w:sz="4" w:space="0" w:color="808080" w:themeColor="background1" w:themeShade="80"/>
              <w:bottom w:val="single" w:sz="4" w:space="0" w:color="808080" w:themeColor="background1" w:themeShade="80"/>
            </w:tcBorders>
            <w:vAlign w:val="center"/>
          </w:tcPr>
          <w:p w14:paraId="1A2D13A3" w14:textId="16A8726F" w:rsidR="00BB4BD1" w:rsidRPr="006B5511"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Pr>
                <w:rFonts w:ascii="Arial" w:eastAsia="Times New Roman" w:hAnsi="Arial" w:cs="Arial"/>
                <w:sz w:val="18"/>
                <w:szCs w:val="20"/>
                <w:lang w:eastAsia="el-GR"/>
              </w:rPr>
              <w:t>4%</w:t>
            </w:r>
          </w:p>
        </w:tc>
        <w:tc>
          <w:tcPr>
            <w:tcW w:w="522"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E570BF6" w14:textId="573ABDED" w:rsidR="00BB4BD1" w:rsidRPr="006B5511"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Pr>
                <w:rFonts w:ascii="Arial" w:eastAsia="Times New Roman" w:hAnsi="Arial" w:cs="Arial"/>
                <w:sz w:val="18"/>
                <w:szCs w:val="20"/>
                <w:lang w:eastAsia="el-GR"/>
              </w:rPr>
              <w:t>22%</w:t>
            </w:r>
          </w:p>
        </w:tc>
      </w:tr>
      <w:tr w:rsidR="00BB4BD1" w:rsidRPr="006B5511" w14:paraId="21BF4053" w14:textId="77777777" w:rsidTr="006A1797">
        <w:trPr>
          <w:trHeight w:val="302"/>
          <w:jc w:val="center"/>
        </w:trPr>
        <w:tc>
          <w:tcPr>
            <w:tcW w:w="1864" w:type="pct"/>
            <w:tcBorders>
              <w:top w:val="single" w:sz="4" w:space="0" w:color="808080" w:themeColor="background1" w:themeShade="80"/>
              <w:bottom w:val="single" w:sz="4" w:space="0" w:color="808080" w:themeColor="background1" w:themeShade="80"/>
            </w:tcBorders>
            <w:vAlign w:val="center"/>
          </w:tcPr>
          <w:p w14:paraId="7433C950" w14:textId="128F0377" w:rsidR="00BB4BD1" w:rsidRPr="00CB38F0" w:rsidRDefault="00BB4BD1" w:rsidP="00BB4BD1">
            <w:pPr>
              <w:tabs>
                <w:tab w:val="left" w:pos="0"/>
                <w:tab w:val="left" w:pos="1416"/>
                <w:tab w:val="decimal" w:pos="4962"/>
                <w:tab w:val="decimal" w:pos="6521"/>
                <w:tab w:val="right" w:pos="7560"/>
                <w:tab w:val="decimal" w:pos="8220"/>
                <w:tab w:val="left" w:pos="8640"/>
                <w:tab w:val="right" w:pos="9000"/>
              </w:tabs>
              <w:suppressAutoHyphens/>
              <w:spacing w:before="60" w:after="0" w:line="240" w:lineRule="auto"/>
              <w:ind w:right="23"/>
              <w:rPr>
                <w:rFonts w:ascii="Arial" w:eastAsia="Times New Roman" w:hAnsi="Arial" w:cs="Arial"/>
                <w:bCs/>
                <w:sz w:val="16"/>
                <w:szCs w:val="16"/>
                <w:lang w:val="el-GR" w:eastAsia="el-GR"/>
              </w:rPr>
            </w:pPr>
            <w:r w:rsidRPr="00CB38F0">
              <w:rPr>
                <w:rFonts w:ascii="Arial" w:eastAsia="Times New Roman" w:hAnsi="Arial" w:cs="Arial"/>
                <w:bCs/>
                <w:sz w:val="16"/>
                <w:szCs w:val="16"/>
                <w:lang w:val="el-GR" w:eastAsia="el-GR"/>
              </w:rPr>
              <w:t>Έξοδα</w:t>
            </w:r>
            <w:r w:rsidRPr="00CB38F0">
              <w:rPr>
                <w:rFonts w:ascii="Arial" w:hAnsi="Arial" w:cs="Arial"/>
                <w:sz w:val="16"/>
                <w:szCs w:val="16"/>
                <w:lang w:val="el-GR"/>
              </w:rPr>
              <w:t xml:space="preserve"> από συμβουλευτικές υπηρεσίες και άλλα έξοδα μετασχηματισμού – οργανικά</w:t>
            </w:r>
          </w:p>
        </w:tc>
        <w:tc>
          <w:tcPr>
            <w:tcW w:w="521" w:type="pct"/>
            <w:tcBorders>
              <w:top w:val="single" w:sz="4" w:space="0" w:color="808080" w:themeColor="background1" w:themeShade="80"/>
              <w:bottom w:val="single" w:sz="4" w:space="0" w:color="808080" w:themeColor="background1" w:themeShade="80"/>
            </w:tcBorders>
            <w:vAlign w:val="center"/>
          </w:tcPr>
          <w:p w14:paraId="0F0334C6" w14:textId="61533C5B" w:rsidR="00BB4BD1" w:rsidRPr="00CB38F0"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Cs/>
                <w:sz w:val="18"/>
                <w:szCs w:val="20"/>
                <w:highlight w:val="yellow"/>
                <w:lang w:val="el-GR" w:eastAsia="el-GR"/>
              </w:rPr>
            </w:pPr>
            <w:r>
              <w:rPr>
                <w:rFonts w:ascii="Arial" w:eastAsia="Times New Roman" w:hAnsi="Arial" w:cs="Arial"/>
                <w:bCs/>
                <w:sz w:val="18"/>
                <w:szCs w:val="20"/>
                <w:lang w:eastAsia="el-GR"/>
              </w:rPr>
              <w:t>-</w:t>
            </w:r>
          </w:p>
        </w:tc>
        <w:tc>
          <w:tcPr>
            <w:tcW w:w="521" w:type="pct"/>
            <w:tcBorders>
              <w:top w:val="single" w:sz="4" w:space="0" w:color="808080" w:themeColor="background1" w:themeShade="80"/>
              <w:bottom w:val="single" w:sz="4" w:space="0" w:color="808080" w:themeColor="background1" w:themeShade="80"/>
            </w:tcBorders>
            <w:vAlign w:val="center"/>
          </w:tcPr>
          <w:p w14:paraId="01BF01D2" w14:textId="03951062" w:rsidR="00BB4BD1" w:rsidRPr="006B5511"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Cs/>
                <w:sz w:val="16"/>
                <w:szCs w:val="16"/>
                <w:highlight w:val="yellow"/>
                <w:lang w:val="el-GR" w:eastAsia="el-GR"/>
              </w:rPr>
            </w:pPr>
            <w:r>
              <w:rPr>
                <w:rFonts w:ascii="Arial" w:eastAsia="Times New Roman" w:hAnsi="Arial" w:cs="Arial"/>
                <w:bCs/>
                <w:sz w:val="18"/>
                <w:szCs w:val="20"/>
                <w:lang w:eastAsia="el-GR"/>
              </w:rPr>
              <w:t>(2)</w:t>
            </w:r>
          </w:p>
        </w:tc>
        <w:tc>
          <w:tcPr>
            <w:tcW w:w="524" w:type="pct"/>
            <w:tcBorders>
              <w:top w:val="single" w:sz="4" w:space="0" w:color="808080" w:themeColor="background1" w:themeShade="80"/>
              <w:bottom w:val="single" w:sz="4" w:space="0" w:color="808080" w:themeColor="background1" w:themeShade="80"/>
            </w:tcBorders>
            <w:vAlign w:val="center"/>
          </w:tcPr>
          <w:p w14:paraId="0A588820" w14:textId="2C88550D" w:rsidR="00BB4BD1" w:rsidRPr="006B5511"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Cs/>
                <w:sz w:val="16"/>
                <w:szCs w:val="16"/>
                <w:highlight w:val="yellow"/>
                <w:lang w:eastAsia="el-GR"/>
              </w:rPr>
            </w:pPr>
            <w:r>
              <w:rPr>
                <w:rFonts w:ascii="Arial" w:eastAsia="Times New Roman" w:hAnsi="Arial" w:cs="Arial"/>
                <w:bCs/>
                <w:sz w:val="18"/>
                <w:szCs w:val="20"/>
                <w:lang w:eastAsia="el-GR"/>
              </w:rPr>
              <w:t>-</w:t>
            </w:r>
          </w:p>
        </w:tc>
        <w:tc>
          <w:tcPr>
            <w:tcW w:w="524" w:type="pct"/>
            <w:tcBorders>
              <w:top w:val="single" w:sz="4" w:space="0" w:color="808080" w:themeColor="background1" w:themeShade="80"/>
              <w:bottom w:val="single" w:sz="4" w:space="0" w:color="808080" w:themeColor="background1" w:themeShade="80"/>
            </w:tcBorders>
            <w:vAlign w:val="center"/>
          </w:tcPr>
          <w:p w14:paraId="05E0412E" w14:textId="08A22691" w:rsidR="00BB4BD1" w:rsidRPr="00CB38F0"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Cs/>
                <w:sz w:val="16"/>
                <w:szCs w:val="16"/>
                <w:lang w:eastAsia="el-GR"/>
              </w:rPr>
            </w:pPr>
            <w:r>
              <w:rPr>
                <w:rFonts w:ascii="Arial" w:eastAsia="Times New Roman" w:hAnsi="Arial" w:cs="Arial"/>
                <w:bCs/>
                <w:sz w:val="18"/>
                <w:szCs w:val="20"/>
                <w:lang w:eastAsia="el-GR"/>
              </w:rPr>
              <w:t>-</w:t>
            </w:r>
          </w:p>
        </w:tc>
        <w:tc>
          <w:tcPr>
            <w:tcW w:w="524" w:type="pct"/>
            <w:tcBorders>
              <w:top w:val="single" w:sz="4" w:space="0" w:color="808080" w:themeColor="background1" w:themeShade="80"/>
              <w:bottom w:val="single" w:sz="4" w:space="0" w:color="808080" w:themeColor="background1" w:themeShade="80"/>
            </w:tcBorders>
            <w:vAlign w:val="center"/>
          </w:tcPr>
          <w:p w14:paraId="0136069C" w14:textId="4FAE4D89" w:rsidR="00BB4BD1" w:rsidRPr="006B5511"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Pr>
                <w:rFonts w:ascii="Arial" w:eastAsia="Times New Roman" w:hAnsi="Arial" w:cs="Arial"/>
                <w:sz w:val="18"/>
                <w:szCs w:val="20"/>
                <w:lang w:eastAsia="el-GR"/>
              </w:rPr>
              <w:t>-</w:t>
            </w:r>
          </w:p>
        </w:tc>
        <w:tc>
          <w:tcPr>
            <w:tcW w:w="522" w:type="pct"/>
            <w:tcBorders>
              <w:top w:val="single" w:sz="4" w:space="0" w:color="808080" w:themeColor="background1" w:themeShade="80"/>
              <w:bottom w:val="single" w:sz="4" w:space="0" w:color="808080" w:themeColor="background1" w:themeShade="80"/>
            </w:tcBorders>
            <w:shd w:val="clear" w:color="auto" w:fill="auto"/>
            <w:vAlign w:val="center"/>
          </w:tcPr>
          <w:p w14:paraId="10A84081" w14:textId="6CE157D5" w:rsidR="00BB4BD1" w:rsidRPr="006B5511"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Pr>
                <w:rFonts w:ascii="Arial" w:eastAsia="Times New Roman" w:hAnsi="Arial" w:cs="Arial"/>
                <w:sz w:val="18"/>
                <w:szCs w:val="20"/>
                <w:lang w:eastAsia="el-GR"/>
              </w:rPr>
              <w:t>-100%</w:t>
            </w:r>
          </w:p>
        </w:tc>
      </w:tr>
      <w:tr w:rsidR="00BB4BD1" w:rsidRPr="006B5511" w14:paraId="3407397B" w14:textId="77777777" w:rsidTr="006A1797">
        <w:trPr>
          <w:trHeight w:val="49"/>
          <w:jc w:val="center"/>
        </w:trPr>
        <w:tc>
          <w:tcPr>
            <w:tcW w:w="1864" w:type="pct"/>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394BC320" w14:textId="1BF73941" w:rsidR="00BB4BD1" w:rsidRPr="00CB38F0" w:rsidRDefault="00BB4BD1" w:rsidP="00BB4BD1">
            <w:pPr>
              <w:tabs>
                <w:tab w:val="left" w:pos="0"/>
                <w:tab w:val="left" w:pos="1416"/>
                <w:tab w:val="decimal" w:pos="4962"/>
                <w:tab w:val="decimal" w:pos="6521"/>
                <w:tab w:val="right" w:pos="7560"/>
                <w:tab w:val="decimal" w:pos="8220"/>
                <w:tab w:val="left" w:pos="8640"/>
                <w:tab w:val="right" w:pos="9000"/>
              </w:tabs>
              <w:suppressAutoHyphens/>
              <w:spacing w:before="60" w:after="0" w:line="240" w:lineRule="auto"/>
              <w:ind w:right="23"/>
              <w:rPr>
                <w:rFonts w:ascii="Arial" w:eastAsia="Times New Roman" w:hAnsi="Arial" w:cs="Arial"/>
                <w:b/>
                <w:bCs/>
                <w:sz w:val="16"/>
                <w:szCs w:val="16"/>
                <w:lang w:val="el-GR" w:eastAsia="el-GR"/>
              </w:rPr>
            </w:pPr>
            <w:r w:rsidRPr="00CB38F0">
              <w:rPr>
                <w:rFonts w:ascii="Arial" w:hAnsi="Arial" w:cs="Arial"/>
                <w:b/>
                <w:sz w:val="16"/>
                <w:szCs w:val="16"/>
                <w:lang w:val="el-GR"/>
              </w:rPr>
              <w:t xml:space="preserve">Κέρδη </w:t>
            </w:r>
            <w:r w:rsidRPr="00CB38F0">
              <w:rPr>
                <w:rFonts w:ascii="Arial" w:hAnsi="Arial" w:cs="Arial"/>
                <w:b/>
                <w:bCs/>
                <w:sz w:val="16"/>
                <w:szCs w:val="16"/>
                <w:lang w:val="el-GR"/>
              </w:rPr>
              <w:t>μετά τη φορολογία (που αναλογούν στους ιδιοκτήτες της Εταιρίας)</w:t>
            </w:r>
          </w:p>
        </w:tc>
        <w:tc>
          <w:tcPr>
            <w:tcW w:w="521" w:type="pct"/>
            <w:tcBorders>
              <w:top w:val="single" w:sz="4" w:space="0" w:color="808080" w:themeColor="background1" w:themeShade="80"/>
              <w:bottom w:val="single" w:sz="4" w:space="0" w:color="808080" w:themeColor="background1" w:themeShade="80"/>
            </w:tcBorders>
            <w:vAlign w:val="center"/>
          </w:tcPr>
          <w:p w14:paraId="3A2EB42A" w14:textId="1698774C" w:rsidR="00BB4BD1" w:rsidRPr="00CB38F0"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bCs/>
                <w:sz w:val="18"/>
                <w:szCs w:val="20"/>
                <w:highlight w:val="yellow"/>
                <w:lang w:val="el-GR" w:eastAsia="el-GR"/>
              </w:rPr>
            </w:pPr>
            <w:r>
              <w:rPr>
                <w:rFonts w:ascii="Arial" w:eastAsia="Times New Roman" w:hAnsi="Arial" w:cs="Arial"/>
                <w:b/>
                <w:bCs/>
                <w:sz w:val="18"/>
                <w:szCs w:val="20"/>
                <w:lang w:eastAsia="el-GR"/>
              </w:rPr>
              <w:t>270</w:t>
            </w:r>
          </w:p>
        </w:tc>
        <w:tc>
          <w:tcPr>
            <w:tcW w:w="521" w:type="pct"/>
            <w:tcBorders>
              <w:top w:val="single" w:sz="4" w:space="0" w:color="808080" w:themeColor="background1" w:themeShade="80"/>
              <w:bottom w:val="single" w:sz="4" w:space="0" w:color="808080" w:themeColor="background1" w:themeShade="80"/>
            </w:tcBorders>
            <w:vAlign w:val="center"/>
          </w:tcPr>
          <w:p w14:paraId="2A896E9B" w14:textId="1BF38922" w:rsidR="00BB4BD1" w:rsidRPr="006B5511"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bCs/>
                <w:sz w:val="16"/>
                <w:szCs w:val="16"/>
                <w:highlight w:val="yellow"/>
                <w:lang w:val="el-GR" w:eastAsia="el-GR"/>
              </w:rPr>
            </w:pPr>
            <w:r>
              <w:rPr>
                <w:rFonts w:ascii="Arial" w:eastAsia="Times New Roman" w:hAnsi="Arial" w:cs="Arial"/>
                <w:b/>
                <w:bCs/>
                <w:sz w:val="18"/>
                <w:szCs w:val="20"/>
                <w:lang w:eastAsia="el-GR"/>
              </w:rPr>
              <w:t>220</w:t>
            </w:r>
          </w:p>
        </w:tc>
        <w:tc>
          <w:tcPr>
            <w:tcW w:w="524" w:type="pct"/>
            <w:tcBorders>
              <w:top w:val="single" w:sz="4" w:space="0" w:color="808080" w:themeColor="background1" w:themeShade="80"/>
              <w:bottom w:val="single" w:sz="4" w:space="0" w:color="808080" w:themeColor="background1" w:themeShade="80"/>
            </w:tcBorders>
            <w:vAlign w:val="center"/>
          </w:tcPr>
          <w:p w14:paraId="33C7AFDE" w14:textId="7444CFB3" w:rsidR="00BB4BD1" w:rsidRPr="006B5511"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bCs/>
                <w:sz w:val="16"/>
                <w:szCs w:val="16"/>
                <w:highlight w:val="yellow"/>
                <w:lang w:eastAsia="el-GR"/>
              </w:rPr>
            </w:pPr>
            <w:r>
              <w:rPr>
                <w:rFonts w:ascii="Arial" w:eastAsia="Times New Roman" w:hAnsi="Arial" w:cs="Arial"/>
                <w:b/>
                <w:bCs/>
                <w:sz w:val="18"/>
                <w:szCs w:val="20"/>
                <w:lang w:eastAsia="el-GR"/>
              </w:rPr>
              <w:t>137</w:t>
            </w:r>
          </w:p>
        </w:tc>
        <w:tc>
          <w:tcPr>
            <w:tcW w:w="524" w:type="pct"/>
            <w:tcBorders>
              <w:top w:val="single" w:sz="4" w:space="0" w:color="808080" w:themeColor="background1" w:themeShade="80"/>
              <w:bottom w:val="single" w:sz="4" w:space="0" w:color="808080" w:themeColor="background1" w:themeShade="80"/>
            </w:tcBorders>
            <w:vAlign w:val="center"/>
          </w:tcPr>
          <w:p w14:paraId="51F52BD7" w14:textId="68E08F7A" w:rsidR="00BB4BD1" w:rsidRPr="00CB38F0"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bCs/>
                <w:sz w:val="16"/>
                <w:szCs w:val="16"/>
                <w:lang w:eastAsia="el-GR"/>
              </w:rPr>
            </w:pPr>
            <w:r>
              <w:rPr>
                <w:rFonts w:ascii="Arial" w:eastAsia="Times New Roman" w:hAnsi="Arial" w:cs="Arial"/>
                <w:b/>
                <w:bCs/>
                <w:sz w:val="18"/>
                <w:szCs w:val="20"/>
                <w:lang w:eastAsia="el-GR"/>
              </w:rPr>
              <w:t>133</w:t>
            </w:r>
          </w:p>
        </w:tc>
        <w:tc>
          <w:tcPr>
            <w:tcW w:w="524" w:type="pct"/>
            <w:tcBorders>
              <w:top w:val="single" w:sz="4" w:space="0" w:color="808080" w:themeColor="background1" w:themeShade="80"/>
              <w:bottom w:val="single" w:sz="4" w:space="0" w:color="808080" w:themeColor="background1" w:themeShade="80"/>
            </w:tcBorders>
            <w:vAlign w:val="center"/>
          </w:tcPr>
          <w:p w14:paraId="5C08AC69" w14:textId="09ED2905" w:rsidR="00BB4BD1" w:rsidRPr="006B5511"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
                <w:sz w:val="16"/>
                <w:szCs w:val="16"/>
                <w:highlight w:val="yellow"/>
              </w:rPr>
            </w:pPr>
            <w:r>
              <w:rPr>
                <w:rFonts w:ascii="Arial" w:eastAsia="Times New Roman" w:hAnsi="Arial" w:cs="Arial"/>
                <w:b/>
                <w:bCs/>
                <w:sz w:val="18"/>
                <w:szCs w:val="20"/>
                <w:lang w:eastAsia="el-GR"/>
              </w:rPr>
              <w:t>4%</w:t>
            </w:r>
          </w:p>
        </w:tc>
        <w:tc>
          <w:tcPr>
            <w:tcW w:w="522"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3CB2996" w14:textId="6A4B554B" w:rsidR="00BB4BD1" w:rsidRPr="006B5511" w:rsidRDefault="00BB4BD1" w:rsidP="00BB4BD1">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Cs/>
                <w:sz w:val="16"/>
                <w:szCs w:val="16"/>
                <w:highlight w:val="yellow"/>
                <w:lang w:eastAsia="el-GR"/>
              </w:rPr>
            </w:pPr>
            <w:r>
              <w:rPr>
                <w:rFonts w:ascii="Arial" w:eastAsia="Times New Roman" w:hAnsi="Arial" w:cs="Arial"/>
                <w:bCs/>
                <w:sz w:val="18"/>
                <w:szCs w:val="20"/>
                <w:lang w:eastAsia="el-GR"/>
              </w:rPr>
              <w:t>23%</w:t>
            </w:r>
          </w:p>
        </w:tc>
      </w:tr>
      <w:tr w:rsidR="00A93643" w:rsidRPr="00CF1753" w14:paraId="63DE7DA0" w14:textId="77777777" w:rsidTr="00CB38F0">
        <w:trPr>
          <w:trHeight w:val="49"/>
          <w:jc w:val="center"/>
        </w:trPr>
        <w:tc>
          <w:tcPr>
            <w:tcW w:w="5000"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012468" w14:textId="2CC283C7" w:rsidR="00A93643" w:rsidRPr="00CB38F0" w:rsidRDefault="00A93643" w:rsidP="00A93643">
            <w:pPr>
              <w:tabs>
                <w:tab w:val="left" w:pos="0"/>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bCs/>
                <w:sz w:val="18"/>
                <w:szCs w:val="20"/>
                <w:lang w:val="el-GR" w:eastAsia="el-GR"/>
              </w:rPr>
            </w:pPr>
            <w:r w:rsidRPr="00CB38F0">
              <w:rPr>
                <w:rFonts w:ascii="Arial" w:hAnsi="Arial" w:cs="Arial"/>
                <w:color w:val="000000" w:themeColor="text1"/>
                <w:sz w:val="14"/>
                <w:szCs w:val="14"/>
                <w:lang w:val="el-GR"/>
              </w:rPr>
              <w:t>Ε.μ. = εκατοστιαίες μονάδες, μ.β.= μονάδες βάσης, 100 μονάδες βάσης = 1 εκατοστιαία μονάδα</w:t>
            </w:r>
          </w:p>
        </w:tc>
      </w:tr>
    </w:tbl>
    <w:p w14:paraId="361AA37F" w14:textId="5EAB3495" w:rsidR="00F25D9C" w:rsidRPr="00CB38F0" w:rsidRDefault="00F25D9C" w:rsidP="00FD0147">
      <w:pPr>
        <w:spacing w:after="0" w:line="240" w:lineRule="auto"/>
        <w:jc w:val="both"/>
        <w:rPr>
          <w:rFonts w:ascii="Arial" w:hAnsi="Arial" w:cs="Arial"/>
          <w:sz w:val="18"/>
          <w:szCs w:val="18"/>
          <w:lang w:val="el-GR"/>
        </w:rPr>
      </w:pPr>
    </w:p>
    <w:p w14:paraId="4A303B09" w14:textId="0720B323" w:rsidR="006A6DBB" w:rsidRPr="00CB38F0" w:rsidRDefault="00F26111" w:rsidP="00F26350">
      <w:pPr>
        <w:spacing w:after="0" w:line="240" w:lineRule="auto"/>
        <w:jc w:val="both"/>
        <w:rPr>
          <w:rFonts w:ascii="Arial" w:hAnsi="Arial" w:cs="Arial"/>
          <w:sz w:val="18"/>
          <w:szCs w:val="18"/>
          <w:lang w:val="el-GR"/>
        </w:rPr>
      </w:pPr>
      <w:r w:rsidRPr="00CB38F0">
        <w:rPr>
          <w:rFonts w:ascii="Arial" w:hAnsi="Arial" w:cs="Arial"/>
          <w:sz w:val="18"/>
          <w:szCs w:val="18"/>
          <w:lang w:val="el-GR"/>
        </w:rPr>
        <w:t xml:space="preserve">Η </w:t>
      </w:r>
      <w:r w:rsidRPr="00CB38F0">
        <w:rPr>
          <w:rFonts w:ascii="Arial" w:hAnsi="Arial" w:cs="Arial"/>
          <w:b/>
          <w:bCs/>
          <w:sz w:val="18"/>
          <w:szCs w:val="18"/>
          <w:lang w:val="el-GR"/>
        </w:rPr>
        <w:t xml:space="preserve">χρέωση φορολογίας </w:t>
      </w:r>
      <w:r w:rsidRPr="00CB38F0">
        <w:rPr>
          <w:rFonts w:ascii="Arial" w:hAnsi="Arial" w:cs="Arial"/>
          <w:sz w:val="18"/>
          <w:szCs w:val="18"/>
          <w:lang w:val="el-GR"/>
        </w:rPr>
        <w:t xml:space="preserve">για το </w:t>
      </w:r>
      <w:r w:rsidR="00FD2876" w:rsidRPr="00CB38F0">
        <w:rPr>
          <w:rFonts w:ascii="Arial" w:hAnsi="Arial" w:cs="Arial"/>
          <w:sz w:val="18"/>
          <w:szCs w:val="18"/>
          <w:lang w:val="el-GR"/>
        </w:rPr>
        <w:t>α’ εξάμηνο 2024 ανήλθε σε €</w:t>
      </w:r>
      <w:r w:rsidR="00BB4BD1" w:rsidRPr="006A1797">
        <w:rPr>
          <w:rFonts w:ascii="Arial" w:hAnsi="Arial" w:cs="Arial"/>
          <w:sz w:val="18"/>
          <w:lang w:val="el-GR"/>
        </w:rPr>
        <w:t xml:space="preserve">48 </w:t>
      </w:r>
      <w:r w:rsidR="00FD2876" w:rsidRPr="00CB38F0">
        <w:rPr>
          <w:rFonts w:ascii="Arial" w:hAnsi="Arial" w:cs="Arial"/>
          <w:sz w:val="18"/>
          <w:szCs w:val="18"/>
          <w:lang w:val="el-GR"/>
        </w:rPr>
        <w:t>εκατ., σε σύγκριση με €40 εκατ. για το α’ εξάμηνο 2023.</w:t>
      </w:r>
      <w:r w:rsidR="00FD2876" w:rsidRPr="00FD2876">
        <w:rPr>
          <w:lang w:val="el-GR"/>
        </w:rPr>
        <w:t xml:space="preserve"> </w:t>
      </w:r>
      <w:r w:rsidR="00FD2876" w:rsidRPr="00FD2876">
        <w:rPr>
          <w:rFonts w:ascii="Arial" w:hAnsi="Arial" w:cs="Arial"/>
          <w:sz w:val="18"/>
          <w:szCs w:val="18"/>
          <w:lang w:val="el-GR"/>
        </w:rPr>
        <w:t xml:space="preserve">Η χρέωση φορολογίας για το β’ </w:t>
      </w:r>
      <w:r w:rsidRPr="00CB38F0">
        <w:rPr>
          <w:rFonts w:ascii="Arial" w:hAnsi="Arial" w:cs="Arial"/>
          <w:sz w:val="18"/>
          <w:szCs w:val="18"/>
          <w:lang w:val="el-GR"/>
        </w:rPr>
        <w:t xml:space="preserve">τρίμηνο </w:t>
      </w:r>
      <w:r w:rsidR="006A6DBB" w:rsidRPr="00CB38F0">
        <w:rPr>
          <w:rFonts w:ascii="Arial" w:hAnsi="Arial" w:cs="Arial"/>
          <w:sz w:val="18"/>
          <w:szCs w:val="18"/>
          <w:lang w:val="el-GR"/>
        </w:rPr>
        <w:t xml:space="preserve">2024 </w:t>
      </w:r>
      <w:r w:rsidRPr="00CB38F0">
        <w:rPr>
          <w:rFonts w:ascii="Arial" w:hAnsi="Arial" w:cs="Arial"/>
          <w:sz w:val="18"/>
          <w:szCs w:val="18"/>
          <w:lang w:val="el-GR"/>
        </w:rPr>
        <w:t>ανήλθε σε €</w:t>
      </w:r>
      <w:r w:rsidR="00BB4BD1" w:rsidRPr="006A1797">
        <w:rPr>
          <w:rFonts w:ascii="Arial" w:hAnsi="Arial" w:cs="Arial"/>
          <w:sz w:val="18"/>
          <w:lang w:val="el-GR"/>
        </w:rPr>
        <w:t xml:space="preserve">23 </w:t>
      </w:r>
      <w:r w:rsidRPr="00CB38F0">
        <w:rPr>
          <w:rFonts w:ascii="Arial" w:hAnsi="Arial" w:cs="Arial"/>
          <w:sz w:val="18"/>
          <w:szCs w:val="18"/>
          <w:lang w:val="el-GR"/>
        </w:rPr>
        <w:t>εκατ.</w:t>
      </w:r>
      <w:r w:rsidR="006A6DBB" w:rsidRPr="00CB38F0">
        <w:rPr>
          <w:rFonts w:ascii="Arial" w:hAnsi="Arial" w:cs="Arial"/>
          <w:sz w:val="18"/>
          <w:szCs w:val="18"/>
          <w:lang w:val="el-GR"/>
        </w:rPr>
        <w:t xml:space="preserve"> σε σύγκριση με €</w:t>
      </w:r>
      <w:r w:rsidR="00FD2876" w:rsidRPr="00CB38F0">
        <w:rPr>
          <w:rFonts w:ascii="Arial" w:hAnsi="Arial" w:cs="Arial"/>
          <w:sz w:val="18"/>
          <w:szCs w:val="18"/>
          <w:lang w:val="el-GR"/>
        </w:rPr>
        <w:t xml:space="preserve">25 </w:t>
      </w:r>
      <w:r w:rsidR="006A6DBB" w:rsidRPr="00CB38F0">
        <w:rPr>
          <w:rFonts w:ascii="Arial" w:hAnsi="Arial" w:cs="Arial"/>
          <w:sz w:val="18"/>
          <w:szCs w:val="18"/>
          <w:lang w:val="el-GR"/>
        </w:rPr>
        <w:t xml:space="preserve">εκατ. για το </w:t>
      </w:r>
      <w:r w:rsidR="00FD2876" w:rsidRPr="00CB38F0">
        <w:rPr>
          <w:rFonts w:ascii="Arial" w:hAnsi="Arial" w:cs="Arial"/>
          <w:sz w:val="18"/>
          <w:szCs w:val="18"/>
          <w:lang w:val="el-GR"/>
        </w:rPr>
        <w:t xml:space="preserve">α’ </w:t>
      </w:r>
      <w:r w:rsidR="006A6DBB" w:rsidRPr="00CB38F0">
        <w:rPr>
          <w:rFonts w:ascii="Arial" w:hAnsi="Arial" w:cs="Arial"/>
          <w:sz w:val="18"/>
          <w:szCs w:val="18"/>
          <w:lang w:val="el-GR"/>
        </w:rPr>
        <w:t xml:space="preserve">τρίμηνο </w:t>
      </w:r>
      <w:r w:rsidR="00FD2876" w:rsidRPr="00CB38F0">
        <w:rPr>
          <w:rFonts w:ascii="Arial" w:hAnsi="Arial" w:cs="Arial"/>
          <w:sz w:val="18"/>
          <w:szCs w:val="18"/>
          <w:lang w:val="el-GR"/>
        </w:rPr>
        <w:t xml:space="preserve">2024. </w:t>
      </w:r>
      <w:r w:rsidR="006A6DBB" w:rsidRPr="00CB38F0">
        <w:rPr>
          <w:rFonts w:ascii="Arial" w:hAnsi="Arial" w:cs="Arial"/>
          <w:sz w:val="18"/>
          <w:szCs w:val="18"/>
          <w:lang w:val="el-GR"/>
        </w:rPr>
        <w:t xml:space="preserve"> </w:t>
      </w:r>
    </w:p>
    <w:p w14:paraId="6B1CE2A8" w14:textId="77777777" w:rsidR="001F107D" w:rsidRPr="006A1797" w:rsidRDefault="001F107D" w:rsidP="00F26350">
      <w:pPr>
        <w:spacing w:after="0" w:line="240" w:lineRule="auto"/>
        <w:jc w:val="both"/>
        <w:rPr>
          <w:rFonts w:ascii="Arial" w:hAnsi="Arial" w:cs="Arial"/>
          <w:sz w:val="18"/>
          <w:szCs w:val="18"/>
          <w:lang w:val="el-GR"/>
        </w:rPr>
      </w:pPr>
    </w:p>
    <w:p w14:paraId="796D2AA1" w14:textId="0A74745B" w:rsidR="00DC1916" w:rsidRPr="006B5511" w:rsidRDefault="001F107D" w:rsidP="00770F16">
      <w:pPr>
        <w:spacing w:after="0" w:line="240" w:lineRule="auto"/>
        <w:jc w:val="both"/>
        <w:rPr>
          <w:rFonts w:ascii="Arial" w:hAnsi="Arial" w:cs="Arial"/>
          <w:sz w:val="18"/>
          <w:szCs w:val="18"/>
          <w:highlight w:val="yellow"/>
          <w:lang w:val="el-GR"/>
        </w:rPr>
      </w:pPr>
      <w:r w:rsidRPr="006A1797">
        <w:rPr>
          <w:rFonts w:ascii="Arial" w:hAnsi="Arial" w:cs="Arial"/>
          <w:sz w:val="18"/>
          <w:szCs w:val="18"/>
          <w:lang w:val="el-GR"/>
        </w:rPr>
        <w:t xml:space="preserve">Στις 22 Δεκεμβρίου 2022, η Ευρωπαϊκή Επιτροπή ενέκρινε την Οδηγία 2022/2523 που προνοεί για ελάχιστο πραγματικό φορολογικό συντελεστή ύψους 15% για τις παγκόσμιες δραστηριότητες μεγάλων πολυεθνικών </w:t>
      </w:r>
      <w:r w:rsidR="00D00652" w:rsidRPr="006A1797">
        <w:rPr>
          <w:rFonts w:ascii="Arial" w:hAnsi="Arial" w:cs="Arial"/>
          <w:sz w:val="18"/>
          <w:szCs w:val="18"/>
          <w:lang w:val="el-GR"/>
        </w:rPr>
        <w:t xml:space="preserve">συγκροτημάτων </w:t>
      </w:r>
      <w:r w:rsidR="00FB0FE7" w:rsidRPr="006A1797">
        <w:rPr>
          <w:rFonts w:ascii="Arial" w:hAnsi="Arial" w:cs="Arial"/>
          <w:sz w:val="18"/>
          <w:szCs w:val="18"/>
          <w:lang w:val="el-GR"/>
        </w:rPr>
        <w:t>(φορολογία του Πυλώνα ΙΙ)</w:t>
      </w:r>
      <w:r w:rsidRPr="006A1797">
        <w:rPr>
          <w:rFonts w:ascii="Arial" w:hAnsi="Arial" w:cs="Arial"/>
          <w:sz w:val="18"/>
          <w:szCs w:val="18"/>
          <w:lang w:val="el-GR"/>
        </w:rPr>
        <w:t xml:space="preserve">. Η Οδηγία που ακολουθεί πιστά το Περιεκτικό Πλαίσιο του ΟΟΣΑ για τη διάβρωση φορολογικής βάσης και τη μετατόπιση κερδών (BEPS) θα </w:t>
      </w:r>
      <w:r w:rsidR="00C9519E">
        <w:rPr>
          <w:rFonts w:ascii="Arial" w:hAnsi="Arial" w:cs="Arial"/>
          <w:sz w:val="18"/>
          <w:szCs w:val="18"/>
          <w:lang w:val="el-GR"/>
        </w:rPr>
        <w:t xml:space="preserve">έπρεπε </w:t>
      </w:r>
      <w:r w:rsidRPr="006A1797">
        <w:rPr>
          <w:rFonts w:ascii="Arial" w:hAnsi="Arial" w:cs="Arial"/>
          <w:sz w:val="18"/>
          <w:szCs w:val="18"/>
          <w:lang w:val="el-GR"/>
        </w:rPr>
        <w:t xml:space="preserve">να ενσωματωθεί από τα κράτη μέλη το 2023 και </w:t>
      </w:r>
      <w:r w:rsidR="00C9519E">
        <w:rPr>
          <w:rFonts w:ascii="Arial" w:hAnsi="Arial" w:cs="Arial"/>
          <w:sz w:val="18"/>
          <w:szCs w:val="18"/>
          <w:lang w:val="el-GR"/>
        </w:rPr>
        <w:t>ν</w:t>
      </w:r>
      <w:r w:rsidRPr="006A1797">
        <w:rPr>
          <w:rFonts w:ascii="Arial" w:hAnsi="Arial" w:cs="Arial"/>
          <w:sz w:val="18"/>
          <w:szCs w:val="18"/>
          <w:lang w:val="el-GR"/>
        </w:rPr>
        <w:t xml:space="preserve">α τεθεί σε ισχύ την 1 Ιανουαρίου 2024. </w:t>
      </w:r>
      <w:r w:rsidR="00DC1916" w:rsidRPr="006A1797">
        <w:rPr>
          <w:rFonts w:ascii="Arial" w:hAnsi="Arial" w:cs="Arial"/>
          <w:sz w:val="18"/>
          <w:szCs w:val="18"/>
          <w:lang w:val="el-GR"/>
        </w:rPr>
        <w:t>Στην Κύπρο, η</w:t>
      </w:r>
      <w:r w:rsidRPr="006A1797">
        <w:rPr>
          <w:rFonts w:ascii="Arial" w:hAnsi="Arial" w:cs="Arial"/>
          <w:sz w:val="18"/>
          <w:szCs w:val="18"/>
          <w:lang w:val="el-GR"/>
        </w:rPr>
        <w:t xml:space="preserve"> νομοθεσία δεν έχει ουσιαστικά θεσπιστεί κατά την ημερομηνία του ισολογισμού</w:t>
      </w:r>
      <w:r w:rsidR="00DC1916" w:rsidRPr="006A1797">
        <w:rPr>
          <w:rFonts w:ascii="Arial" w:hAnsi="Arial" w:cs="Arial"/>
          <w:sz w:val="18"/>
          <w:szCs w:val="18"/>
          <w:lang w:val="el-GR"/>
        </w:rPr>
        <w:t>, ωστόσο αναμένεται να τεθεί σε ισχύ εντός του 2024. Το Σ</w:t>
      </w:r>
      <w:r w:rsidRPr="006A1797">
        <w:rPr>
          <w:rFonts w:ascii="Arial" w:hAnsi="Arial" w:cs="Arial"/>
          <w:sz w:val="18"/>
          <w:szCs w:val="18"/>
          <w:lang w:val="el-GR"/>
        </w:rPr>
        <w:t xml:space="preserve">υγκρότημα </w:t>
      </w:r>
      <w:r w:rsidR="00DC1916" w:rsidRPr="006A1797">
        <w:rPr>
          <w:rFonts w:ascii="Arial" w:hAnsi="Arial" w:cs="Arial"/>
          <w:sz w:val="18"/>
          <w:szCs w:val="18"/>
          <w:lang w:val="el-GR"/>
        </w:rPr>
        <w:t>αναμένει ότι θα εμπίπτει στο πεδίο εφαρμογής του νομοσχ</w:t>
      </w:r>
      <w:r w:rsidR="00841D3D" w:rsidRPr="006A1797">
        <w:rPr>
          <w:rFonts w:ascii="Arial" w:hAnsi="Arial" w:cs="Arial"/>
          <w:sz w:val="18"/>
          <w:szCs w:val="18"/>
          <w:lang w:val="el-GR"/>
        </w:rPr>
        <w:t>ε</w:t>
      </w:r>
      <w:r w:rsidR="00DC1916" w:rsidRPr="006A1797">
        <w:rPr>
          <w:rFonts w:ascii="Arial" w:hAnsi="Arial" w:cs="Arial"/>
          <w:sz w:val="18"/>
          <w:szCs w:val="18"/>
          <w:lang w:val="el-GR"/>
        </w:rPr>
        <w:t>δ</w:t>
      </w:r>
      <w:r w:rsidR="00841D3D" w:rsidRPr="006A1797">
        <w:rPr>
          <w:rFonts w:ascii="Arial" w:hAnsi="Arial" w:cs="Arial"/>
          <w:sz w:val="18"/>
          <w:szCs w:val="18"/>
          <w:lang w:val="el-GR"/>
        </w:rPr>
        <w:t>ί</w:t>
      </w:r>
      <w:r w:rsidR="00DC1916" w:rsidRPr="006A1797">
        <w:rPr>
          <w:rFonts w:ascii="Arial" w:hAnsi="Arial" w:cs="Arial"/>
          <w:sz w:val="18"/>
          <w:szCs w:val="18"/>
          <w:lang w:val="el-GR"/>
        </w:rPr>
        <w:t>ου και έχει προβεί σε εκτίμηση της έκθεσης σε φορολογία του Πυλώνα ΙΙ, η οποία</w:t>
      </w:r>
      <w:r w:rsidR="008C7AAA" w:rsidRPr="006A1797">
        <w:rPr>
          <w:rFonts w:ascii="Arial" w:hAnsi="Arial" w:cs="Arial"/>
          <w:sz w:val="18"/>
          <w:szCs w:val="18"/>
          <w:lang w:val="el-GR"/>
        </w:rPr>
        <w:t xml:space="preserve"> επί του παρόντος </w:t>
      </w:r>
      <w:r w:rsidR="006B2C9A" w:rsidRPr="006A1797">
        <w:rPr>
          <w:rFonts w:ascii="Arial" w:hAnsi="Arial" w:cs="Arial"/>
          <w:sz w:val="18"/>
          <w:szCs w:val="18"/>
          <w:lang w:val="el-GR"/>
        </w:rPr>
        <w:t xml:space="preserve">αναμένεται να </w:t>
      </w:r>
      <w:r w:rsidR="008C7AAA" w:rsidRPr="006A1797">
        <w:rPr>
          <w:rFonts w:ascii="Arial" w:hAnsi="Arial" w:cs="Arial"/>
          <w:sz w:val="18"/>
          <w:szCs w:val="18"/>
          <w:lang w:val="el-GR"/>
        </w:rPr>
        <w:t xml:space="preserve">κυμαίνεται </w:t>
      </w:r>
      <w:r w:rsidR="00657FEC" w:rsidRPr="006A1797">
        <w:rPr>
          <w:rFonts w:ascii="Arial" w:hAnsi="Arial" w:cs="Arial"/>
          <w:sz w:val="18"/>
          <w:szCs w:val="18"/>
          <w:lang w:val="el-GR"/>
        </w:rPr>
        <w:t xml:space="preserve">μέχρι </w:t>
      </w:r>
      <w:r w:rsidR="00033502" w:rsidRPr="006A1797">
        <w:rPr>
          <w:rFonts w:ascii="Arial" w:hAnsi="Arial" w:cs="Arial"/>
          <w:sz w:val="18"/>
          <w:szCs w:val="18"/>
          <w:lang w:val="el-GR"/>
        </w:rPr>
        <w:t>το</w:t>
      </w:r>
      <w:r w:rsidR="008C7AAA" w:rsidRPr="006A1797">
        <w:rPr>
          <w:rFonts w:ascii="Arial" w:hAnsi="Arial" w:cs="Arial"/>
          <w:sz w:val="18"/>
          <w:szCs w:val="18"/>
          <w:lang w:val="el-GR"/>
        </w:rPr>
        <w:t xml:space="preserve"> </w:t>
      </w:r>
      <w:r w:rsidR="00CF2CF8" w:rsidRPr="006A1797">
        <w:rPr>
          <w:rFonts w:ascii="Arial" w:hAnsi="Arial" w:cs="Arial"/>
          <w:sz w:val="18"/>
          <w:szCs w:val="18"/>
          <w:lang w:val="el-GR"/>
        </w:rPr>
        <w:t>1.5</w:t>
      </w:r>
      <w:r w:rsidR="008C7AAA" w:rsidRPr="006A1797">
        <w:rPr>
          <w:rFonts w:ascii="Arial" w:hAnsi="Arial" w:cs="Arial"/>
          <w:sz w:val="18"/>
          <w:szCs w:val="18"/>
          <w:lang w:val="el-GR"/>
        </w:rPr>
        <w:t>% των κερδών πριν τη φορολογία</w:t>
      </w:r>
      <w:r w:rsidR="00CF2CF8" w:rsidRPr="006A1797">
        <w:rPr>
          <w:rFonts w:ascii="Arial" w:hAnsi="Arial" w:cs="Arial"/>
          <w:sz w:val="18"/>
          <w:szCs w:val="18"/>
          <w:lang w:val="el-GR"/>
        </w:rPr>
        <w:t xml:space="preserve"> για το α’ εξάμηνο 2024</w:t>
      </w:r>
      <w:r w:rsidR="00A815F1" w:rsidRPr="006A1797">
        <w:rPr>
          <w:rFonts w:ascii="Arial" w:hAnsi="Arial" w:cs="Arial"/>
          <w:sz w:val="18"/>
          <w:szCs w:val="18"/>
          <w:lang w:val="el-GR"/>
        </w:rPr>
        <w:t>.</w:t>
      </w:r>
      <w:r w:rsidR="00A815F1" w:rsidRPr="00A815F1">
        <w:rPr>
          <w:rFonts w:ascii="Arial" w:hAnsi="Arial" w:cs="Arial"/>
          <w:sz w:val="18"/>
          <w:szCs w:val="18"/>
          <w:lang w:val="el-GR"/>
        </w:rPr>
        <w:t xml:space="preserve"> </w:t>
      </w:r>
      <w:r w:rsidR="00770F16" w:rsidRPr="006A1797">
        <w:rPr>
          <w:rFonts w:ascii="Arial" w:hAnsi="Arial" w:cs="Arial"/>
          <w:sz w:val="18"/>
          <w:szCs w:val="18"/>
          <w:lang w:val="el-GR"/>
        </w:rPr>
        <w:t xml:space="preserve">Λόγω της πολυπλοκότητας του υπολογισμού που προκύπτει από αυτούς τους κανόνες και </w:t>
      </w:r>
      <w:r w:rsidR="00D00652" w:rsidRPr="006A1797">
        <w:rPr>
          <w:rFonts w:ascii="Arial" w:hAnsi="Arial" w:cs="Arial"/>
          <w:sz w:val="18"/>
          <w:szCs w:val="18"/>
          <w:lang w:val="el-GR"/>
        </w:rPr>
        <w:t xml:space="preserve">το γεγονός ότι </w:t>
      </w:r>
      <w:r w:rsidR="00770F16" w:rsidRPr="006A1797">
        <w:rPr>
          <w:rFonts w:ascii="Arial" w:hAnsi="Arial" w:cs="Arial"/>
          <w:sz w:val="18"/>
          <w:szCs w:val="18"/>
          <w:lang w:val="el-GR"/>
        </w:rPr>
        <w:t xml:space="preserve">η τελική νομοθεσία δεν έχει ακόμη </w:t>
      </w:r>
      <w:r w:rsidR="00F71437" w:rsidRPr="006A1797">
        <w:rPr>
          <w:rFonts w:ascii="Arial" w:hAnsi="Arial" w:cs="Arial"/>
          <w:sz w:val="18"/>
          <w:szCs w:val="18"/>
          <w:lang w:val="el-GR"/>
        </w:rPr>
        <w:t>εφαρμοστεί</w:t>
      </w:r>
      <w:r w:rsidR="00770F16" w:rsidRPr="006A1797">
        <w:rPr>
          <w:rFonts w:ascii="Arial" w:hAnsi="Arial" w:cs="Arial"/>
          <w:sz w:val="18"/>
          <w:szCs w:val="18"/>
          <w:lang w:val="el-GR"/>
        </w:rPr>
        <w:t xml:space="preserve">, </w:t>
      </w:r>
      <w:r w:rsidR="00A815F1">
        <w:rPr>
          <w:rFonts w:ascii="Arial" w:hAnsi="Arial" w:cs="Arial"/>
          <w:sz w:val="18"/>
          <w:szCs w:val="18"/>
          <w:lang w:val="el-GR"/>
        </w:rPr>
        <w:t>η επίπτωση</w:t>
      </w:r>
      <w:r w:rsidR="00770F16" w:rsidRPr="006A1797">
        <w:rPr>
          <w:rFonts w:ascii="Arial" w:hAnsi="Arial" w:cs="Arial"/>
          <w:sz w:val="18"/>
          <w:szCs w:val="18"/>
          <w:lang w:val="el-GR"/>
        </w:rPr>
        <w:t xml:space="preserve"> </w:t>
      </w:r>
      <w:r w:rsidR="00F71437" w:rsidRPr="006A1797">
        <w:rPr>
          <w:rFonts w:ascii="Arial" w:hAnsi="Arial" w:cs="Arial"/>
          <w:sz w:val="18"/>
          <w:szCs w:val="18"/>
          <w:lang w:val="el-GR"/>
        </w:rPr>
        <w:t>της</w:t>
      </w:r>
      <w:r w:rsidR="00770F16" w:rsidRPr="006A1797">
        <w:rPr>
          <w:rFonts w:ascii="Arial" w:hAnsi="Arial" w:cs="Arial"/>
          <w:sz w:val="18"/>
          <w:szCs w:val="18"/>
          <w:lang w:val="el-GR"/>
        </w:rPr>
        <w:t xml:space="preserve"> μεταρρύθμισης</w:t>
      </w:r>
      <w:r w:rsidR="00A815F1" w:rsidRPr="006A1797">
        <w:rPr>
          <w:rFonts w:ascii="Arial" w:hAnsi="Arial" w:cs="Arial"/>
          <w:sz w:val="18"/>
          <w:szCs w:val="18"/>
          <w:lang w:val="el-GR"/>
        </w:rPr>
        <w:t xml:space="preserve"> εκτιμάται</w:t>
      </w:r>
      <w:r w:rsidR="00A815F1" w:rsidRPr="00A815F1">
        <w:rPr>
          <w:rFonts w:ascii="Arial" w:hAnsi="Arial" w:cs="Arial"/>
          <w:sz w:val="18"/>
          <w:szCs w:val="18"/>
          <w:lang w:val="el-GR"/>
        </w:rPr>
        <w:t xml:space="preserve"> να κυμαίνεται μέχρι το 2% των κερδών πριν τη φορολογία</w:t>
      </w:r>
      <w:r w:rsidR="00A815F1">
        <w:rPr>
          <w:rFonts w:ascii="Arial" w:hAnsi="Arial" w:cs="Arial"/>
          <w:sz w:val="18"/>
          <w:szCs w:val="18"/>
          <w:lang w:val="el-GR"/>
        </w:rPr>
        <w:t>, και αναμένεται η περαιτέρω</w:t>
      </w:r>
      <w:r w:rsidR="00D00652" w:rsidRPr="006A1797">
        <w:rPr>
          <w:rFonts w:ascii="Arial" w:hAnsi="Arial" w:cs="Arial"/>
          <w:sz w:val="18"/>
          <w:szCs w:val="18"/>
          <w:lang w:val="el-GR"/>
        </w:rPr>
        <w:t xml:space="preserve"> βελτιστοποίηση</w:t>
      </w:r>
      <w:r w:rsidR="00F71437" w:rsidRPr="006A1797">
        <w:rPr>
          <w:rFonts w:ascii="Arial" w:hAnsi="Arial" w:cs="Arial"/>
          <w:sz w:val="18"/>
          <w:szCs w:val="18"/>
          <w:lang w:val="el-GR"/>
        </w:rPr>
        <w:t xml:space="preserve"> </w:t>
      </w:r>
      <w:r w:rsidR="00D00652" w:rsidRPr="006A1797">
        <w:rPr>
          <w:rFonts w:ascii="Arial" w:hAnsi="Arial" w:cs="Arial"/>
          <w:sz w:val="18"/>
          <w:szCs w:val="18"/>
          <w:lang w:val="el-GR"/>
        </w:rPr>
        <w:t>τ</w:t>
      </w:r>
      <w:r w:rsidR="00770F16" w:rsidRPr="006A1797">
        <w:rPr>
          <w:rFonts w:ascii="Arial" w:hAnsi="Arial" w:cs="Arial"/>
          <w:sz w:val="18"/>
          <w:szCs w:val="18"/>
          <w:lang w:val="el-GR"/>
        </w:rPr>
        <w:t>η</w:t>
      </w:r>
      <w:r w:rsidR="00D00652" w:rsidRPr="006A1797">
        <w:rPr>
          <w:rFonts w:ascii="Arial" w:hAnsi="Arial" w:cs="Arial"/>
          <w:sz w:val="18"/>
          <w:szCs w:val="18"/>
          <w:lang w:val="el-GR"/>
        </w:rPr>
        <w:t>ς</w:t>
      </w:r>
      <w:r w:rsidR="00770F16" w:rsidRPr="006A1797">
        <w:rPr>
          <w:rFonts w:ascii="Arial" w:hAnsi="Arial" w:cs="Arial"/>
          <w:sz w:val="18"/>
          <w:szCs w:val="18"/>
          <w:lang w:val="el-GR"/>
        </w:rPr>
        <w:t xml:space="preserve"> ποσοτικοποίηση</w:t>
      </w:r>
      <w:r w:rsidR="00D00652" w:rsidRPr="006A1797">
        <w:rPr>
          <w:rFonts w:ascii="Arial" w:hAnsi="Arial" w:cs="Arial"/>
          <w:sz w:val="18"/>
          <w:szCs w:val="18"/>
          <w:lang w:val="el-GR"/>
        </w:rPr>
        <w:t>ς</w:t>
      </w:r>
      <w:r w:rsidR="00A815F1">
        <w:rPr>
          <w:rFonts w:ascii="Arial" w:hAnsi="Arial" w:cs="Arial"/>
          <w:sz w:val="18"/>
          <w:szCs w:val="18"/>
          <w:lang w:val="el-GR"/>
        </w:rPr>
        <w:t xml:space="preserve"> </w:t>
      </w:r>
      <w:r w:rsidR="003B242E" w:rsidRPr="006A1797">
        <w:rPr>
          <w:rFonts w:ascii="Arial" w:hAnsi="Arial" w:cs="Arial"/>
          <w:sz w:val="18"/>
          <w:szCs w:val="18"/>
          <w:lang w:val="el-GR"/>
        </w:rPr>
        <w:t xml:space="preserve">μέχρι την </w:t>
      </w:r>
      <w:r w:rsidR="00A815F1">
        <w:rPr>
          <w:rFonts w:ascii="Arial" w:hAnsi="Arial" w:cs="Arial"/>
          <w:sz w:val="18"/>
          <w:szCs w:val="18"/>
          <w:lang w:val="el-GR"/>
        </w:rPr>
        <w:t xml:space="preserve">θέσπιση και </w:t>
      </w:r>
      <w:r w:rsidR="003B242E" w:rsidRPr="006A1797">
        <w:rPr>
          <w:rFonts w:ascii="Arial" w:hAnsi="Arial" w:cs="Arial"/>
          <w:sz w:val="18"/>
          <w:szCs w:val="18"/>
          <w:lang w:val="el-GR"/>
        </w:rPr>
        <w:t>εφαρμογή της σχετικής νομοθεσίας.</w:t>
      </w:r>
      <w:r w:rsidR="00770F16" w:rsidRPr="006A1797">
        <w:rPr>
          <w:rFonts w:ascii="Arial" w:hAnsi="Arial" w:cs="Arial"/>
          <w:sz w:val="18"/>
          <w:szCs w:val="18"/>
          <w:lang w:val="el-GR"/>
        </w:rPr>
        <w:t xml:space="preserve"> </w:t>
      </w:r>
    </w:p>
    <w:p w14:paraId="3023BEC1" w14:textId="77777777" w:rsidR="00FD0147" w:rsidRPr="00CB38F0" w:rsidRDefault="00FD0147" w:rsidP="00FD0147">
      <w:pPr>
        <w:spacing w:after="0" w:line="240" w:lineRule="auto"/>
        <w:jc w:val="both"/>
        <w:rPr>
          <w:rFonts w:ascii="Arial" w:hAnsi="Arial" w:cs="Arial"/>
          <w:sz w:val="18"/>
          <w:szCs w:val="18"/>
          <w:lang w:val="el-GR"/>
        </w:rPr>
      </w:pPr>
    </w:p>
    <w:p w14:paraId="2F02BE72" w14:textId="200E61A0" w:rsidR="001025CB" w:rsidRPr="00CB38F0" w:rsidRDefault="00F26111" w:rsidP="00F26350">
      <w:pPr>
        <w:spacing w:after="0" w:line="240" w:lineRule="auto"/>
        <w:jc w:val="both"/>
        <w:rPr>
          <w:rFonts w:ascii="Arial" w:hAnsi="Arial" w:cs="Arial"/>
          <w:sz w:val="18"/>
          <w:szCs w:val="18"/>
          <w:lang w:val="el-GR"/>
        </w:rPr>
      </w:pPr>
      <w:r w:rsidRPr="00CB38F0">
        <w:rPr>
          <w:rFonts w:ascii="Arial" w:hAnsi="Arial" w:cs="Arial"/>
          <w:b/>
          <w:bCs/>
          <w:sz w:val="18"/>
          <w:szCs w:val="18"/>
          <w:lang w:val="el-GR"/>
        </w:rPr>
        <w:t>Τα κέρδη μετά τη φορολογία και πριν τα μη</w:t>
      </w:r>
      <w:r w:rsidR="00E71E97" w:rsidRPr="00CB38F0">
        <w:rPr>
          <w:rFonts w:ascii="Arial" w:hAnsi="Arial" w:cs="Arial"/>
          <w:b/>
          <w:bCs/>
          <w:sz w:val="18"/>
          <w:szCs w:val="18"/>
          <w:lang w:val="el-GR"/>
        </w:rPr>
        <w:t>-</w:t>
      </w:r>
      <w:r w:rsidRPr="00CB38F0">
        <w:rPr>
          <w:rFonts w:ascii="Arial" w:hAnsi="Arial" w:cs="Arial"/>
          <w:b/>
          <w:bCs/>
          <w:sz w:val="18"/>
          <w:szCs w:val="18"/>
          <w:lang w:val="el-GR"/>
        </w:rPr>
        <w:t>επαναλαμβανόμενα στοιχεία (που αναλογούν στους ιδιοκτήτες της Εταιρίας)</w:t>
      </w:r>
      <w:r w:rsidRPr="00CB38F0">
        <w:rPr>
          <w:rFonts w:ascii="Arial" w:hAnsi="Arial" w:cs="Arial"/>
          <w:sz w:val="18"/>
          <w:szCs w:val="18"/>
          <w:lang w:val="el-GR"/>
        </w:rPr>
        <w:t xml:space="preserve"> </w:t>
      </w:r>
      <w:r w:rsidR="006E6930" w:rsidRPr="00CB38F0">
        <w:rPr>
          <w:rFonts w:ascii="Arial" w:hAnsi="Arial" w:cs="Arial"/>
          <w:sz w:val="18"/>
          <w:szCs w:val="18"/>
          <w:lang w:val="el-GR"/>
        </w:rPr>
        <w:t xml:space="preserve">για </w:t>
      </w:r>
      <w:r w:rsidR="00711677" w:rsidRPr="00CB38F0">
        <w:rPr>
          <w:rFonts w:ascii="Arial" w:hAnsi="Arial" w:cs="Arial"/>
          <w:sz w:val="18"/>
          <w:szCs w:val="18"/>
          <w:lang w:val="el-GR"/>
        </w:rPr>
        <w:t>το</w:t>
      </w:r>
      <w:r w:rsidR="00F304EF" w:rsidRPr="00F304EF">
        <w:rPr>
          <w:rFonts w:ascii="Arial" w:hAnsi="Arial" w:cs="Arial"/>
          <w:sz w:val="18"/>
          <w:szCs w:val="18"/>
          <w:lang w:val="el-GR"/>
        </w:rPr>
        <w:t xml:space="preserve"> α’ εξάμηνο 2024 ανήλθε σε €</w:t>
      </w:r>
      <w:r w:rsidR="00A815F1" w:rsidRPr="006A1797">
        <w:rPr>
          <w:rFonts w:ascii="Arial" w:hAnsi="Arial" w:cs="Arial"/>
          <w:bCs/>
          <w:sz w:val="18"/>
          <w:lang w:val="el-GR"/>
        </w:rPr>
        <w:t xml:space="preserve"> </w:t>
      </w:r>
      <w:r w:rsidR="00A815F1" w:rsidRPr="006A1797">
        <w:rPr>
          <w:rFonts w:ascii="Arial" w:hAnsi="Arial" w:cs="Arial"/>
          <w:bCs/>
          <w:sz w:val="18"/>
          <w:szCs w:val="18"/>
          <w:lang w:val="el-GR"/>
        </w:rPr>
        <w:t>270</w:t>
      </w:r>
      <w:r w:rsidR="00A815F1">
        <w:rPr>
          <w:rFonts w:ascii="Arial" w:hAnsi="Arial" w:cs="Arial"/>
          <w:bCs/>
          <w:sz w:val="18"/>
          <w:szCs w:val="18"/>
          <w:lang w:val="el-GR"/>
        </w:rPr>
        <w:t xml:space="preserve"> </w:t>
      </w:r>
      <w:r w:rsidR="00F304EF" w:rsidRPr="00F304EF">
        <w:rPr>
          <w:rFonts w:ascii="Arial" w:hAnsi="Arial" w:cs="Arial"/>
          <w:sz w:val="18"/>
          <w:szCs w:val="18"/>
          <w:lang w:val="el-GR"/>
        </w:rPr>
        <w:t>εκατ., σε σύγκριση με €222 εκατ. για το α’ εξάμηνο 2023.</w:t>
      </w:r>
      <w:r w:rsidR="00F304EF" w:rsidRPr="00F304EF">
        <w:rPr>
          <w:rFonts w:ascii="Arial" w:hAnsi="Arial" w:cs="Arial"/>
          <w:b/>
          <w:bCs/>
          <w:sz w:val="18"/>
          <w:szCs w:val="18"/>
          <w:lang w:val="el-GR"/>
        </w:rPr>
        <w:t xml:space="preserve"> </w:t>
      </w:r>
      <w:r w:rsidR="00F304EF" w:rsidRPr="00CB38F0">
        <w:rPr>
          <w:rFonts w:ascii="Arial" w:hAnsi="Arial" w:cs="Arial"/>
          <w:sz w:val="18"/>
          <w:szCs w:val="18"/>
          <w:lang w:val="el-GR"/>
        </w:rPr>
        <w:t>Τα κέρδη μετά τη φορολογία και πριν τα μη-επαναλαμβανόμενα στοιχεία (που αναλογούν στους ιδιοκτήτες της Εταιρίας)</w:t>
      </w:r>
      <w:r w:rsidR="00F304EF" w:rsidRPr="00F304EF">
        <w:rPr>
          <w:rFonts w:ascii="Arial" w:hAnsi="Arial" w:cs="Arial"/>
          <w:sz w:val="18"/>
          <w:szCs w:val="18"/>
          <w:lang w:val="el-GR"/>
        </w:rPr>
        <w:t xml:space="preserve"> για το </w:t>
      </w:r>
      <w:r w:rsidR="00F304EF" w:rsidRPr="00CB38F0">
        <w:rPr>
          <w:rFonts w:ascii="Arial" w:hAnsi="Arial" w:cs="Arial"/>
          <w:sz w:val="18"/>
          <w:szCs w:val="18"/>
          <w:lang w:val="el-GR"/>
        </w:rPr>
        <w:t>β</w:t>
      </w:r>
      <w:r w:rsidR="001025CB" w:rsidRPr="00CB38F0">
        <w:rPr>
          <w:rFonts w:ascii="Arial" w:hAnsi="Arial" w:cs="Arial"/>
          <w:sz w:val="18"/>
          <w:szCs w:val="18"/>
          <w:lang w:val="el-GR"/>
        </w:rPr>
        <w:t xml:space="preserve">’ τρίμηνο 2024 </w:t>
      </w:r>
      <w:r w:rsidRPr="00CB38F0">
        <w:rPr>
          <w:rFonts w:ascii="Arial" w:hAnsi="Arial" w:cs="Arial"/>
          <w:sz w:val="18"/>
          <w:szCs w:val="18"/>
          <w:lang w:val="el-GR"/>
        </w:rPr>
        <w:t>ανήλθαν σε €</w:t>
      </w:r>
      <w:r w:rsidR="00A815F1" w:rsidRPr="006A1797">
        <w:rPr>
          <w:rFonts w:ascii="Arial" w:hAnsi="Arial" w:cs="Arial"/>
          <w:bCs/>
          <w:sz w:val="18"/>
          <w:lang w:val="el-GR"/>
        </w:rPr>
        <w:t xml:space="preserve"> </w:t>
      </w:r>
      <w:r w:rsidR="00A815F1" w:rsidRPr="006A1797">
        <w:rPr>
          <w:rFonts w:ascii="Arial" w:hAnsi="Arial" w:cs="Arial"/>
          <w:bCs/>
          <w:sz w:val="18"/>
          <w:szCs w:val="18"/>
          <w:lang w:val="el-GR"/>
        </w:rPr>
        <w:t>137</w:t>
      </w:r>
      <w:r w:rsidR="00A815F1">
        <w:rPr>
          <w:rFonts w:ascii="Arial" w:hAnsi="Arial" w:cs="Arial"/>
          <w:bCs/>
          <w:sz w:val="18"/>
          <w:szCs w:val="18"/>
          <w:lang w:val="el-GR"/>
        </w:rPr>
        <w:t xml:space="preserve"> </w:t>
      </w:r>
      <w:r w:rsidRPr="00CB38F0">
        <w:rPr>
          <w:rFonts w:ascii="Arial" w:hAnsi="Arial" w:cs="Arial"/>
          <w:sz w:val="18"/>
          <w:szCs w:val="18"/>
          <w:lang w:val="el-GR"/>
        </w:rPr>
        <w:t>εκατ., σε σύγκριση με €</w:t>
      </w:r>
      <w:r w:rsidR="00F304EF" w:rsidRPr="00CB38F0">
        <w:rPr>
          <w:rFonts w:ascii="Arial" w:hAnsi="Arial" w:cs="Arial"/>
          <w:bCs/>
          <w:sz w:val="18"/>
          <w:lang w:val="el-GR"/>
        </w:rPr>
        <w:t xml:space="preserve">133 </w:t>
      </w:r>
      <w:r w:rsidRPr="00CB38F0">
        <w:rPr>
          <w:rFonts w:ascii="Arial" w:hAnsi="Arial" w:cs="Arial"/>
          <w:sz w:val="18"/>
          <w:szCs w:val="18"/>
          <w:lang w:val="el-GR"/>
        </w:rPr>
        <w:t xml:space="preserve">εκατ. </w:t>
      </w:r>
      <w:r w:rsidR="006E6930" w:rsidRPr="00CB38F0">
        <w:rPr>
          <w:rFonts w:ascii="Arial" w:hAnsi="Arial" w:cs="Arial"/>
          <w:sz w:val="18"/>
          <w:szCs w:val="18"/>
          <w:lang w:val="el-GR"/>
        </w:rPr>
        <w:t xml:space="preserve">για </w:t>
      </w:r>
      <w:r w:rsidR="00711677" w:rsidRPr="00CB38F0">
        <w:rPr>
          <w:rFonts w:ascii="Arial" w:hAnsi="Arial" w:cs="Arial"/>
          <w:sz w:val="18"/>
          <w:szCs w:val="18"/>
          <w:lang w:val="el-GR"/>
        </w:rPr>
        <w:t xml:space="preserve">το </w:t>
      </w:r>
      <w:r w:rsidR="00F304EF" w:rsidRPr="00CB38F0">
        <w:rPr>
          <w:rFonts w:ascii="Arial" w:hAnsi="Arial" w:cs="Arial"/>
          <w:sz w:val="18"/>
          <w:szCs w:val="18"/>
          <w:lang w:val="el-GR"/>
        </w:rPr>
        <w:t xml:space="preserve">α’ </w:t>
      </w:r>
      <w:r w:rsidR="001025CB" w:rsidRPr="00CB38F0">
        <w:rPr>
          <w:rFonts w:ascii="Arial" w:hAnsi="Arial" w:cs="Arial"/>
          <w:sz w:val="18"/>
          <w:szCs w:val="18"/>
          <w:lang w:val="el-GR"/>
        </w:rPr>
        <w:t xml:space="preserve">τρίμηνο </w:t>
      </w:r>
      <w:r w:rsidR="00F304EF" w:rsidRPr="00CB38F0">
        <w:rPr>
          <w:rFonts w:ascii="Arial" w:hAnsi="Arial" w:cs="Arial"/>
          <w:sz w:val="18"/>
          <w:szCs w:val="18"/>
          <w:lang w:val="el-GR"/>
        </w:rPr>
        <w:t>2024.</w:t>
      </w:r>
    </w:p>
    <w:p w14:paraId="488018DF" w14:textId="77777777" w:rsidR="00FD0147" w:rsidRPr="00CB38F0" w:rsidRDefault="00FD0147" w:rsidP="00FD0147">
      <w:pPr>
        <w:spacing w:after="0" w:line="240" w:lineRule="auto"/>
        <w:jc w:val="both"/>
        <w:rPr>
          <w:rFonts w:ascii="Arial" w:hAnsi="Arial" w:cs="Arial"/>
          <w:sz w:val="18"/>
          <w:szCs w:val="18"/>
          <w:lang w:val="el-GR"/>
        </w:rPr>
      </w:pPr>
    </w:p>
    <w:p w14:paraId="711DAB98" w14:textId="1B5DBE04" w:rsidR="00976920" w:rsidRPr="00CB38F0" w:rsidRDefault="00F26111" w:rsidP="005B0BAF">
      <w:pPr>
        <w:spacing w:after="0" w:line="240" w:lineRule="auto"/>
        <w:jc w:val="both"/>
        <w:rPr>
          <w:rFonts w:ascii="Arial" w:hAnsi="Arial" w:cs="Arial"/>
          <w:bCs/>
          <w:sz w:val="18"/>
          <w:szCs w:val="18"/>
          <w:lang w:val="el-GR"/>
        </w:rPr>
      </w:pPr>
      <w:r w:rsidRPr="00CB38F0">
        <w:rPr>
          <w:rFonts w:ascii="Arial" w:hAnsi="Arial" w:cs="Arial"/>
          <w:b/>
          <w:sz w:val="18"/>
          <w:szCs w:val="18"/>
          <w:lang w:val="el-GR"/>
        </w:rPr>
        <w:t xml:space="preserve">Τα έξοδα </w:t>
      </w:r>
      <w:r w:rsidR="00C36D38" w:rsidRPr="00CB38F0">
        <w:rPr>
          <w:rFonts w:ascii="Arial" w:hAnsi="Arial" w:cs="Arial"/>
          <w:b/>
          <w:sz w:val="18"/>
          <w:szCs w:val="18"/>
          <w:lang w:val="el-GR"/>
        </w:rPr>
        <w:t xml:space="preserve">από συμβουλευτικές υπηρεσίες </w:t>
      </w:r>
      <w:r w:rsidRPr="00CB38F0">
        <w:rPr>
          <w:rFonts w:ascii="Arial" w:hAnsi="Arial" w:cs="Arial"/>
          <w:b/>
          <w:sz w:val="18"/>
          <w:szCs w:val="18"/>
          <w:lang w:val="el-GR"/>
        </w:rPr>
        <w:t xml:space="preserve">και άλλα έξοδα </w:t>
      </w:r>
      <w:r w:rsidR="009E15EA" w:rsidRPr="00CB38F0">
        <w:rPr>
          <w:rFonts w:ascii="Arial" w:hAnsi="Arial" w:cs="Arial"/>
          <w:b/>
          <w:sz w:val="18"/>
          <w:szCs w:val="18"/>
          <w:lang w:val="el-GR"/>
        </w:rPr>
        <w:t>μετασχηματισμού</w:t>
      </w:r>
      <w:r w:rsidR="009E15EA" w:rsidRPr="00CB38F0">
        <w:rPr>
          <w:rFonts w:ascii="Arial" w:hAnsi="Arial" w:cs="Arial"/>
          <w:sz w:val="16"/>
          <w:szCs w:val="16"/>
          <w:lang w:val="el-GR"/>
        </w:rPr>
        <w:t xml:space="preserve"> </w:t>
      </w:r>
      <w:r w:rsidR="00E71E97" w:rsidRPr="00CB38F0">
        <w:rPr>
          <w:rFonts w:ascii="Arial" w:hAnsi="Arial" w:cs="Arial"/>
          <w:b/>
          <w:sz w:val="18"/>
          <w:szCs w:val="18"/>
          <w:lang w:val="el-GR"/>
        </w:rPr>
        <w:t xml:space="preserve">– </w:t>
      </w:r>
      <w:r w:rsidRPr="00CB38F0">
        <w:rPr>
          <w:rFonts w:ascii="Arial" w:hAnsi="Arial" w:cs="Arial"/>
          <w:b/>
          <w:sz w:val="18"/>
          <w:szCs w:val="18"/>
          <w:lang w:val="el-GR"/>
        </w:rPr>
        <w:t xml:space="preserve">οργανικά </w:t>
      </w:r>
      <w:r w:rsidR="00B256A4" w:rsidRPr="00CB38F0">
        <w:rPr>
          <w:rFonts w:ascii="Arial" w:hAnsi="Arial" w:cs="Arial"/>
          <w:sz w:val="18"/>
          <w:szCs w:val="18"/>
          <w:lang w:val="el-GR"/>
        </w:rPr>
        <w:t xml:space="preserve">για </w:t>
      </w:r>
      <w:r w:rsidR="00711677" w:rsidRPr="00CB38F0">
        <w:rPr>
          <w:rFonts w:ascii="Arial" w:hAnsi="Arial" w:cs="Arial"/>
          <w:sz w:val="18"/>
          <w:szCs w:val="18"/>
          <w:lang w:val="el-GR"/>
        </w:rPr>
        <w:t>το</w:t>
      </w:r>
      <w:r w:rsidR="0017585D" w:rsidRPr="00CB38F0">
        <w:rPr>
          <w:rFonts w:ascii="Arial" w:hAnsi="Arial" w:cs="Arial"/>
          <w:sz w:val="18"/>
          <w:szCs w:val="18"/>
          <w:lang w:val="el-GR"/>
        </w:rPr>
        <w:t xml:space="preserve"> α’ εξάμηνο 2024 ήταν μηδενικά, σε σύγκριση με €2 εκατ. για το α’ εξάμηνο 2023.</w:t>
      </w:r>
      <w:r w:rsidR="0017585D" w:rsidRPr="0017585D">
        <w:rPr>
          <w:rFonts w:ascii="Arial" w:hAnsi="Arial" w:cs="Arial"/>
          <w:sz w:val="18"/>
          <w:szCs w:val="18"/>
          <w:lang w:val="el-GR"/>
        </w:rPr>
        <w:t xml:space="preserve"> </w:t>
      </w:r>
      <w:r w:rsidR="0017585D" w:rsidRPr="00CB38F0">
        <w:rPr>
          <w:rFonts w:ascii="Arial" w:hAnsi="Arial" w:cs="Arial"/>
          <w:bCs/>
          <w:sz w:val="18"/>
          <w:szCs w:val="18"/>
          <w:lang w:val="el-GR"/>
        </w:rPr>
        <w:t>Τα έξοδα από συμβουλευτικές υπηρεσίες και άλλα έξοδα μετασχηματισμού</w:t>
      </w:r>
      <w:r w:rsidR="0017585D" w:rsidRPr="007A0969">
        <w:rPr>
          <w:rFonts w:ascii="Arial" w:hAnsi="Arial" w:cs="Arial"/>
          <w:bCs/>
          <w:sz w:val="16"/>
          <w:szCs w:val="16"/>
          <w:lang w:val="el-GR"/>
        </w:rPr>
        <w:t xml:space="preserve"> </w:t>
      </w:r>
      <w:r w:rsidR="0017585D" w:rsidRPr="00CB38F0">
        <w:rPr>
          <w:rFonts w:ascii="Arial" w:hAnsi="Arial" w:cs="Arial"/>
          <w:bCs/>
          <w:sz w:val="18"/>
          <w:szCs w:val="18"/>
          <w:lang w:val="el-GR"/>
        </w:rPr>
        <w:t>– οργανικά</w:t>
      </w:r>
      <w:r w:rsidR="0017585D" w:rsidRPr="00CC54A0">
        <w:rPr>
          <w:rFonts w:ascii="Arial" w:hAnsi="Arial" w:cs="Arial"/>
          <w:bCs/>
          <w:sz w:val="18"/>
          <w:szCs w:val="18"/>
          <w:lang w:val="el-GR"/>
        </w:rPr>
        <w:t xml:space="preserve"> για το β’ τρίμηνο 2024 </w:t>
      </w:r>
      <w:r w:rsidR="00976920" w:rsidRPr="00CB38F0">
        <w:rPr>
          <w:rFonts w:ascii="Arial" w:hAnsi="Arial" w:cs="Arial"/>
          <w:sz w:val="18"/>
          <w:szCs w:val="18"/>
          <w:lang w:val="el-GR"/>
        </w:rPr>
        <w:t>ήταν μηδενικά, στα ίδια επίπεδα σε τριμηνιαία βάση</w:t>
      </w:r>
      <w:r w:rsidR="0017585D" w:rsidRPr="00CB38F0">
        <w:rPr>
          <w:rFonts w:ascii="Arial" w:hAnsi="Arial" w:cs="Arial"/>
          <w:sz w:val="18"/>
          <w:szCs w:val="18"/>
          <w:lang w:val="el-GR"/>
        </w:rPr>
        <w:t xml:space="preserve">. </w:t>
      </w:r>
    </w:p>
    <w:p w14:paraId="0BE4BDFC" w14:textId="77777777" w:rsidR="00CC4020" w:rsidRPr="00CB38F0" w:rsidRDefault="00CC4020" w:rsidP="00F26350">
      <w:pPr>
        <w:pStyle w:val="BodyText3"/>
        <w:jc w:val="both"/>
        <w:rPr>
          <w:rFonts w:ascii="Arial" w:hAnsi="Arial" w:cs="Arial"/>
          <w:b/>
          <w:bCs/>
          <w:sz w:val="18"/>
          <w:szCs w:val="18"/>
          <w:lang w:val="el-GR"/>
        </w:rPr>
      </w:pPr>
    </w:p>
    <w:p w14:paraId="12A4520D" w14:textId="7EC92C91" w:rsidR="004A61DF" w:rsidRPr="00CB38F0" w:rsidRDefault="00BC042D" w:rsidP="004065F4">
      <w:pPr>
        <w:pStyle w:val="BodyText3"/>
        <w:jc w:val="both"/>
        <w:rPr>
          <w:rFonts w:ascii="Arial" w:hAnsi="Arial" w:cs="Arial"/>
          <w:sz w:val="18"/>
          <w:lang w:val="el-GR"/>
        </w:rPr>
      </w:pPr>
      <w:r w:rsidRPr="00CB38F0">
        <w:rPr>
          <w:rFonts w:ascii="Arial" w:hAnsi="Arial" w:cs="Arial"/>
          <w:b/>
          <w:bCs/>
          <w:sz w:val="18"/>
          <w:szCs w:val="18"/>
          <w:lang w:val="el-GR"/>
        </w:rPr>
        <w:t>Τα κέρδη</w:t>
      </w:r>
      <w:r w:rsidR="00C250EC" w:rsidRPr="00CB38F0">
        <w:rPr>
          <w:rFonts w:ascii="Arial" w:hAnsi="Arial" w:cs="Arial"/>
          <w:b/>
          <w:bCs/>
          <w:sz w:val="18"/>
          <w:szCs w:val="18"/>
          <w:lang w:val="el-GR"/>
        </w:rPr>
        <w:t xml:space="preserve"> </w:t>
      </w:r>
      <w:r w:rsidRPr="00CB38F0">
        <w:rPr>
          <w:rFonts w:ascii="Arial" w:hAnsi="Arial" w:cs="Arial"/>
          <w:b/>
          <w:bCs/>
          <w:sz w:val="18"/>
          <w:szCs w:val="18"/>
          <w:lang w:val="el-GR"/>
        </w:rPr>
        <w:t xml:space="preserve">μετά τη φορολογία </w:t>
      </w:r>
      <w:r w:rsidRPr="00CB38F0">
        <w:rPr>
          <w:rFonts w:ascii="Arial" w:hAnsi="Arial" w:cs="Arial"/>
          <w:sz w:val="18"/>
          <w:szCs w:val="18"/>
          <w:lang w:val="el-GR"/>
        </w:rPr>
        <w:t xml:space="preserve">που αναλογούν στους ιδιοκτήτες της Εταιρίας για </w:t>
      </w:r>
      <w:r w:rsidR="00CC54A0" w:rsidRPr="00CC54A0">
        <w:rPr>
          <w:rFonts w:ascii="Arial" w:hAnsi="Arial" w:cs="Arial"/>
          <w:sz w:val="18"/>
          <w:szCs w:val="18"/>
          <w:lang w:val="el-GR"/>
        </w:rPr>
        <w:t>το α’ εξάμηνο 2024 ανήλθαν σε €</w:t>
      </w:r>
      <w:r w:rsidR="00A815F1" w:rsidRPr="006A1797">
        <w:rPr>
          <w:rFonts w:ascii="Arial" w:hAnsi="Arial" w:cs="Arial"/>
          <w:sz w:val="18"/>
          <w:szCs w:val="18"/>
          <w:lang w:val="el-GR"/>
        </w:rPr>
        <w:t xml:space="preserve">270 </w:t>
      </w:r>
      <w:r w:rsidR="00CC54A0" w:rsidRPr="00CC54A0">
        <w:rPr>
          <w:rFonts w:ascii="Arial" w:hAnsi="Arial" w:cs="Arial"/>
          <w:sz w:val="18"/>
          <w:szCs w:val="18"/>
          <w:lang w:val="el-GR"/>
        </w:rPr>
        <w:t xml:space="preserve">εκατ., </w:t>
      </w:r>
      <w:r w:rsidR="00CC54A0" w:rsidRPr="00CB38F0">
        <w:rPr>
          <w:rFonts w:ascii="Arial" w:hAnsi="Arial" w:cs="Arial"/>
          <w:sz w:val="18"/>
          <w:szCs w:val="18"/>
          <w:lang w:val="el-GR"/>
        </w:rPr>
        <w:t xml:space="preserve">και αντιστοιχούν σε Απόδοση Ενσώματων Ιδίων Κεφαλαίων </w:t>
      </w:r>
      <w:r w:rsidR="00CC54A0" w:rsidRPr="00CB38F0">
        <w:rPr>
          <w:rFonts w:ascii="Arial" w:hAnsi="Arial" w:cs="Arial"/>
          <w:bCs/>
          <w:sz w:val="18"/>
          <w:lang w:val="el-GR"/>
        </w:rPr>
        <w:t>(</w:t>
      </w:r>
      <w:r w:rsidR="00CC54A0" w:rsidRPr="00CB38F0">
        <w:rPr>
          <w:rFonts w:ascii="Arial" w:hAnsi="Arial" w:cs="Arial"/>
          <w:bCs/>
          <w:sz w:val="18"/>
        </w:rPr>
        <w:t>ROTE</w:t>
      </w:r>
      <w:r w:rsidR="00CC54A0" w:rsidRPr="00CB38F0">
        <w:rPr>
          <w:rFonts w:ascii="Arial" w:hAnsi="Arial" w:cs="Arial"/>
          <w:bCs/>
          <w:sz w:val="18"/>
          <w:lang w:val="el-GR"/>
        </w:rPr>
        <w:t xml:space="preserve">) </w:t>
      </w:r>
      <w:r w:rsidR="00A815F1" w:rsidRPr="006A1797">
        <w:rPr>
          <w:rFonts w:ascii="Arial" w:hAnsi="Arial" w:cs="Arial"/>
          <w:bCs/>
          <w:sz w:val="18"/>
          <w:lang w:val="el-GR"/>
        </w:rPr>
        <w:t>23.7</w:t>
      </w:r>
      <w:r w:rsidR="00CC54A0" w:rsidRPr="00CB38F0">
        <w:rPr>
          <w:rFonts w:ascii="Arial" w:hAnsi="Arial" w:cs="Arial"/>
          <w:bCs/>
          <w:sz w:val="18"/>
          <w:lang w:val="el-GR"/>
        </w:rPr>
        <w:t xml:space="preserve">%, σε σύγκριση με </w:t>
      </w:r>
      <w:r w:rsidR="00CC54A0" w:rsidRPr="00CB38F0">
        <w:rPr>
          <w:rFonts w:ascii="Arial" w:hAnsi="Arial" w:cs="Arial"/>
          <w:sz w:val="18"/>
          <w:szCs w:val="18"/>
          <w:lang w:val="el-GR"/>
        </w:rPr>
        <w:t>€220 εκατ. για το α’ εξάμηνο 2023 (</w:t>
      </w:r>
      <w:r w:rsidR="00CC54A0" w:rsidRPr="00CB38F0">
        <w:rPr>
          <w:rFonts w:ascii="Arial" w:eastAsia="Batang" w:hAnsi="Arial" w:cs="Arial"/>
          <w:sz w:val="18"/>
          <w:szCs w:val="18"/>
          <w:lang w:val="el-GR" w:eastAsia="en-US"/>
        </w:rPr>
        <w:t xml:space="preserve">με </w:t>
      </w:r>
      <w:r w:rsidR="00CC54A0" w:rsidRPr="00CB38F0">
        <w:rPr>
          <w:rFonts w:ascii="Arial" w:hAnsi="Arial" w:cs="Arial"/>
          <w:sz w:val="18"/>
          <w:szCs w:val="18"/>
          <w:lang w:val="el-GR"/>
        </w:rPr>
        <w:t xml:space="preserve">Απόδοση Ενσώματων Ιδίων Κεφαλαίων </w:t>
      </w:r>
      <w:r w:rsidR="00CC54A0" w:rsidRPr="00CB38F0">
        <w:rPr>
          <w:rFonts w:ascii="Arial" w:hAnsi="Arial" w:cs="Arial"/>
          <w:bCs/>
          <w:sz w:val="18"/>
          <w:lang w:val="el-GR"/>
        </w:rPr>
        <w:t>(</w:t>
      </w:r>
      <w:r w:rsidR="00CC54A0" w:rsidRPr="00CB38F0">
        <w:rPr>
          <w:rFonts w:ascii="Arial" w:hAnsi="Arial" w:cs="Arial"/>
          <w:bCs/>
          <w:sz w:val="18"/>
        </w:rPr>
        <w:t>ROTE</w:t>
      </w:r>
      <w:r w:rsidR="00CC54A0" w:rsidRPr="00CB38F0">
        <w:rPr>
          <w:rFonts w:ascii="Arial" w:hAnsi="Arial" w:cs="Arial"/>
          <w:bCs/>
          <w:sz w:val="18"/>
          <w:lang w:val="el-GR"/>
        </w:rPr>
        <w:t xml:space="preserve">) </w:t>
      </w:r>
      <w:r w:rsidR="00CC54A0" w:rsidRPr="00CB38F0">
        <w:rPr>
          <w:rFonts w:ascii="Arial" w:hAnsi="Arial" w:cs="Arial"/>
          <w:sz w:val="18"/>
          <w:lang w:val="el-GR"/>
        </w:rPr>
        <w:t>24.0</w:t>
      </w:r>
      <w:r w:rsidR="00CC54A0" w:rsidRPr="00CB38F0">
        <w:rPr>
          <w:rFonts w:ascii="Arial" w:hAnsi="Arial" w:cs="Arial"/>
          <w:bCs/>
          <w:sz w:val="18"/>
          <w:lang w:val="el-GR"/>
        </w:rPr>
        <w:t>%)</w:t>
      </w:r>
      <w:r w:rsidR="00CC54A0" w:rsidRPr="00CB38F0">
        <w:rPr>
          <w:rFonts w:ascii="Arial" w:hAnsi="Arial" w:cs="Arial"/>
          <w:sz w:val="18"/>
          <w:szCs w:val="18"/>
          <w:lang w:val="el-GR"/>
        </w:rPr>
        <w:t>.</w:t>
      </w:r>
      <w:r w:rsidR="00CC54A0" w:rsidRPr="00CC54A0">
        <w:rPr>
          <w:rFonts w:ascii="Arial" w:hAnsi="Arial" w:cs="Arial"/>
          <w:sz w:val="18"/>
          <w:szCs w:val="18"/>
          <w:lang w:val="el-GR"/>
        </w:rPr>
        <w:t xml:space="preserve"> </w:t>
      </w:r>
      <w:r w:rsidR="00CC54A0" w:rsidRPr="00CB38F0">
        <w:rPr>
          <w:rFonts w:ascii="Arial" w:hAnsi="Arial" w:cs="Arial"/>
          <w:sz w:val="18"/>
          <w:szCs w:val="18"/>
          <w:lang w:val="el-GR"/>
        </w:rPr>
        <w:t xml:space="preserve">Η </w:t>
      </w:r>
      <w:r w:rsidR="00CC54A0" w:rsidRPr="00CB38F0">
        <w:rPr>
          <w:rFonts w:ascii="Arial" w:hAnsi="Arial" w:cs="Arial"/>
          <w:color w:val="000000" w:themeColor="text1"/>
          <w:sz w:val="18"/>
          <w:szCs w:val="18"/>
          <w:lang w:val="el-GR"/>
        </w:rPr>
        <w:t>Απόδοση Ενσώματων Ιδίων Κεφαλαίων (</w:t>
      </w:r>
      <w:r w:rsidR="00CC54A0" w:rsidRPr="00CB38F0">
        <w:rPr>
          <w:rFonts w:ascii="Arial" w:hAnsi="Arial" w:cs="Arial"/>
          <w:color w:val="000000" w:themeColor="text1"/>
          <w:sz w:val="18"/>
          <w:szCs w:val="18"/>
        </w:rPr>
        <w:t>ROTE</w:t>
      </w:r>
      <w:r w:rsidR="00CC54A0" w:rsidRPr="00CB38F0">
        <w:rPr>
          <w:rFonts w:ascii="Arial" w:hAnsi="Arial" w:cs="Arial"/>
          <w:color w:val="000000" w:themeColor="text1"/>
          <w:sz w:val="18"/>
          <w:szCs w:val="18"/>
          <w:lang w:val="el-GR"/>
        </w:rPr>
        <w:t>) υπολογισμένη σε Δείκτη Κεφαλαίου Κοινών Μετόχων Κατηγορίας 1 (</w:t>
      </w:r>
      <w:r w:rsidR="00CC54A0" w:rsidRPr="00CB38F0">
        <w:rPr>
          <w:rFonts w:ascii="Arial" w:hAnsi="Arial" w:cs="Arial"/>
          <w:color w:val="000000" w:themeColor="text1"/>
          <w:sz w:val="18"/>
          <w:szCs w:val="18"/>
          <w:lang w:val="en-US"/>
        </w:rPr>
        <w:t>CET</w:t>
      </w:r>
      <w:r w:rsidR="00CC54A0" w:rsidRPr="00CB38F0">
        <w:rPr>
          <w:rFonts w:ascii="Arial" w:hAnsi="Arial" w:cs="Arial"/>
          <w:color w:val="000000" w:themeColor="text1"/>
          <w:sz w:val="18"/>
          <w:szCs w:val="18"/>
          <w:lang w:val="el-GR"/>
        </w:rPr>
        <w:t xml:space="preserve">1) ύψους 15% για το α’ εξάμηνο 2024 αυξάνεται σε </w:t>
      </w:r>
      <w:r w:rsidR="00A815F1" w:rsidRPr="006A1797">
        <w:rPr>
          <w:rFonts w:ascii="Arial" w:hAnsi="Arial" w:cs="Arial"/>
          <w:color w:val="000000" w:themeColor="text1"/>
          <w:sz w:val="18"/>
          <w:szCs w:val="18"/>
          <w:lang w:val="el-GR"/>
        </w:rPr>
        <w:t>29.6</w:t>
      </w:r>
      <w:r w:rsidR="00CC54A0" w:rsidRPr="00CB38F0">
        <w:rPr>
          <w:rFonts w:ascii="Arial" w:hAnsi="Arial" w:cs="Arial"/>
          <w:color w:val="000000" w:themeColor="text1"/>
          <w:sz w:val="18"/>
          <w:szCs w:val="18"/>
          <w:lang w:val="el-GR"/>
        </w:rPr>
        <w:t xml:space="preserve">%, σε σύγκριση με </w:t>
      </w:r>
      <w:r w:rsidR="00A815F1" w:rsidRPr="006A1797">
        <w:rPr>
          <w:rFonts w:ascii="Arial" w:hAnsi="Arial" w:cs="Arial"/>
          <w:color w:val="000000" w:themeColor="text1"/>
          <w:sz w:val="18"/>
          <w:szCs w:val="18"/>
          <w:lang w:val="el-GR"/>
        </w:rPr>
        <w:t>25.3</w:t>
      </w:r>
      <w:r w:rsidR="00CC54A0" w:rsidRPr="00CB38F0">
        <w:rPr>
          <w:rFonts w:ascii="Arial" w:hAnsi="Arial" w:cs="Arial"/>
          <w:color w:val="000000" w:themeColor="text1"/>
          <w:sz w:val="18"/>
          <w:szCs w:val="18"/>
          <w:lang w:val="el-GR"/>
        </w:rPr>
        <w:t xml:space="preserve">% για το </w:t>
      </w:r>
      <w:r w:rsidR="00CC54A0" w:rsidRPr="009422A7">
        <w:rPr>
          <w:rFonts w:ascii="Arial" w:hAnsi="Arial" w:cs="Arial"/>
          <w:sz w:val="18"/>
          <w:szCs w:val="18"/>
          <w:lang w:val="el-GR"/>
        </w:rPr>
        <w:t xml:space="preserve">α’ εξάμηνο </w:t>
      </w:r>
      <w:r w:rsidR="00CC54A0" w:rsidRPr="00CB38F0">
        <w:rPr>
          <w:rFonts w:ascii="Arial" w:hAnsi="Arial" w:cs="Arial"/>
          <w:color w:val="000000" w:themeColor="text1"/>
          <w:sz w:val="18"/>
          <w:szCs w:val="18"/>
          <w:lang w:val="el-GR"/>
        </w:rPr>
        <w:t>2023, υπολογισμένη στην ίδια βάση</w:t>
      </w:r>
      <w:r w:rsidR="00CC54A0" w:rsidRPr="009422A7">
        <w:rPr>
          <w:rFonts w:ascii="Arial" w:hAnsi="Arial" w:cs="Arial"/>
          <w:color w:val="000000" w:themeColor="text1"/>
          <w:sz w:val="18"/>
          <w:szCs w:val="18"/>
          <w:lang w:val="el-GR"/>
        </w:rPr>
        <w:t>.</w:t>
      </w:r>
      <w:r w:rsidR="00CC54A0" w:rsidRPr="00CB38F0">
        <w:rPr>
          <w:rFonts w:ascii="Arial" w:hAnsi="Arial" w:cs="Arial"/>
          <w:color w:val="000000" w:themeColor="text1"/>
          <w:sz w:val="18"/>
          <w:szCs w:val="18"/>
          <w:lang w:val="el-GR"/>
        </w:rPr>
        <w:t xml:space="preserve"> </w:t>
      </w:r>
      <w:r w:rsidR="00CC54A0" w:rsidRPr="00CB38F0">
        <w:rPr>
          <w:rFonts w:ascii="Arial" w:hAnsi="Arial" w:cs="Arial"/>
          <w:sz w:val="18"/>
          <w:szCs w:val="18"/>
          <w:lang w:val="el-GR"/>
        </w:rPr>
        <w:t xml:space="preserve">Τα κέρδη μετά τη φορολογία </w:t>
      </w:r>
      <w:r w:rsidR="00CC54A0" w:rsidRPr="009422A7">
        <w:rPr>
          <w:rFonts w:ascii="Arial" w:hAnsi="Arial" w:cs="Arial"/>
          <w:sz w:val="18"/>
          <w:szCs w:val="18"/>
          <w:lang w:val="el-GR"/>
        </w:rPr>
        <w:t>που αναλογούν στους ιδιοκτήτες της Εταιρίας</w:t>
      </w:r>
      <w:r w:rsidR="009422A7" w:rsidRPr="00CB38F0">
        <w:rPr>
          <w:rFonts w:ascii="Arial" w:hAnsi="Arial" w:cs="Arial"/>
          <w:sz w:val="18"/>
          <w:szCs w:val="18"/>
          <w:lang w:val="el-GR"/>
        </w:rPr>
        <w:t xml:space="preserve"> </w:t>
      </w:r>
      <w:r w:rsidR="009422A7" w:rsidRPr="009422A7">
        <w:rPr>
          <w:rFonts w:ascii="Arial" w:hAnsi="Arial" w:cs="Arial"/>
          <w:sz w:val="18"/>
          <w:szCs w:val="18"/>
          <w:lang w:val="el-GR"/>
        </w:rPr>
        <w:t xml:space="preserve">για το </w:t>
      </w:r>
      <w:r w:rsidR="009422A7" w:rsidRPr="00CB38F0">
        <w:rPr>
          <w:rFonts w:ascii="Arial" w:hAnsi="Arial" w:cs="Arial"/>
          <w:sz w:val="18"/>
          <w:szCs w:val="18"/>
          <w:lang w:val="el-GR"/>
        </w:rPr>
        <w:t>β</w:t>
      </w:r>
      <w:r w:rsidR="004A61DF" w:rsidRPr="00CB38F0">
        <w:rPr>
          <w:rFonts w:ascii="Arial" w:hAnsi="Arial" w:cs="Arial"/>
          <w:sz w:val="18"/>
          <w:szCs w:val="18"/>
          <w:lang w:val="el-GR"/>
        </w:rPr>
        <w:t>΄ τρίμηνο 2024 ανήλθαν σε €</w:t>
      </w:r>
      <w:r w:rsidR="00A815F1" w:rsidRPr="006A1797">
        <w:rPr>
          <w:rFonts w:ascii="Arial" w:hAnsi="Arial" w:cs="Arial"/>
          <w:sz w:val="18"/>
          <w:szCs w:val="18"/>
          <w:lang w:val="el-GR"/>
        </w:rPr>
        <w:t>137</w:t>
      </w:r>
      <w:r w:rsidR="00A815F1">
        <w:rPr>
          <w:rFonts w:ascii="Arial" w:hAnsi="Arial" w:cs="Arial"/>
          <w:sz w:val="18"/>
          <w:szCs w:val="18"/>
          <w:lang w:val="el-GR"/>
        </w:rPr>
        <w:t xml:space="preserve"> </w:t>
      </w:r>
      <w:r w:rsidR="004A61DF" w:rsidRPr="00CB38F0">
        <w:rPr>
          <w:rFonts w:ascii="Arial" w:hAnsi="Arial" w:cs="Arial"/>
          <w:sz w:val="18"/>
          <w:szCs w:val="18"/>
          <w:lang w:val="el-GR"/>
        </w:rPr>
        <w:t xml:space="preserve">εκατ., και </w:t>
      </w:r>
      <w:r w:rsidRPr="00CB38F0">
        <w:rPr>
          <w:rFonts w:ascii="Arial" w:hAnsi="Arial" w:cs="Arial"/>
          <w:sz w:val="18"/>
          <w:szCs w:val="18"/>
          <w:lang w:val="el-GR"/>
        </w:rPr>
        <w:t xml:space="preserve">αντιστοιχούν σε Απόδοση Ενσώματων Ιδίων Κεφαλαίων </w:t>
      </w:r>
      <w:r w:rsidRPr="00CB38F0">
        <w:rPr>
          <w:rFonts w:ascii="Arial" w:hAnsi="Arial" w:cs="Arial"/>
          <w:bCs/>
          <w:sz w:val="18"/>
          <w:lang w:val="el-GR"/>
        </w:rPr>
        <w:t>(</w:t>
      </w:r>
      <w:r w:rsidRPr="00CB38F0">
        <w:rPr>
          <w:rFonts w:ascii="Arial" w:hAnsi="Arial" w:cs="Arial"/>
          <w:bCs/>
          <w:sz w:val="18"/>
        </w:rPr>
        <w:t>ROTE</w:t>
      </w:r>
      <w:r w:rsidRPr="00CB38F0">
        <w:rPr>
          <w:rFonts w:ascii="Arial" w:hAnsi="Arial" w:cs="Arial"/>
          <w:bCs/>
          <w:sz w:val="18"/>
          <w:lang w:val="el-GR"/>
        </w:rPr>
        <w:t xml:space="preserve">) </w:t>
      </w:r>
      <w:r w:rsidR="00A815F1" w:rsidRPr="006A1797">
        <w:rPr>
          <w:rFonts w:ascii="Arial" w:hAnsi="Arial" w:cs="Arial"/>
          <w:bCs/>
          <w:sz w:val="18"/>
          <w:lang w:val="el-GR"/>
        </w:rPr>
        <w:t>23.7</w:t>
      </w:r>
      <w:r w:rsidRPr="00CB38F0">
        <w:rPr>
          <w:rFonts w:ascii="Arial" w:hAnsi="Arial" w:cs="Arial"/>
          <w:bCs/>
          <w:sz w:val="18"/>
          <w:lang w:val="el-GR"/>
        </w:rPr>
        <w:t xml:space="preserve">%, σε σύγκριση με </w:t>
      </w:r>
      <w:r w:rsidRPr="00CB38F0">
        <w:rPr>
          <w:rFonts w:ascii="Arial" w:hAnsi="Arial" w:cs="Arial"/>
          <w:sz w:val="18"/>
          <w:szCs w:val="18"/>
          <w:lang w:val="el-GR"/>
        </w:rPr>
        <w:t>€</w:t>
      </w:r>
      <w:r w:rsidR="009422A7" w:rsidRPr="009422A7">
        <w:rPr>
          <w:rFonts w:ascii="Arial" w:hAnsi="Arial" w:cs="Arial"/>
          <w:sz w:val="18"/>
          <w:szCs w:val="18"/>
          <w:lang w:val="el-GR"/>
        </w:rPr>
        <w:t>133</w:t>
      </w:r>
      <w:r w:rsidR="009422A7" w:rsidRPr="00CB38F0">
        <w:rPr>
          <w:rFonts w:ascii="Arial" w:hAnsi="Arial" w:cs="Arial"/>
          <w:sz w:val="18"/>
          <w:szCs w:val="18"/>
          <w:lang w:val="el-GR"/>
        </w:rPr>
        <w:t xml:space="preserve"> </w:t>
      </w:r>
      <w:r w:rsidRPr="00CB38F0">
        <w:rPr>
          <w:rFonts w:ascii="Arial" w:hAnsi="Arial" w:cs="Arial"/>
          <w:sz w:val="18"/>
          <w:szCs w:val="18"/>
          <w:lang w:val="el-GR"/>
        </w:rPr>
        <w:t xml:space="preserve">εκατ. </w:t>
      </w:r>
      <w:r w:rsidR="00C250EC" w:rsidRPr="00CB38F0">
        <w:rPr>
          <w:rFonts w:ascii="Arial" w:hAnsi="Arial" w:cs="Arial"/>
          <w:sz w:val="18"/>
          <w:szCs w:val="18"/>
          <w:lang w:val="el-GR"/>
        </w:rPr>
        <w:t xml:space="preserve">για </w:t>
      </w:r>
      <w:r w:rsidRPr="00CB38F0">
        <w:rPr>
          <w:rFonts w:ascii="Arial" w:hAnsi="Arial" w:cs="Arial"/>
          <w:sz w:val="18"/>
          <w:szCs w:val="18"/>
          <w:lang w:val="el-GR"/>
        </w:rPr>
        <w:t>το</w:t>
      </w:r>
      <w:r w:rsidR="004A61DF" w:rsidRPr="00CB38F0">
        <w:rPr>
          <w:rFonts w:ascii="Arial" w:hAnsi="Arial" w:cs="Arial"/>
          <w:sz w:val="18"/>
          <w:szCs w:val="18"/>
          <w:lang w:val="el-GR"/>
        </w:rPr>
        <w:t xml:space="preserve"> </w:t>
      </w:r>
      <w:r w:rsidR="009422A7" w:rsidRPr="00CB38F0">
        <w:rPr>
          <w:rFonts w:ascii="Arial" w:hAnsi="Arial" w:cs="Arial"/>
          <w:sz w:val="18"/>
          <w:szCs w:val="18"/>
          <w:lang w:val="el-GR"/>
        </w:rPr>
        <w:t xml:space="preserve">α’ </w:t>
      </w:r>
      <w:r w:rsidR="004A61DF" w:rsidRPr="00CB38F0">
        <w:rPr>
          <w:rFonts w:ascii="Arial" w:hAnsi="Arial" w:cs="Arial"/>
          <w:sz w:val="18"/>
          <w:szCs w:val="18"/>
          <w:lang w:val="el-GR"/>
        </w:rPr>
        <w:t xml:space="preserve">τρίμηνο </w:t>
      </w:r>
      <w:r w:rsidR="009422A7" w:rsidRPr="00CB38F0">
        <w:rPr>
          <w:rFonts w:ascii="Arial" w:hAnsi="Arial" w:cs="Arial"/>
          <w:sz w:val="18"/>
          <w:szCs w:val="18"/>
          <w:lang w:val="el-GR"/>
        </w:rPr>
        <w:t>2024 (</w:t>
      </w:r>
      <w:r w:rsidR="00B043BD" w:rsidRPr="00CB38F0">
        <w:rPr>
          <w:rFonts w:ascii="Arial" w:eastAsia="Batang" w:hAnsi="Arial" w:cs="Arial"/>
          <w:sz w:val="18"/>
          <w:szCs w:val="18"/>
          <w:lang w:val="el-GR" w:eastAsia="en-US"/>
        </w:rPr>
        <w:t xml:space="preserve">με </w:t>
      </w:r>
      <w:r w:rsidR="00B043BD" w:rsidRPr="00CB38F0">
        <w:rPr>
          <w:rFonts w:ascii="Arial" w:hAnsi="Arial" w:cs="Arial"/>
          <w:sz w:val="18"/>
          <w:szCs w:val="18"/>
          <w:lang w:val="el-GR"/>
        </w:rPr>
        <w:t xml:space="preserve">Απόδοση Ενσώματων Ιδίων Κεφαλαίων </w:t>
      </w:r>
      <w:r w:rsidR="00B043BD" w:rsidRPr="00CB38F0">
        <w:rPr>
          <w:rFonts w:ascii="Arial" w:hAnsi="Arial" w:cs="Arial"/>
          <w:bCs/>
          <w:sz w:val="18"/>
          <w:lang w:val="el-GR"/>
        </w:rPr>
        <w:t>(</w:t>
      </w:r>
      <w:r w:rsidR="00B043BD" w:rsidRPr="00CB38F0">
        <w:rPr>
          <w:rFonts w:ascii="Arial" w:hAnsi="Arial" w:cs="Arial"/>
          <w:bCs/>
          <w:sz w:val="18"/>
        </w:rPr>
        <w:t>ROTE</w:t>
      </w:r>
      <w:r w:rsidR="00B043BD" w:rsidRPr="00CB38F0">
        <w:rPr>
          <w:rFonts w:ascii="Arial" w:hAnsi="Arial" w:cs="Arial"/>
          <w:bCs/>
          <w:sz w:val="18"/>
          <w:lang w:val="el-GR"/>
        </w:rPr>
        <w:t xml:space="preserve">) </w:t>
      </w:r>
      <w:r w:rsidR="009422A7" w:rsidRPr="00CB38F0">
        <w:rPr>
          <w:rFonts w:ascii="Arial" w:hAnsi="Arial" w:cs="Arial"/>
          <w:sz w:val="18"/>
          <w:lang w:val="el-GR"/>
        </w:rPr>
        <w:t>23</w:t>
      </w:r>
      <w:r w:rsidR="00B043BD" w:rsidRPr="00CB38F0">
        <w:rPr>
          <w:rFonts w:ascii="Arial" w:hAnsi="Arial" w:cs="Arial"/>
          <w:sz w:val="18"/>
          <w:lang w:val="el-GR"/>
        </w:rPr>
        <w:t>.</w:t>
      </w:r>
      <w:r w:rsidR="004A61DF" w:rsidRPr="00CB38F0">
        <w:rPr>
          <w:rFonts w:ascii="Arial" w:hAnsi="Arial" w:cs="Arial"/>
          <w:sz w:val="18"/>
          <w:lang w:val="el-GR"/>
        </w:rPr>
        <w:t>6</w:t>
      </w:r>
      <w:r w:rsidR="00B043BD" w:rsidRPr="00CB38F0">
        <w:rPr>
          <w:rFonts w:ascii="Arial" w:hAnsi="Arial" w:cs="Arial"/>
          <w:bCs/>
          <w:sz w:val="18"/>
          <w:lang w:val="el-GR"/>
        </w:rPr>
        <w:t>%)</w:t>
      </w:r>
      <w:r w:rsidR="00B043BD" w:rsidRPr="00CB38F0">
        <w:rPr>
          <w:rFonts w:ascii="Arial" w:hAnsi="Arial" w:cs="Arial"/>
          <w:sz w:val="18"/>
          <w:szCs w:val="18"/>
          <w:lang w:val="el-GR"/>
        </w:rPr>
        <w:t>.</w:t>
      </w:r>
      <w:r w:rsidR="00A815F1">
        <w:rPr>
          <w:rFonts w:ascii="Arial" w:hAnsi="Arial" w:cs="Arial"/>
          <w:sz w:val="18"/>
          <w:szCs w:val="18"/>
          <w:lang w:val="el-GR"/>
        </w:rPr>
        <w:t xml:space="preserve"> </w:t>
      </w:r>
      <w:r w:rsidR="00033502" w:rsidRPr="00CB38F0">
        <w:rPr>
          <w:rFonts w:ascii="Arial" w:hAnsi="Arial" w:cs="Arial"/>
          <w:sz w:val="18"/>
          <w:szCs w:val="18"/>
          <w:lang w:val="el-GR"/>
        </w:rPr>
        <w:t xml:space="preserve">Η </w:t>
      </w:r>
      <w:r w:rsidR="00033502" w:rsidRPr="00CB38F0">
        <w:rPr>
          <w:rFonts w:ascii="Arial" w:hAnsi="Arial" w:cs="Arial"/>
          <w:color w:val="000000" w:themeColor="text1"/>
          <w:sz w:val="18"/>
          <w:szCs w:val="18"/>
          <w:lang w:val="el-GR"/>
        </w:rPr>
        <w:t>Απόδοση Ενσώματων Ιδίων Κεφαλαίων (</w:t>
      </w:r>
      <w:r w:rsidR="00033502" w:rsidRPr="00CB38F0">
        <w:rPr>
          <w:rFonts w:ascii="Arial" w:hAnsi="Arial" w:cs="Arial"/>
          <w:color w:val="000000" w:themeColor="text1"/>
          <w:sz w:val="18"/>
          <w:szCs w:val="18"/>
        </w:rPr>
        <w:t>ROTE</w:t>
      </w:r>
      <w:r w:rsidR="00033502" w:rsidRPr="00CB38F0">
        <w:rPr>
          <w:rFonts w:ascii="Arial" w:hAnsi="Arial" w:cs="Arial"/>
          <w:color w:val="000000" w:themeColor="text1"/>
          <w:sz w:val="18"/>
          <w:szCs w:val="18"/>
          <w:lang w:val="el-GR"/>
        </w:rPr>
        <w:t>)</w:t>
      </w:r>
      <w:r w:rsidR="004A61DF" w:rsidRPr="00CB38F0">
        <w:rPr>
          <w:rFonts w:ascii="Arial" w:hAnsi="Arial" w:cs="Arial"/>
          <w:color w:val="000000" w:themeColor="text1"/>
          <w:sz w:val="18"/>
          <w:szCs w:val="18"/>
          <w:lang w:val="el-GR"/>
        </w:rPr>
        <w:t xml:space="preserve"> υπολογισμένη σε Δείκτη Κεφαλαίου Κοινών Μετόχων Κατηγορίας 1 (</w:t>
      </w:r>
      <w:r w:rsidR="004A61DF" w:rsidRPr="00CB38F0">
        <w:rPr>
          <w:rFonts w:ascii="Arial" w:hAnsi="Arial" w:cs="Arial"/>
          <w:color w:val="000000" w:themeColor="text1"/>
          <w:sz w:val="18"/>
          <w:szCs w:val="18"/>
          <w:lang w:val="en-US"/>
        </w:rPr>
        <w:t>CET</w:t>
      </w:r>
      <w:r w:rsidR="004A61DF" w:rsidRPr="00CB38F0">
        <w:rPr>
          <w:rFonts w:ascii="Arial" w:hAnsi="Arial" w:cs="Arial"/>
          <w:color w:val="000000" w:themeColor="text1"/>
          <w:sz w:val="18"/>
          <w:szCs w:val="18"/>
          <w:lang w:val="el-GR"/>
        </w:rPr>
        <w:t xml:space="preserve">1) ύψους 15% για το </w:t>
      </w:r>
      <w:r w:rsidR="009422A7" w:rsidRPr="00CB38F0">
        <w:rPr>
          <w:rFonts w:ascii="Arial" w:hAnsi="Arial" w:cs="Arial"/>
          <w:color w:val="000000" w:themeColor="text1"/>
          <w:sz w:val="18"/>
          <w:szCs w:val="18"/>
          <w:lang w:val="el-GR"/>
        </w:rPr>
        <w:t xml:space="preserve">β’ </w:t>
      </w:r>
      <w:r w:rsidR="004A61DF" w:rsidRPr="00CB38F0">
        <w:rPr>
          <w:rFonts w:ascii="Arial" w:hAnsi="Arial" w:cs="Arial"/>
          <w:color w:val="000000" w:themeColor="text1"/>
          <w:sz w:val="18"/>
          <w:szCs w:val="18"/>
          <w:lang w:val="el-GR"/>
        </w:rPr>
        <w:t xml:space="preserve">τρίμηνο 2024 αυξάνεται σε </w:t>
      </w:r>
      <w:r w:rsidR="00A815F1" w:rsidRPr="006A1797">
        <w:rPr>
          <w:rFonts w:ascii="Arial" w:hAnsi="Arial" w:cs="Arial"/>
          <w:color w:val="000000" w:themeColor="text1"/>
          <w:sz w:val="18"/>
          <w:szCs w:val="18"/>
          <w:lang w:val="el-GR"/>
        </w:rPr>
        <w:t>29.9</w:t>
      </w:r>
      <w:r w:rsidR="004A61DF" w:rsidRPr="00CB38F0">
        <w:rPr>
          <w:rFonts w:ascii="Arial" w:hAnsi="Arial" w:cs="Arial"/>
          <w:color w:val="000000" w:themeColor="text1"/>
          <w:sz w:val="18"/>
          <w:szCs w:val="18"/>
          <w:lang w:val="el-GR"/>
        </w:rPr>
        <w:t>%, σε σύγκριση με Απόδοση Ενσώματων Ιδίων Κεφαλαίων (</w:t>
      </w:r>
      <w:r w:rsidR="004A61DF" w:rsidRPr="00CB38F0">
        <w:rPr>
          <w:rFonts w:ascii="Arial" w:hAnsi="Arial" w:cs="Arial"/>
          <w:color w:val="000000" w:themeColor="text1"/>
          <w:sz w:val="18"/>
          <w:szCs w:val="18"/>
        </w:rPr>
        <w:t>ROTE</w:t>
      </w:r>
      <w:r w:rsidR="004A61DF" w:rsidRPr="00CB38F0">
        <w:rPr>
          <w:rFonts w:ascii="Arial" w:hAnsi="Arial" w:cs="Arial"/>
          <w:color w:val="000000" w:themeColor="text1"/>
          <w:sz w:val="18"/>
          <w:szCs w:val="18"/>
          <w:lang w:val="el-GR"/>
        </w:rPr>
        <w:t xml:space="preserve">) ύψους </w:t>
      </w:r>
      <w:r w:rsidR="009422A7" w:rsidRPr="00CB38F0">
        <w:rPr>
          <w:rFonts w:ascii="Arial" w:hAnsi="Arial" w:cs="Arial"/>
          <w:color w:val="000000" w:themeColor="text1"/>
          <w:sz w:val="18"/>
          <w:szCs w:val="18"/>
          <w:lang w:val="el-GR"/>
        </w:rPr>
        <w:t>29.1</w:t>
      </w:r>
      <w:r w:rsidR="004A61DF" w:rsidRPr="00CB38F0">
        <w:rPr>
          <w:rFonts w:ascii="Arial" w:hAnsi="Arial" w:cs="Arial"/>
          <w:color w:val="000000" w:themeColor="text1"/>
          <w:sz w:val="18"/>
          <w:szCs w:val="18"/>
          <w:lang w:val="el-GR"/>
        </w:rPr>
        <w:t xml:space="preserve">% για το </w:t>
      </w:r>
      <w:r w:rsidR="009422A7" w:rsidRPr="00CB38F0">
        <w:rPr>
          <w:rFonts w:ascii="Arial" w:hAnsi="Arial" w:cs="Arial"/>
          <w:color w:val="000000" w:themeColor="text1"/>
          <w:sz w:val="18"/>
          <w:szCs w:val="18"/>
          <w:lang w:val="el-GR"/>
        </w:rPr>
        <w:t xml:space="preserve">α’ </w:t>
      </w:r>
      <w:r w:rsidR="004A61DF" w:rsidRPr="00CB38F0">
        <w:rPr>
          <w:rFonts w:ascii="Arial" w:hAnsi="Arial" w:cs="Arial"/>
          <w:color w:val="000000" w:themeColor="text1"/>
          <w:sz w:val="18"/>
          <w:szCs w:val="18"/>
          <w:lang w:val="el-GR"/>
        </w:rPr>
        <w:t xml:space="preserve">τρίμηνο </w:t>
      </w:r>
      <w:r w:rsidR="009422A7" w:rsidRPr="00CB38F0">
        <w:rPr>
          <w:rFonts w:ascii="Arial" w:hAnsi="Arial" w:cs="Arial"/>
          <w:color w:val="000000" w:themeColor="text1"/>
          <w:sz w:val="18"/>
          <w:szCs w:val="18"/>
          <w:lang w:val="el-GR"/>
        </w:rPr>
        <w:t xml:space="preserve">2024, </w:t>
      </w:r>
      <w:r w:rsidR="004A61DF" w:rsidRPr="00CB38F0">
        <w:rPr>
          <w:rFonts w:ascii="Arial" w:hAnsi="Arial" w:cs="Arial"/>
          <w:color w:val="000000" w:themeColor="text1"/>
          <w:sz w:val="18"/>
          <w:szCs w:val="18"/>
          <w:lang w:val="el-GR"/>
        </w:rPr>
        <w:t>υπολογισμένη στην ίδια βάση.</w:t>
      </w:r>
      <w:r w:rsidR="009422A7" w:rsidRPr="00085FB2">
        <w:rPr>
          <w:rFonts w:ascii="Arial" w:hAnsi="Arial" w:cs="Arial"/>
          <w:color w:val="000000" w:themeColor="text1"/>
          <w:sz w:val="18"/>
          <w:szCs w:val="18"/>
          <w:lang w:val="el-GR"/>
        </w:rPr>
        <w:t xml:space="preserve"> </w:t>
      </w:r>
      <w:r w:rsidR="002C3095" w:rsidRPr="00CB38F0">
        <w:rPr>
          <w:rFonts w:ascii="Arial" w:hAnsi="Arial" w:cs="Arial"/>
          <w:sz w:val="18"/>
          <w:lang w:val="el-GR"/>
        </w:rPr>
        <w:t>Η</w:t>
      </w:r>
      <w:r w:rsidR="004A61DF" w:rsidRPr="00CB38F0">
        <w:rPr>
          <w:rFonts w:ascii="Arial" w:hAnsi="Arial" w:cs="Arial"/>
          <w:sz w:val="18"/>
          <w:lang w:val="el-GR"/>
        </w:rPr>
        <w:t xml:space="preserve"> </w:t>
      </w:r>
      <w:r w:rsidR="002C3095" w:rsidRPr="00CB38F0">
        <w:rPr>
          <w:rFonts w:ascii="Arial" w:hAnsi="Arial" w:cs="Arial"/>
          <w:sz w:val="18"/>
          <w:lang w:val="el-GR"/>
        </w:rPr>
        <w:t>προσαρμοσμένη κερδοφορία</w:t>
      </w:r>
      <w:r w:rsidR="004A61DF" w:rsidRPr="00CB38F0">
        <w:rPr>
          <w:rFonts w:ascii="Arial" w:hAnsi="Arial" w:cs="Arial"/>
          <w:sz w:val="18"/>
          <w:lang w:val="el-GR"/>
        </w:rPr>
        <w:t xml:space="preserve"> πριν τα μη- επαναλαμβανόμενα στοιχεία που χρησιμοποιείται στην πολιτική διανομής του Συγκροτήματος (δηλαδή, που ορίζεται ως τα </w:t>
      </w:r>
      <w:r w:rsidR="004A61DF" w:rsidRPr="00CB38F0">
        <w:rPr>
          <w:rFonts w:ascii="Arial" w:hAnsi="Arial" w:cs="Arial"/>
          <w:bCs/>
          <w:sz w:val="18"/>
          <w:szCs w:val="28"/>
          <w:lang w:val="el-GR"/>
        </w:rPr>
        <w:t>κέρδη μετά τη φορολογία και πριν τα μη-επαναλαμβανόμενα στοιχεία που αναλογούν στους ιδιοκτήτες του Συγκροτήματος, λαμβάνοντας υπόψιν τις διανομές από τους λοιπούς συμμετοχικούς τίτλους όπως την πληρωμή κουπονιού στους κατόχους Χρεογράφων Κατηγορίας 1</w:t>
      </w:r>
      <w:r w:rsidR="00BA506B" w:rsidRPr="00CB38F0">
        <w:rPr>
          <w:rFonts w:ascii="Arial" w:hAnsi="Arial" w:cs="Arial"/>
          <w:bCs/>
          <w:sz w:val="18"/>
          <w:szCs w:val="28"/>
          <w:lang w:val="el-GR"/>
        </w:rPr>
        <w:t xml:space="preserve"> που καταβάλλεται ανά εξάμηνο), ανήλθε σε</w:t>
      </w:r>
      <w:r w:rsidR="00085FB2" w:rsidRPr="00CB38F0">
        <w:rPr>
          <w:rFonts w:ascii="Arial" w:hAnsi="Arial" w:cs="Arial"/>
          <w:bCs/>
          <w:sz w:val="18"/>
          <w:szCs w:val="28"/>
          <w:lang w:val="el-GR"/>
        </w:rPr>
        <w:t xml:space="preserve"> €</w:t>
      </w:r>
      <w:r w:rsidR="00A815F1" w:rsidRPr="006A1797">
        <w:rPr>
          <w:rFonts w:ascii="Arial" w:hAnsi="Arial" w:cs="Arial"/>
          <w:bCs/>
          <w:sz w:val="18"/>
          <w:szCs w:val="28"/>
          <w:lang w:val="el-GR"/>
        </w:rPr>
        <w:t xml:space="preserve">124 </w:t>
      </w:r>
      <w:r w:rsidR="00085FB2" w:rsidRPr="00CB38F0">
        <w:rPr>
          <w:rFonts w:ascii="Arial" w:hAnsi="Arial" w:cs="Arial"/>
          <w:bCs/>
          <w:sz w:val="18"/>
          <w:szCs w:val="28"/>
          <w:lang w:val="el-GR"/>
        </w:rPr>
        <w:t>εκατ. για το β’ τρίμηνο 2024 σε σύγκριση με</w:t>
      </w:r>
      <w:r w:rsidR="00BA506B" w:rsidRPr="00CB38F0">
        <w:rPr>
          <w:rFonts w:ascii="Arial" w:hAnsi="Arial" w:cs="Arial"/>
          <w:bCs/>
          <w:sz w:val="18"/>
          <w:szCs w:val="28"/>
          <w:lang w:val="el-GR"/>
        </w:rPr>
        <w:t xml:space="preserve"> €133 εκατ. για το α΄ τρίμηνο 2024, </w:t>
      </w:r>
      <w:r w:rsidR="00085FB2" w:rsidRPr="00CB38F0">
        <w:rPr>
          <w:rFonts w:ascii="Arial" w:hAnsi="Arial" w:cs="Arial"/>
          <w:bCs/>
          <w:sz w:val="18"/>
          <w:szCs w:val="28"/>
          <w:lang w:val="el-GR"/>
        </w:rPr>
        <w:t>και ανέρχεται σε €</w:t>
      </w:r>
      <w:r w:rsidR="00A815F1" w:rsidRPr="006A1797">
        <w:rPr>
          <w:rFonts w:ascii="Arial" w:hAnsi="Arial" w:cs="Arial"/>
          <w:bCs/>
          <w:sz w:val="18"/>
          <w:szCs w:val="28"/>
          <w:lang w:val="el-GR"/>
        </w:rPr>
        <w:t xml:space="preserve">257 </w:t>
      </w:r>
      <w:r w:rsidR="00085FB2" w:rsidRPr="00CB38F0">
        <w:rPr>
          <w:rFonts w:ascii="Arial" w:hAnsi="Arial" w:cs="Arial"/>
          <w:bCs/>
          <w:sz w:val="18"/>
          <w:szCs w:val="28"/>
          <w:lang w:val="el-GR"/>
        </w:rPr>
        <w:t xml:space="preserve">εκατ. για το α’ εξάμηνο 2024, </w:t>
      </w:r>
      <w:r w:rsidR="00BA506B" w:rsidRPr="00CB38F0">
        <w:rPr>
          <w:rFonts w:ascii="Arial" w:hAnsi="Arial" w:cs="Arial"/>
          <w:bCs/>
          <w:sz w:val="18"/>
          <w:szCs w:val="28"/>
          <w:lang w:val="el-GR"/>
        </w:rPr>
        <w:t>σε σύγκριση με €</w:t>
      </w:r>
      <w:r w:rsidR="00085FB2" w:rsidRPr="00CB38F0">
        <w:rPr>
          <w:rFonts w:ascii="Arial" w:hAnsi="Arial" w:cs="Arial"/>
          <w:bCs/>
          <w:sz w:val="18"/>
          <w:szCs w:val="28"/>
          <w:lang w:val="el-GR"/>
        </w:rPr>
        <w:t xml:space="preserve">201 </w:t>
      </w:r>
      <w:r w:rsidR="00BA506B" w:rsidRPr="00CB38F0">
        <w:rPr>
          <w:rFonts w:ascii="Arial" w:hAnsi="Arial" w:cs="Arial"/>
          <w:bCs/>
          <w:sz w:val="18"/>
          <w:szCs w:val="28"/>
          <w:lang w:val="el-GR"/>
        </w:rPr>
        <w:t xml:space="preserve">εκατ. για το </w:t>
      </w:r>
      <w:r w:rsidR="00085FB2" w:rsidRPr="00CB38F0">
        <w:rPr>
          <w:rFonts w:ascii="Arial" w:hAnsi="Arial" w:cs="Arial"/>
          <w:bCs/>
          <w:sz w:val="18"/>
          <w:szCs w:val="28"/>
          <w:lang w:val="el-GR"/>
        </w:rPr>
        <w:t xml:space="preserve">α’ εξάμηνο </w:t>
      </w:r>
      <w:r w:rsidR="00BA506B" w:rsidRPr="00CB38F0">
        <w:rPr>
          <w:rFonts w:ascii="Arial" w:hAnsi="Arial" w:cs="Arial"/>
          <w:bCs/>
          <w:sz w:val="18"/>
          <w:szCs w:val="28"/>
          <w:lang w:val="el-GR"/>
        </w:rPr>
        <w:t>2023</w:t>
      </w:r>
      <w:r w:rsidR="00085FB2" w:rsidRPr="00CB38F0">
        <w:rPr>
          <w:rFonts w:ascii="Arial" w:hAnsi="Arial" w:cs="Arial"/>
          <w:bCs/>
          <w:sz w:val="18"/>
          <w:szCs w:val="28"/>
          <w:lang w:val="el-GR"/>
        </w:rPr>
        <w:t xml:space="preserve">. </w:t>
      </w:r>
    </w:p>
    <w:p w14:paraId="0D72A693" w14:textId="47B90D91" w:rsidR="00733365" w:rsidRPr="00CB38F0" w:rsidRDefault="002C3095" w:rsidP="002354D5">
      <w:pPr>
        <w:pStyle w:val="BodyText3"/>
        <w:jc w:val="both"/>
        <w:rPr>
          <w:lang w:val="el-GR"/>
        </w:rPr>
      </w:pPr>
      <w:r w:rsidRPr="00CB38F0">
        <w:rPr>
          <w:rFonts w:ascii="Arial" w:hAnsi="Arial" w:cs="Arial"/>
          <w:sz w:val="18"/>
          <w:lang w:val="el-GR"/>
        </w:rPr>
        <w:t xml:space="preserve"> </w:t>
      </w:r>
      <w:bookmarkStart w:id="24" w:name="_Hlk80873594"/>
      <w:bookmarkStart w:id="25" w:name="_Hlk112060245"/>
      <w:bookmarkStart w:id="26" w:name="_Hlk112068458"/>
    </w:p>
    <w:p w14:paraId="2A9041B5" w14:textId="77777777" w:rsidR="00733365" w:rsidRDefault="00733365" w:rsidP="00DB30A6">
      <w:pPr>
        <w:spacing w:after="0" w:line="360" w:lineRule="auto"/>
        <w:rPr>
          <w:rFonts w:ascii="Arial" w:hAnsi="Arial" w:cs="Arial"/>
          <w:b/>
          <w:color w:val="FF9900"/>
          <w:sz w:val="24"/>
          <w:highlight w:val="yellow"/>
          <w:lang w:val="el-GR"/>
        </w:rPr>
      </w:pPr>
    </w:p>
    <w:p w14:paraId="7FA36DF6" w14:textId="77777777" w:rsidR="00D022B5" w:rsidRDefault="00D022B5" w:rsidP="00DB30A6">
      <w:pPr>
        <w:spacing w:after="0" w:line="360" w:lineRule="auto"/>
        <w:rPr>
          <w:rFonts w:ascii="Arial" w:hAnsi="Arial" w:cs="Arial"/>
          <w:b/>
          <w:color w:val="FF9900"/>
          <w:sz w:val="24"/>
          <w:lang w:val="el-GR"/>
        </w:rPr>
      </w:pPr>
    </w:p>
    <w:p w14:paraId="7FF71338" w14:textId="1DF29DFB" w:rsidR="001853B8" w:rsidRPr="006A1797" w:rsidRDefault="00B367BB" w:rsidP="00DB30A6">
      <w:pPr>
        <w:spacing w:after="0" w:line="360" w:lineRule="auto"/>
        <w:rPr>
          <w:rFonts w:ascii="Arial" w:hAnsi="Arial" w:cs="Arial"/>
          <w:b/>
          <w:color w:val="FF9900"/>
          <w:sz w:val="24"/>
          <w:lang w:val="el-GR"/>
        </w:rPr>
      </w:pPr>
      <w:r w:rsidRPr="006A1797">
        <w:rPr>
          <w:rFonts w:ascii="Arial" w:hAnsi="Arial" w:cs="Arial"/>
          <w:b/>
          <w:color w:val="FF9900"/>
          <w:sz w:val="24"/>
          <w:lang w:val="el-GR"/>
        </w:rPr>
        <w:lastRenderedPageBreak/>
        <w:t>Γ</w:t>
      </w:r>
      <w:r w:rsidR="001853B8" w:rsidRPr="006A1797">
        <w:rPr>
          <w:rFonts w:ascii="Arial" w:hAnsi="Arial" w:cs="Arial"/>
          <w:b/>
          <w:color w:val="FF9900"/>
          <w:sz w:val="24"/>
          <w:lang w:val="el-GR"/>
        </w:rPr>
        <w:t>. Λειτουργικό Περιβάλλον</w:t>
      </w:r>
    </w:p>
    <w:p w14:paraId="315EDEAD" w14:textId="5A9FD159" w:rsidR="00B367BB" w:rsidRDefault="00B367BB" w:rsidP="00B367BB">
      <w:pPr>
        <w:spacing w:line="240" w:lineRule="auto"/>
        <w:contextualSpacing/>
        <w:jc w:val="both"/>
        <w:rPr>
          <w:rFonts w:ascii="Arial" w:hAnsi="Arial" w:cs="Arial"/>
          <w:sz w:val="18"/>
          <w:lang w:val="el-GR"/>
        </w:rPr>
      </w:pPr>
      <w:bookmarkStart w:id="27" w:name="_Hlk99027934"/>
      <w:bookmarkStart w:id="28" w:name="_Hlk72772468"/>
      <w:bookmarkStart w:id="29" w:name="_Hlk72149976"/>
      <w:r w:rsidRPr="00E47938">
        <w:rPr>
          <w:rFonts w:ascii="Arial" w:hAnsi="Arial" w:cs="Arial"/>
          <w:sz w:val="18"/>
          <w:lang w:val="el-GR"/>
        </w:rPr>
        <w:t xml:space="preserve">Κατά το </w:t>
      </w:r>
      <w:r>
        <w:rPr>
          <w:rFonts w:ascii="Arial" w:hAnsi="Arial" w:cs="Arial"/>
          <w:sz w:val="18"/>
          <w:lang w:val="el-GR"/>
        </w:rPr>
        <w:t xml:space="preserve">α’ </w:t>
      </w:r>
      <w:r w:rsidRPr="00E47938">
        <w:rPr>
          <w:rFonts w:ascii="Arial" w:hAnsi="Arial" w:cs="Arial"/>
          <w:sz w:val="18"/>
          <w:lang w:val="el-GR"/>
        </w:rPr>
        <w:t>τρίμηνο</w:t>
      </w:r>
      <w:r>
        <w:rPr>
          <w:rFonts w:ascii="Arial" w:hAnsi="Arial" w:cs="Arial"/>
          <w:sz w:val="18"/>
          <w:lang w:val="el-GR"/>
        </w:rPr>
        <w:t xml:space="preserve"> </w:t>
      </w:r>
      <w:r w:rsidRPr="00E47938">
        <w:rPr>
          <w:rFonts w:ascii="Arial" w:hAnsi="Arial" w:cs="Arial"/>
          <w:sz w:val="18"/>
          <w:lang w:val="el-GR"/>
        </w:rPr>
        <w:t>2024 το ΑΕΠ αυξήθηκε κατά 3</w:t>
      </w:r>
      <w:r>
        <w:rPr>
          <w:rFonts w:ascii="Arial" w:hAnsi="Arial" w:cs="Arial"/>
          <w:sz w:val="18"/>
          <w:lang w:val="el-GR"/>
        </w:rPr>
        <w:t>.</w:t>
      </w:r>
      <w:r w:rsidRPr="00E47938">
        <w:rPr>
          <w:rFonts w:ascii="Arial" w:hAnsi="Arial" w:cs="Arial"/>
          <w:sz w:val="18"/>
          <w:lang w:val="el-GR"/>
        </w:rPr>
        <w:t>4% σε πραγματικούς όρους,</w:t>
      </w:r>
      <w:r>
        <w:rPr>
          <w:rFonts w:ascii="Arial" w:hAnsi="Arial" w:cs="Arial"/>
          <w:sz w:val="18"/>
          <w:lang w:val="el-GR"/>
        </w:rPr>
        <w:t xml:space="preserve"> </w:t>
      </w:r>
      <w:r w:rsidRPr="00E47938">
        <w:rPr>
          <w:rFonts w:ascii="Arial" w:hAnsi="Arial" w:cs="Arial"/>
          <w:sz w:val="18"/>
          <w:lang w:val="el-GR"/>
        </w:rPr>
        <w:t>εποχικά προσαρμοσμένο.</w:t>
      </w:r>
      <w:r w:rsidR="00D54D2A">
        <w:rPr>
          <w:rFonts w:ascii="Arial" w:hAnsi="Arial" w:cs="Arial"/>
          <w:sz w:val="18"/>
          <w:lang w:val="el-GR"/>
        </w:rPr>
        <w:t xml:space="preserve"> </w:t>
      </w:r>
      <w:r w:rsidRPr="00E47938">
        <w:rPr>
          <w:rFonts w:ascii="Arial" w:hAnsi="Arial" w:cs="Arial"/>
          <w:sz w:val="18"/>
          <w:lang w:val="el-GR"/>
        </w:rPr>
        <w:t>Η συνολική ανάπτυξη του τριμήνου επανήλθε περίπου στον μακροπρόθεσμο μέσο όρο</w:t>
      </w:r>
      <w:r w:rsidR="00D54D2A">
        <w:rPr>
          <w:rFonts w:ascii="Arial" w:hAnsi="Arial" w:cs="Arial"/>
          <w:sz w:val="18"/>
          <w:lang w:val="el-GR"/>
        </w:rPr>
        <w:t xml:space="preserve"> </w:t>
      </w:r>
      <w:r w:rsidRPr="00E47938">
        <w:rPr>
          <w:rFonts w:ascii="Arial" w:hAnsi="Arial" w:cs="Arial"/>
          <w:sz w:val="18"/>
          <w:lang w:val="el-GR"/>
        </w:rPr>
        <w:t xml:space="preserve">και </w:t>
      </w:r>
      <w:r w:rsidR="00D54D2A">
        <w:rPr>
          <w:rFonts w:ascii="Arial" w:hAnsi="Arial" w:cs="Arial"/>
          <w:sz w:val="18"/>
          <w:lang w:val="el-GR"/>
        </w:rPr>
        <w:t xml:space="preserve">οι </w:t>
      </w:r>
      <w:r w:rsidRPr="00E47938">
        <w:rPr>
          <w:rFonts w:ascii="Arial" w:hAnsi="Arial" w:cs="Arial"/>
          <w:sz w:val="18"/>
          <w:lang w:val="el-GR"/>
        </w:rPr>
        <w:t>συνεισφορές</w:t>
      </w:r>
      <w:r w:rsidR="00D54D2A">
        <w:rPr>
          <w:rFonts w:ascii="Arial" w:hAnsi="Arial" w:cs="Arial"/>
          <w:sz w:val="18"/>
          <w:lang w:val="el-GR"/>
        </w:rPr>
        <w:t xml:space="preserve"> από τους</w:t>
      </w:r>
      <w:r w:rsidR="00D54D2A" w:rsidRPr="00E47938">
        <w:rPr>
          <w:rFonts w:ascii="Arial" w:hAnsi="Arial" w:cs="Arial"/>
          <w:sz w:val="18"/>
          <w:lang w:val="el-GR"/>
        </w:rPr>
        <w:t xml:space="preserve"> </w:t>
      </w:r>
      <w:r w:rsidR="00D54D2A">
        <w:rPr>
          <w:rFonts w:ascii="Arial" w:hAnsi="Arial" w:cs="Arial"/>
          <w:sz w:val="18"/>
          <w:lang w:val="el-GR"/>
        </w:rPr>
        <w:t>τομείς</w:t>
      </w:r>
      <w:r w:rsidR="00D54D2A" w:rsidRPr="00E47938">
        <w:rPr>
          <w:rFonts w:ascii="Arial" w:hAnsi="Arial" w:cs="Arial"/>
          <w:sz w:val="18"/>
          <w:lang w:val="el-GR"/>
        </w:rPr>
        <w:t xml:space="preserve"> οικονομικής δραστηριότητας</w:t>
      </w:r>
      <w:r w:rsidRPr="00E47938">
        <w:rPr>
          <w:rFonts w:ascii="Arial" w:hAnsi="Arial" w:cs="Arial"/>
          <w:sz w:val="18"/>
          <w:lang w:val="el-GR"/>
        </w:rPr>
        <w:t xml:space="preserve"> επέστρεψαν στις μακροπρόθεσμες τάσεις τους. Αυτό ισχύει κυρίως για το εμπόριο, τις μεταφορές</w:t>
      </w:r>
      <w:r>
        <w:rPr>
          <w:rFonts w:ascii="Arial" w:hAnsi="Arial" w:cs="Arial"/>
          <w:sz w:val="18"/>
          <w:lang w:val="el-GR"/>
        </w:rPr>
        <w:t>,</w:t>
      </w:r>
      <w:r w:rsidR="00D54D2A">
        <w:rPr>
          <w:rFonts w:ascii="Arial" w:hAnsi="Arial" w:cs="Arial"/>
          <w:sz w:val="18"/>
          <w:lang w:val="el-GR"/>
        </w:rPr>
        <w:t xml:space="preserve"> </w:t>
      </w:r>
      <w:r w:rsidRPr="00E47938">
        <w:rPr>
          <w:rFonts w:ascii="Arial" w:hAnsi="Arial" w:cs="Arial"/>
          <w:sz w:val="18"/>
          <w:lang w:val="el-GR"/>
        </w:rPr>
        <w:t>τις υπηρεσίες παροχής καταλύματος,</w:t>
      </w:r>
      <w:r w:rsidR="00D54D2A">
        <w:rPr>
          <w:rFonts w:ascii="Arial" w:hAnsi="Arial" w:cs="Arial"/>
          <w:sz w:val="18"/>
          <w:lang w:val="el-GR"/>
        </w:rPr>
        <w:t xml:space="preserve"> </w:t>
      </w:r>
      <w:r w:rsidRPr="00E47938">
        <w:rPr>
          <w:rFonts w:ascii="Arial" w:hAnsi="Arial" w:cs="Arial"/>
          <w:sz w:val="18"/>
          <w:lang w:val="el-GR"/>
        </w:rPr>
        <w:t>την πληροφορική και τις επικοινωνίες, τις επαγγελματικές και διοικητικές υπηρεσίες, καθώς και για τους συναφείς με το δημόσιο τομείς</w:t>
      </w:r>
      <w:r>
        <w:rPr>
          <w:rFonts w:ascii="Arial" w:hAnsi="Arial" w:cs="Arial"/>
          <w:sz w:val="18"/>
          <w:lang w:val="el-GR"/>
        </w:rPr>
        <w:t>,</w:t>
      </w:r>
      <w:r w:rsidRPr="00E47938">
        <w:rPr>
          <w:rFonts w:ascii="Arial" w:hAnsi="Arial" w:cs="Arial"/>
          <w:sz w:val="18"/>
          <w:lang w:val="el-GR"/>
        </w:rPr>
        <w:t xml:space="preserve"> της δημόσιας διοίκησης, της εκπαίδευσης και της υγείας. Για το </w:t>
      </w:r>
      <w:r w:rsidR="00D54D2A">
        <w:rPr>
          <w:rFonts w:ascii="Arial" w:hAnsi="Arial" w:cs="Arial"/>
          <w:sz w:val="18"/>
          <w:lang w:val="el-GR"/>
        </w:rPr>
        <w:t>2024</w:t>
      </w:r>
      <w:r w:rsidRPr="00E47938">
        <w:rPr>
          <w:rFonts w:ascii="Arial" w:hAnsi="Arial" w:cs="Arial"/>
          <w:sz w:val="18"/>
          <w:lang w:val="el-GR"/>
        </w:rPr>
        <w:t>, η οικονομία αναμένεται να αυξηθεί κατά</w:t>
      </w:r>
      <w:r w:rsidR="00515B6A">
        <w:rPr>
          <w:rFonts w:ascii="Arial" w:hAnsi="Arial" w:cs="Arial"/>
          <w:sz w:val="18"/>
          <w:lang w:val="el-GR"/>
        </w:rPr>
        <w:t xml:space="preserve"> περίπου</w:t>
      </w:r>
      <w:r w:rsidRPr="00E47938">
        <w:rPr>
          <w:rFonts w:ascii="Arial" w:hAnsi="Arial" w:cs="Arial"/>
          <w:sz w:val="18"/>
          <w:lang w:val="el-GR"/>
        </w:rPr>
        <w:t xml:space="preserve"> 2</w:t>
      </w:r>
      <w:r>
        <w:rPr>
          <w:rFonts w:ascii="Arial" w:hAnsi="Arial" w:cs="Arial"/>
          <w:sz w:val="18"/>
          <w:lang w:val="el-GR"/>
        </w:rPr>
        <w:t>.</w:t>
      </w:r>
      <w:r w:rsidRPr="00E47938">
        <w:rPr>
          <w:rFonts w:ascii="Arial" w:hAnsi="Arial" w:cs="Arial"/>
          <w:sz w:val="18"/>
          <w:lang w:val="el-GR"/>
        </w:rPr>
        <w:t>9%</w:t>
      </w:r>
      <w:r w:rsidR="00515B6A">
        <w:rPr>
          <w:rFonts w:ascii="Arial" w:hAnsi="Arial" w:cs="Arial"/>
          <w:sz w:val="18"/>
          <w:lang w:val="el-GR"/>
        </w:rPr>
        <w:t xml:space="preserve">, </w:t>
      </w:r>
      <w:r w:rsidRPr="00E47938">
        <w:rPr>
          <w:rFonts w:ascii="Arial" w:hAnsi="Arial" w:cs="Arial"/>
          <w:sz w:val="18"/>
          <w:lang w:val="el-GR"/>
        </w:rPr>
        <w:t>σύμφωνα με το Υπουργείο Οικονομικών</w:t>
      </w:r>
      <w:r w:rsidR="00515B6A">
        <w:rPr>
          <w:rFonts w:ascii="Arial" w:hAnsi="Arial" w:cs="Arial"/>
          <w:sz w:val="18"/>
          <w:lang w:val="el-GR"/>
        </w:rPr>
        <w:t xml:space="preserve"> (με βάση τις εκτιμήσεις Μαΐου 2024)</w:t>
      </w:r>
      <w:r w:rsidRPr="00E47938">
        <w:rPr>
          <w:rFonts w:ascii="Arial" w:hAnsi="Arial" w:cs="Arial"/>
          <w:sz w:val="18"/>
          <w:lang w:val="el-GR"/>
        </w:rPr>
        <w:t>.</w:t>
      </w:r>
    </w:p>
    <w:p w14:paraId="59995F89" w14:textId="77777777" w:rsidR="00A6549A" w:rsidRPr="006B5511" w:rsidRDefault="00A6549A" w:rsidP="001E5D64">
      <w:pPr>
        <w:spacing w:after="0" w:line="240" w:lineRule="auto"/>
        <w:jc w:val="both"/>
        <w:rPr>
          <w:rFonts w:ascii="Arial" w:hAnsi="Arial" w:cs="Arial"/>
          <w:bCs/>
          <w:color w:val="000000" w:themeColor="text1"/>
          <w:sz w:val="18"/>
          <w:szCs w:val="18"/>
          <w:highlight w:val="yellow"/>
          <w:lang w:val="el-GR"/>
        </w:rPr>
      </w:pPr>
    </w:p>
    <w:p w14:paraId="5D011CF2" w14:textId="24D6C6CE" w:rsidR="00B367BB" w:rsidRPr="00E47938" w:rsidRDefault="00B367BB" w:rsidP="00B367BB">
      <w:pPr>
        <w:spacing w:line="240" w:lineRule="auto"/>
        <w:contextualSpacing/>
        <w:jc w:val="both"/>
        <w:rPr>
          <w:rFonts w:ascii="Arial" w:hAnsi="Arial" w:cs="Arial"/>
          <w:sz w:val="18"/>
          <w:lang w:val="el-GR"/>
        </w:rPr>
      </w:pPr>
      <w:r w:rsidRPr="00E47938">
        <w:rPr>
          <w:rFonts w:ascii="Arial" w:hAnsi="Arial" w:cs="Arial"/>
          <w:sz w:val="18"/>
          <w:lang w:val="el-GR"/>
        </w:rPr>
        <w:t>Οι βραχυπρόθεσμοι κίνδυνοι είναι ως επί το πλείστο εξωγενείς και αρνητικοί, συμπεριλαμβανομένων</w:t>
      </w:r>
      <w:r>
        <w:rPr>
          <w:rFonts w:ascii="Arial" w:hAnsi="Arial" w:cs="Arial"/>
          <w:sz w:val="18"/>
          <w:lang w:val="el-GR"/>
        </w:rPr>
        <w:t>,</w:t>
      </w:r>
      <w:r w:rsidRPr="00E47938">
        <w:rPr>
          <w:rFonts w:ascii="Arial" w:hAnsi="Arial" w:cs="Arial"/>
          <w:sz w:val="18"/>
          <w:lang w:val="el-GR"/>
        </w:rPr>
        <w:t xml:space="preserve"> </w:t>
      </w:r>
      <w:r>
        <w:rPr>
          <w:rFonts w:ascii="Arial" w:hAnsi="Arial" w:cs="Arial"/>
          <w:sz w:val="18"/>
          <w:lang w:val="el-GR"/>
        </w:rPr>
        <w:t xml:space="preserve">πιθανής </w:t>
      </w:r>
      <w:r w:rsidRPr="00E47938">
        <w:rPr>
          <w:rFonts w:ascii="Arial" w:hAnsi="Arial" w:cs="Arial"/>
          <w:sz w:val="18"/>
          <w:lang w:val="el-GR"/>
        </w:rPr>
        <w:t>ύφεσης στις μεγάλες τουριστικές αγορές, κλιμάκωσης των περιφερειακών συγκρούσεων και καθυστερήσεων στην εφαρμογή του σχεδίου ανάκαμψης και ανθεκτικότητας. Μεσοπρόθεσμα</w:t>
      </w:r>
      <w:r w:rsidR="00457E36" w:rsidRPr="00457E36">
        <w:rPr>
          <w:rFonts w:ascii="Arial" w:hAnsi="Arial" w:cs="Arial"/>
          <w:sz w:val="18"/>
          <w:lang w:val="el-GR"/>
        </w:rPr>
        <w:t>,</w:t>
      </w:r>
      <w:r w:rsidRPr="00E47938">
        <w:rPr>
          <w:rFonts w:ascii="Arial" w:hAnsi="Arial" w:cs="Arial"/>
          <w:sz w:val="18"/>
          <w:lang w:val="el-GR"/>
        </w:rPr>
        <w:t xml:space="preserve"> οι κίνδυνοι προέρχονται από την κλιματική αλλαγή και από πιθανή περαιτέρω επιδείνωση των παγκόσμιων γεωπολιτικών </w:t>
      </w:r>
      <w:r w:rsidR="00457E36">
        <w:rPr>
          <w:rFonts w:ascii="Arial" w:hAnsi="Arial" w:cs="Arial"/>
          <w:sz w:val="18"/>
          <w:lang w:val="el-GR"/>
        </w:rPr>
        <w:t>προοπτικών</w:t>
      </w:r>
      <w:r w:rsidRPr="00E47938">
        <w:rPr>
          <w:rFonts w:ascii="Arial" w:hAnsi="Arial" w:cs="Arial"/>
          <w:sz w:val="18"/>
          <w:lang w:val="el-GR"/>
        </w:rPr>
        <w:t>. Η ψηφιακή και η πράσινη μετάβαση παραμένουν βασικές προκλήσεις.</w:t>
      </w:r>
    </w:p>
    <w:p w14:paraId="0AAD0795" w14:textId="77777777" w:rsidR="00A6549A" w:rsidRPr="006B5511" w:rsidRDefault="00A6549A" w:rsidP="001E5D64">
      <w:pPr>
        <w:spacing w:after="0" w:line="240" w:lineRule="auto"/>
        <w:jc w:val="both"/>
        <w:rPr>
          <w:rFonts w:ascii="Arial" w:hAnsi="Arial" w:cs="Arial"/>
          <w:bCs/>
          <w:color w:val="000000" w:themeColor="text1"/>
          <w:sz w:val="18"/>
          <w:szCs w:val="18"/>
          <w:highlight w:val="yellow"/>
          <w:lang w:val="el-GR"/>
        </w:rPr>
      </w:pPr>
    </w:p>
    <w:p w14:paraId="7995701A" w14:textId="793DAD64" w:rsidR="00B367BB" w:rsidRDefault="00515B6A" w:rsidP="00B367BB">
      <w:pPr>
        <w:spacing w:line="240" w:lineRule="auto"/>
        <w:contextualSpacing/>
        <w:jc w:val="both"/>
        <w:rPr>
          <w:rFonts w:ascii="Arial" w:hAnsi="Arial" w:cs="Arial"/>
          <w:sz w:val="18"/>
          <w:lang w:val="el-GR"/>
        </w:rPr>
      </w:pPr>
      <w:r>
        <w:rPr>
          <w:rFonts w:ascii="Arial" w:hAnsi="Arial" w:cs="Arial"/>
          <w:sz w:val="18"/>
          <w:lang w:val="el-GR"/>
        </w:rPr>
        <w:t xml:space="preserve">Το </w:t>
      </w:r>
      <w:r w:rsidR="00B367BB" w:rsidRPr="00477F30">
        <w:rPr>
          <w:rFonts w:ascii="Arial" w:hAnsi="Arial" w:cs="Arial"/>
          <w:sz w:val="18"/>
          <w:lang w:val="el-GR"/>
        </w:rPr>
        <w:t>ποσοστό ανεργίας, αφού αυξήθηκε το 2020 και το πρώτο εξάμηνο του 2021, μειώθηκε στη συνέχεια στο 6</w:t>
      </w:r>
      <w:r w:rsidR="00B367BB">
        <w:rPr>
          <w:rFonts w:ascii="Arial" w:hAnsi="Arial" w:cs="Arial"/>
          <w:sz w:val="18"/>
          <w:lang w:val="el-GR"/>
        </w:rPr>
        <w:t>.</w:t>
      </w:r>
      <w:r w:rsidR="00B367BB" w:rsidRPr="00477F30">
        <w:rPr>
          <w:rFonts w:ascii="Arial" w:hAnsi="Arial" w:cs="Arial"/>
          <w:sz w:val="18"/>
          <w:lang w:val="el-GR"/>
        </w:rPr>
        <w:t>0% το τέταρτο τρίμηνο του 2023 και στο 5</w:t>
      </w:r>
      <w:r w:rsidR="00B367BB">
        <w:rPr>
          <w:rFonts w:ascii="Arial" w:hAnsi="Arial" w:cs="Arial"/>
          <w:sz w:val="18"/>
          <w:lang w:val="el-GR"/>
        </w:rPr>
        <w:t>.</w:t>
      </w:r>
      <w:r w:rsidR="00B367BB" w:rsidRPr="00477F30">
        <w:rPr>
          <w:rFonts w:ascii="Arial" w:hAnsi="Arial" w:cs="Arial"/>
          <w:sz w:val="18"/>
          <w:lang w:val="el-GR"/>
        </w:rPr>
        <w:t xml:space="preserve">7% το πρώτο τρίμηνο του 2024, εποχικά προσαρμοσμένο. Το ποσοστό ανεργίας </w:t>
      </w:r>
      <w:r>
        <w:rPr>
          <w:rFonts w:ascii="Arial" w:hAnsi="Arial" w:cs="Arial"/>
          <w:sz w:val="18"/>
          <w:lang w:val="el-GR"/>
        </w:rPr>
        <w:t>ανήλθε σε</w:t>
      </w:r>
      <w:r w:rsidR="00B367BB" w:rsidRPr="00477F30">
        <w:rPr>
          <w:rFonts w:ascii="Arial" w:hAnsi="Arial" w:cs="Arial"/>
          <w:sz w:val="18"/>
          <w:lang w:val="el-GR"/>
        </w:rPr>
        <w:t xml:space="preserve"> 6</w:t>
      </w:r>
      <w:r w:rsidR="00B367BB">
        <w:rPr>
          <w:rFonts w:ascii="Arial" w:hAnsi="Arial" w:cs="Arial"/>
          <w:sz w:val="18"/>
          <w:lang w:val="el-GR"/>
        </w:rPr>
        <w:t>.</w:t>
      </w:r>
      <w:r w:rsidR="00B367BB" w:rsidRPr="00477F30">
        <w:rPr>
          <w:rFonts w:ascii="Arial" w:hAnsi="Arial" w:cs="Arial"/>
          <w:sz w:val="18"/>
          <w:lang w:val="el-GR"/>
        </w:rPr>
        <w:t>5% στη ζώνη του ευρώ το πρώτο τρίμηνο του 2024</w:t>
      </w:r>
      <w:r>
        <w:rPr>
          <w:rFonts w:ascii="Arial" w:hAnsi="Arial" w:cs="Arial"/>
          <w:sz w:val="18"/>
          <w:lang w:val="el-GR"/>
        </w:rPr>
        <w:t>.</w:t>
      </w:r>
    </w:p>
    <w:p w14:paraId="26DC4261" w14:textId="77777777" w:rsidR="00A6549A" w:rsidRPr="006B5511" w:rsidRDefault="00A6549A" w:rsidP="001E5D64">
      <w:pPr>
        <w:spacing w:after="0" w:line="240" w:lineRule="auto"/>
        <w:jc w:val="both"/>
        <w:rPr>
          <w:rFonts w:ascii="Arial" w:hAnsi="Arial" w:cs="Arial"/>
          <w:bCs/>
          <w:color w:val="000000" w:themeColor="text1"/>
          <w:sz w:val="18"/>
          <w:szCs w:val="18"/>
          <w:highlight w:val="yellow"/>
          <w:lang w:val="el-GR"/>
        </w:rPr>
      </w:pPr>
    </w:p>
    <w:p w14:paraId="191B15DB" w14:textId="70999867" w:rsidR="00B367BB" w:rsidRDefault="00B367BB" w:rsidP="00B367BB">
      <w:pPr>
        <w:spacing w:line="240" w:lineRule="auto"/>
        <w:contextualSpacing/>
        <w:jc w:val="both"/>
        <w:rPr>
          <w:rFonts w:ascii="Arial" w:hAnsi="Arial" w:cs="Arial"/>
          <w:sz w:val="18"/>
          <w:lang w:val="el-GR"/>
        </w:rPr>
      </w:pPr>
      <w:r w:rsidRPr="00477F30">
        <w:rPr>
          <w:rFonts w:ascii="Arial" w:hAnsi="Arial" w:cs="Arial"/>
          <w:sz w:val="18"/>
          <w:lang w:val="el-GR"/>
        </w:rPr>
        <w:t>Την περίοδο Ιανουαρίου-Ιουνίου 2024, ο εναρμονισμένος πληθωρισμός ήταν 2</w:t>
      </w:r>
      <w:r>
        <w:rPr>
          <w:rFonts w:ascii="Arial" w:hAnsi="Arial" w:cs="Arial"/>
          <w:sz w:val="18"/>
          <w:lang w:val="el-GR"/>
        </w:rPr>
        <w:t>.</w:t>
      </w:r>
      <w:r w:rsidRPr="00477F30">
        <w:rPr>
          <w:rFonts w:ascii="Arial" w:hAnsi="Arial" w:cs="Arial"/>
          <w:sz w:val="18"/>
          <w:lang w:val="el-GR"/>
        </w:rPr>
        <w:t>3% στην Κύπρο και ο βασικός πληθωρισμός ήταν 2</w:t>
      </w:r>
      <w:r>
        <w:rPr>
          <w:rFonts w:ascii="Arial" w:hAnsi="Arial" w:cs="Arial"/>
          <w:sz w:val="18"/>
          <w:lang w:val="el-GR"/>
        </w:rPr>
        <w:t>.</w:t>
      </w:r>
      <w:r w:rsidRPr="00477F30">
        <w:rPr>
          <w:rFonts w:ascii="Arial" w:hAnsi="Arial" w:cs="Arial"/>
          <w:sz w:val="18"/>
          <w:lang w:val="el-GR"/>
        </w:rPr>
        <w:t>5%. Στη ζώνη του ευρώ, ο εναρμονισμένος πληθωρισμός ήταν 2</w:t>
      </w:r>
      <w:r>
        <w:rPr>
          <w:rFonts w:ascii="Arial" w:hAnsi="Arial" w:cs="Arial"/>
          <w:sz w:val="18"/>
          <w:lang w:val="el-GR"/>
        </w:rPr>
        <w:t>.</w:t>
      </w:r>
      <w:r w:rsidRPr="00477F30">
        <w:rPr>
          <w:rFonts w:ascii="Arial" w:hAnsi="Arial" w:cs="Arial"/>
          <w:sz w:val="18"/>
          <w:lang w:val="el-GR"/>
        </w:rPr>
        <w:t xml:space="preserve">5% και ο βασικός πληθωρισμός </w:t>
      </w:r>
      <w:r w:rsidR="00515B6A">
        <w:rPr>
          <w:rFonts w:ascii="Arial" w:hAnsi="Arial" w:cs="Arial"/>
          <w:sz w:val="18"/>
          <w:lang w:val="el-GR"/>
        </w:rPr>
        <w:t>ανήλθε σε</w:t>
      </w:r>
      <w:r>
        <w:rPr>
          <w:rFonts w:ascii="Arial" w:hAnsi="Arial" w:cs="Arial"/>
          <w:sz w:val="18"/>
          <w:lang w:val="el-GR"/>
        </w:rPr>
        <w:t xml:space="preserve"> 2.</w:t>
      </w:r>
      <w:r w:rsidRPr="00477F30">
        <w:rPr>
          <w:rFonts w:ascii="Arial" w:hAnsi="Arial" w:cs="Arial"/>
          <w:sz w:val="18"/>
          <w:lang w:val="el-GR"/>
        </w:rPr>
        <w:t xml:space="preserve">9%. Η μείωση του εναρμονισμένου πληθωρισμού οφείλεται στις μη βασικές συνιστώσες </w:t>
      </w:r>
      <w:r>
        <w:rPr>
          <w:rFonts w:ascii="Arial" w:hAnsi="Arial" w:cs="Arial"/>
          <w:sz w:val="18"/>
          <w:lang w:val="el-GR"/>
        </w:rPr>
        <w:t xml:space="preserve">του δείκτη, δηλαδή </w:t>
      </w:r>
      <w:r w:rsidRPr="00477F30">
        <w:rPr>
          <w:rFonts w:ascii="Arial" w:hAnsi="Arial" w:cs="Arial"/>
          <w:sz w:val="18"/>
          <w:lang w:val="el-GR"/>
        </w:rPr>
        <w:t xml:space="preserve">της ενέργειας και των τροφίμων, ενώ ο βασικός πληθωρισμός, που ορίζεται ως ο συνολικός πληθωρισμός </w:t>
      </w:r>
      <w:r>
        <w:rPr>
          <w:rFonts w:ascii="Arial" w:hAnsi="Arial" w:cs="Arial"/>
          <w:sz w:val="18"/>
          <w:lang w:val="el-GR"/>
        </w:rPr>
        <w:t xml:space="preserve">πλην </w:t>
      </w:r>
      <w:r w:rsidRPr="00477F30">
        <w:rPr>
          <w:rFonts w:ascii="Arial" w:hAnsi="Arial" w:cs="Arial"/>
          <w:sz w:val="18"/>
          <w:lang w:val="el-GR"/>
        </w:rPr>
        <w:t>τη</w:t>
      </w:r>
      <w:r>
        <w:rPr>
          <w:rFonts w:ascii="Arial" w:hAnsi="Arial" w:cs="Arial"/>
          <w:sz w:val="18"/>
          <w:lang w:val="el-GR"/>
        </w:rPr>
        <w:t>ς</w:t>
      </w:r>
      <w:r w:rsidRPr="00477F30">
        <w:rPr>
          <w:rFonts w:ascii="Arial" w:hAnsi="Arial" w:cs="Arial"/>
          <w:sz w:val="18"/>
          <w:lang w:val="el-GR"/>
        </w:rPr>
        <w:t xml:space="preserve"> ενέργεια</w:t>
      </w:r>
      <w:r>
        <w:rPr>
          <w:rFonts w:ascii="Arial" w:hAnsi="Arial" w:cs="Arial"/>
          <w:sz w:val="18"/>
          <w:lang w:val="el-GR"/>
        </w:rPr>
        <w:t>ς</w:t>
      </w:r>
      <w:r w:rsidRPr="00477F30">
        <w:rPr>
          <w:rFonts w:ascii="Arial" w:hAnsi="Arial" w:cs="Arial"/>
          <w:sz w:val="18"/>
          <w:lang w:val="el-GR"/>
        </w:rPr>
        <w:t xml:space="preserve"> και τ</w:t>
      </w:r>
      <w:r>
        <w:rPr>
          <w:rFonts w:ascii="Arial" w:hAnsi="Arial" w:cs="Arial"/>
          <w:sz w:val="18"/>
          <w:lang w:val="el-GR"/>
        </w:rPr>
        <w:t>ων</w:t>
      </w:r>
      <w:r w:rsidRPr="00477F30">
        <w:rPr>
          <w:rFonts w:ascii="Arial" w:hAnsi="Arial" w:cs="Arial"/>
          <w:sz w:val="18"/>
          <w:lang w:val="el-GR"/>
        </w:rPr>
        <w:t xml:space="preserve"> τρ</w:t>
      </w:r>
      <w:r>
        <w:rPr>
          <w:rFonts w:ascii="Arial" w:hAnsi="Arial" w:cs="Arial"/>
          <w:sz w:val="18"/>
          <w:lang w:val="el-GR"/>
        </w:rPr>
        <w:t xml:space="preserve">οφίμων, </w:t>
      </w:r>
      <w:r w:rsidRPr="00477F30">
        <w:rPr>
          <w:rFonts w:ascii="Arial" w:hAnsi="Arial" w:cs="Arial"/>
          <w:sz w:val="18"/>
          <w:lang w:val="el-GR"/>
        </w:rPr>
        <w:t>ήταν πιο επίμονος. Το 2023 ο συνολικός εναρμονισμένος πληθωρισμός στην Κύπρο ήταν 3</w:t>
      </w:r>
      <w:r>
        <w:rPr>
          <w:rFonts w:ascii="Arial" w:hAnsi="Arial" w:cs="Arial"/>
          <w:sz w:val="18"/>
          <w:lang w:val="el-GR"/>
        </w:rPr>
        <w:t>.</w:t>
      </w:r>
      <w:r w:rsidRPr="00477F30">
        <w:rPr>
          <w:rFonts w:ascii="Arial" w:hAnsi="Arial" w:cs="Arial"/>
          <w:sz w:val="18"/>
          <w:lang w:val="el-GR"/>
        </w:rPr>
        <w:t xml:space="preserve">9% και </w:t>
      </w:r>
      <w:r>
        <w:rPr>
          <w:rFonts w:ascii="Arial" w:hAnsi="Arial" w:cs="Arial"/>
          <w:sz w:val="18"/>
          <w:lang w:val="el-GR"/>
        </w:rPr>
        <w:t xml:space="preserve">περιελάβανε </w:t>
      </w:r>
      <w:r w:rsidRPr="00477F30">
        <w:rPr>
          <w:rFonts w:ascii="Arial" w:hAnsi="Arial" w:cs="Arial"/>
          <w:sz w:val="18"/>
          <w:lang w:val="el-GR"/>
        </w:rPr>
        <w:t>2</w:t>
      </w:r>
      <w:r>
        <w:rPr>
          <w:rFonts w:ascii="Arial" w:hAnsi="Arial" w:cs="Arial"/>
          <w:sz w:val="18"/>
          <w:lang w:val="el-GR"/>
        </w:rPr>
        <w:t>.</w:t>
      </w:r>
      <w:r w:rsidRPr="00477F30">
        <w:rPr>
          <w:rFonts w:ascii="Arial" w:hAnsi="Arial" w:cs="Arial"/>
          <w:sz w:val="18"/>
          <w:lang w:val="el-GR"/>
        </w:rPr>
        <w:t>8</w:t>
      </w:r>
      <w:r w:rsidR="00EF59A0">
        <w:rPr>
          <w:rFonts w:ascii="Arial" w:hAnsi="Arial" w:cs="Arial"/>
          <w:sz w:val="18"/>
          <w:lang w:val="el-GR"/>
        </w:rPr>
        <w:t xml:space="preserve"> ε.μ.</w:t>
      </w:r>
      <w:r w:rsidRPr="00477F30">
        <w:rPr>
          <w:rFonts w:ascii="Arial" w:hAnsi="Arial" w:cs="Arial"/>
          <w:sz w:val="18"/>
          <w:lang w:val="el-GR"/>
        </w:rPr>
        <w:t xml:space="preserve"> βασικού πληθωρισμού</w:t>
      </w:r>
      <w:r w:rsidR="00457E36" w:rsidRPr="00457E36">
        <w:rPr>
          <w:rFonts w:ascii="Arial" w:hAnsi="Arial" w:cs="Arial"/>
          <w:sz w:val="18"/>
          <w:lang w:val="el-GR"/>
        </w:rPr>
        <w:t xml:space="preserve"> </w:t>
      </w:r>
      <w:r w:rsidR="00457E36">
        <w:rPr>
          <w:rFonts w:ascii="Arial" w:hAnsi="Arial" w:cs="Arial"/>
          <w:sz w:val="18"/>
          <w:lang w:val="el-GR"/>
        </w:rPr>
        <w:t xml:space="preserve">και 1.1. ε.μ.μη βασικού πληθορισμού </w:t>
      </w:r>
      <w:r>
        <w:rPr>
          <w:rFonts w:ascii="Arial" w:hAnsi="Arial" w:cs="Arial"/>
          <w:sz w:val="18"/>
          <w:lang w:val="el-GR"/>
        </w:rPr>
        <w:t xml:space="preserve">. </w:t>
      </w:r>
      <w:r w:rsidRPr="00477F30">
        <w:rPr>
          <w:rFonts w:ascii="Arial" w:hAnsi="Arial" w:cs="Arial"/>
          <w:sz w:val="18"/>
          <w:lang w:val="el-GR"/>
        </w:rPr>
        <w:t>Οι τιμές των τροφίμων συνεισέφεραν 1</w:t>
      </w:r>
      <w:r>
        <w:rPr>
          <w:rFonts w:ascii="Arial" w:hAnsi="Arial" w:cs="Arial"/>
          <w:sz w:val="18"/>
          <w:lang w:val="el-GR"/>
        </w:rPr>
        <w:t>.</w:t>
      </w:r>
      <w:r w:rsidRPr="00477F30">
        <w:rPr>
          <w:rFonts w:ascii="Arial" w:hAnsi="Arial" w:cs="Arial"/>
          <w:sz w:val="18"/>
          <w:lang w:val="el-GR"/>
        </w:rPr>
        <w:t xml:space="preserve">9 </w:t>
      </w:r>
      <w:r w:rsidR="00EF59A0">
        <w:rPr>
          <w:rFonts w:ascii="Arial" w:hAnsi="Arial" w:cs="Arial"/>
          <w:sz w:val="18"/>
          <w:lang w:val="el-GR"/>
        </w:rPr>
        <w:t>ε.μ.</w:t>
      </w:r>
      <w:r w:rsidRPr="00477F30">
        <w:rPr>
          <w:rFonts w:ascii="Arial" w:hAnsi="Arial" w:cs="Arial"/>
          <w:sz w:val="18"/>
          <w:lang w:val="el-GR"/>
        </w:rPr>
        <w:t xml:space="preserve"> και οι τιμές της ενέργειας -0,7 </w:t>
      </w:r>
      <w:r w:rsidR="00EF59A0">
        <w:rPr>
          <w:rFonts w:ascii="Arial" w:hAnsi="Arial" w:cs="Arial"/>
          <w:sz w:val="18"/>
          <w:lang w:val="el-GR"/>
        </w:rPr>
        <w:t>ε.μ</w:t>
      </w:r>
      <w:r w:rsidRPr="00477F30">
        <w:rPr>
          <w:rFonts w:ascii="Arial" w:hAnsi="Arial" w:cs="Arial"/>
          <w:sz w:val="18"/>
          <w:lang w:val="el-GR"/>
        </w:rPr>
        <w:t>.</w:t>
      </w:r>
    </w:p>
    <w:p w14:paraId="27A4607D" w14:textId="77777777" w:rsidR="00B921C5" w:rsidRPr="006B5511" w:rsidRDefault="00B921C5" w:rsidP="001E5D64">
      <w:pPr>
        <w:spacing w:after="0" w:line="240" w:lineRule="auto"/>
        <w:jc w:val="both"/>
        <w:rPr>
          <w:rFonts w:ascii="Arial" w:hAnsi="Arial" w:cs="Arial"/>
          <w:bCs/>
          <w:color w:val="000000" w:themeColor="text1"/>
          <w:sz w:val="18"/>
          <w:szCs w:val="18"/>
          <w:highlight w:val="yellow"/>
          <w:lang w:val="el-GR"/>
        </w:rPr>
      </w:pPr>
    </w:p>
    <w:p w14:paraId="673E1A2A" w14:textId="233DD8AA" w:rsidR="00BF5DA5" w:rsidRPr="006A1797" w:rsidRDefault="00B367BB" w:rsidP="006A1797">
      <w:pPr>
        <w:spacing w:line="240" w:lineRule="auto"/>
        <w:contextualSpacing/>
        <w:jc w:val="both"/>
        <w:rPr>
          <w:rFonts w:ascii="Arial" w:hAnsi="Arial" w:cs="Arial"/>
          <w:sz w:val="18"/>
          <w:lang w:val="el-GR"/>
        </w:rPr>
      </w:pPr>
      <w:r w:rsidRPr="00477F30">
        <w:rPr>
          <w:rFonts w:ascii="Arial" w:hAnsi="Arial" w:cs="Arial"/>
          <w:sz w:val="18"/>
          <w:lang w:val="el-GR"/>
        </w:rPr>
        <w:t xml:space="preserve">Οι αφίξεις τουριστών για την περίοδο Ιανουαρίου-Ιουνίου 2024 ήταν </w:t>
      </w:r>
      <w:r w:rsidR="00EF59A0">
        <w:rPr>
          <w:rFonts w:ascii="Arial" w:hAnsi="Arial" w:cs="Arial"/>
          <w:sz w:val="18"/>
          <w:lang w:val="el-GR"/>
        </w:rPr>
        <w:t>περίπου</w:t>
      </w:r>
      <w:r w:rsidRPr="00477F30">
        <w:rPr>
          <w:rFonts w:ascii="Arial" w:hAnsi="Arial" w:cs="Arial"/>
          <w:sz w:val="18"/>
          <w:lang w:val="el-GR"/>
        </w:rPr>
        <w:t xml:space="preserve"> στα ίδια επίπεδα με το προηγούμενο έτος.</w:t>
      </w:r>
      <w:r w:rsidR="00EF59A0">
        <w:rPr>
          <w:rFonts w:ascii="Arial" w:hAnsi="Arial" w:cs="Arial"/>
          <w:sz w:val="18"/>
          <w:lang w:val="el-GR"/>
        </w:rPr>
        <w:t xml:space="preserve"> Ομοίως,</w:t>
      </w:r>
      <w:r w:rsidR="009C0AB8">
        <w:rPr>
          <w:rFonts w:ascii="Arial" w:hAnsi="Arial" w:cs="Arial"/>
          <w:sz w:val="18"/>
          <w:lang w:val="el-GR"/>
        </w:rPr>
        <w:t xml:space="preserve"> </w:t>
      </w:r>
      <w:r w:rsidR="00EF59A0">
        <w:rPr>
          <w:rFonts w:ascii="Arial" w:hAnsi="Arial" w:cs="Arial"/>
          <w:sz w:val="18"/>
          <w:lang w:val="el-GR"/>
        </w:rPr>
        <w:t xml:space="preserve">οι εισπράξεις την περίοδο </w:t>
      </w:r>
      <w:r w:rsidR="00EF59A0" w:rsidRPr="00477F30">
        <w:rPr>
          <w:rFonts w:ascii="Arial" w:hAnsi="Arial" w:cs="Arial"/>
          <w:sz w:val="18"/>
          <w:lang w:val="el-GR"/>
        </w:rPr>
        <w:t>Ιανουαρίου-</w:t>
      </w:r>
      <w:r w:rsidR="00EF59A0">
        <w:rPr>
          <w:rFonts w:ascii="Arial" w:hAnsi="Arial" w:cs="Arial"/>
          <w:sz w:val="18"/>
          <w:lang w:val="el-GR"/>
        </w:rPr>
        <w:t>Μαΐου</w:t>
      </w:r>
      <w:r w:rsidR="00EF59A0" w:rsidRPr="00477F30">
        <w:rPr>
          <w:rFonts w:ascii="Arial" w:hAnsi="Arial" w:cs="Arial"/>
          <w:sz w:val="18"/>
          <w:lang w:val="el-GR"/>
        </w:rPr>
        <w:t xml:space="preserve"> 2024</w:t>
      </w:r>
      <w:r w:rsidR="00EF59A0">
        <w:rPr>
          <w:rFonts w:ascii="Arial" w:hAnsi="Arial" w:cs="Arial"/>
          <w:sz w:val="18"/>
          <w:lang w:val="el-GR"/>
        </w:rPr>
        <w:t xml:space="preserve"> παρουσίασαν μικρή αύξηση ύψους 3%, σε σύγκριση με την περσινή αντίστοιχη περίοδο.</w:t>
      </w:r>
      <w:r w:rsidR="009C0AB8">
        <w:rPr>
          <w:rFonts w:ascii="Arial" w:hAnsi="Arial" w:cs="Arial"/>
          <w:sz w:val="18"/>
          <w:lang w:val="el-GR"/>
        </w:rPr>
        <w:t xml:space="preserve"> </w:t>
      </w:r>
    </w:p>
    <w:p w14:paraId="6997597A" w14:textId="77777777" w:rsidR="00B921C5" w:rsidRPr="006B5511" w:rsidRDefault="00B921C5" w:rsidP="001E5D64">
      <w:pPr>
        <w:spacing w:after="0" w:line="240" w:lineRule="auto"/>
        <w:jc w:val="both"/>
        <w:rPr>
          <w:rFonts w:ascii="Arial" w:hAnsi="Arial" w:cs="Arial"/>
          <w:bCs/>
          <w:color w:val="000000" w:themeColor="text1"/>
          <w:sz w:val="18"/>
          <w:szCs w:val="18"/>
          <w:highlight w:val="yellow"/>
          <w:lang w:val="el-GR"/>
        </w:rPr>
      </w:pPr>
    </w:p>
    <w:p w14:paraId="079FCFB5" w14:textId="6D0B541D" w:rsidR="00B367BB" w:rsidRPr="007A281A" w:rsidRDefault="00B367BB" w:rsidP="00B367BB">
      <w:pPr>
        <w:spacing w:line="240" w:lineRule="auto"/>
        <w:contextualSpacing/>
        <w:jc w:val="both"/>
        <w:rPr>
          <w:rFonts w:ascii="Arial" w:hAnsi="Arial" w:cs="Arial"/>
          <w:sz w:val="18"/>
          <w:lang w:val="el-GR"/>
        </w:rPr>
      </w:pPr>
      <w:r w:rsidRPr="007A281A">
        <w:rPr>
          <w:rFonts w:ascii="Arial" w:hAnsi="Arial" w:cs="Arial"/>
          <w:sz w:val="18"/>
          <w:lang w:val="el-GR"/>
        </w:rPr>
        <w:t xml:space="preserve">Στα δημόσια οικονομικά, σημειώθηκαν σημαντικές βελτιώσεις </w:t>
      </w:r>
      <w:r>
        <w:rPr>
          <w:rFonts w:ascii="Arial" w:hAnsi="Arial" w:cs="Arial"/>
          <w:sz w:val="18"/>
          <w:lang w:val="el-GR"/>
        </w:rPr>
        <w:t xml:space="preserve">σε σχέση με </w:t>
      </w:r>
      <w:r w:rsidRPr="007A281A">
        <w:rPr>
          <w:rFonts w:ascii="Arial" w:hAnsi="Arial" w:cs="Arial"/>
          <w:sz w:val="18"/>
          <w:lang w:val="el-GR"/>
        </w:rPr>
        <w:t>τ</w:t>
      </w:r>
      <w:r>
        <w:rPr>
          <w:rFonts w:ascii="Arial" w:hAnsi="Arial" w:cs="Arial"/>
          <w:sz w:val="18"/>
          <w:lang w:val="el-GR"/>
        </w:rPr>
        <w:t xml:space="preserve">ην ενδογενή </w:t>
      </w:r>
      <w:r w:rsidRPr="007A281A">
        <w:rPr>
          <w:rFonts w:ascii="Arial" w:hAnsi="Arial" w:cs="Arial"/>
          <w:sz w:val="18"/>
          <w:lang w:val="el-GR"/>
        </w:rPr>
        <w:t xml:space="preserve">δυναμική του προϋπολογισμού και του </w:t>
      </w:r>
      <w:r>
        <w:rPr>
          <w:rFonts w:ascii="Arial" w:hAnsi="Arial" w:cs="Arial"/>
          <w:sz w:val="18"/>
          <w:lang w:val="el-GR"/>
        </w:rPr>
        <w:t xml:space="preserve">δημοσίου </w:t>
      </w:r>
      <w:r w:rsidRPr="007A281A">
        <w:rPr>
          <w:rFonts w:ascii="Arial" w:hAnsi="Arial" w:cs="Arial"/>
          <w:sz w:val="18"/>
          <w:lang w:val="el-GR"/>
        </w:rPr>
        <w:t xml:space="preserve">χρέους, συμπεριλαμβανομένων των δεικτών οικονομικής βιωσιμότητας του χρέους. Η ανάκαμψη </w:t>
      </w:r>
      <w:r>
        <w:rPr>
          <w:rFonts w:ascii="Arial" w:hAnsi="Arial" w:cs="Arial"/>
          <w:sz w:val="18"/>
          <w:lang w:val="el-GR"/>
        </w:rPr>
        <w:t xml:space="preserve">των δημοσίων οικονομικών </w:t>
      </w:r>
      <w:r w:rsidRPr="007A281A">
        <w:rPr>
          <w:rFonts w:ascii="Arial" w:hAnsi="Arial" w:cs="Arial"/>
          <w:sz w:val="18"/>
          <w:lang w:val="el-GR"/>
        </w:rPr>
        <w:t>το 2021 στηρίχθηκε στη σημαντική αύξηση των εσόδων της γενικής κυβέρνησης και στη μείωση των κρατικών δαπανών. Το αποτέλεσμα ήταν η μείωση του δημοσιονομικού ελλείμματος στο -1</w:t>
      </w:r>
      <w:r>
        <w:rPr>
          <w:rFonts w:ascii="Arial" w:hAnsi="Arial" w:cs="Arial"/>
          <w:sz w:val="18"/>
          <w:lang w:val="el-GR"/>
        </w:rPr>
        <w:t>.</w:t>
      </w:r>
      <w:r w:rsidRPr="007A281A">
        <w:rPr>
          <w:rFonts w:ascii="Arial" w:hAnsi="Arial" w:cs="Arial"/>
          <w:sz w:val="18"/>
          <w:lang w:val="el-GR"/>
        </w:rPr>
        <w:t>8% του ΑΕΠ, σε σχέση με έλλειμμα -5</w:t>
      </w:r>
      <w:r>
        <w:rPr>
          <w:rFonts w:ascii="Arial" w:hAnsi="Arial" w:cs="Arial"/>
          <w:sz w:val="18"/>
          <w:lang w:val="el-GR"/>
        </w:rPr>
        <w:t>.</w:t>
      </w:r>
      <w:r w:rsidRPr="007A281A">
        <w:rPr>
          <w:rFonts w:ascii="Arial" w:hAnsi="Arial" w:cs="Arial"/>
          <w:sz w:val="18"/>
          <w:lang w:val="el-GR"/>
        </w:rPr>
        <w:t xml:space="preserve">7% του ΑΕΠ το 2020. Το 2022 το πλεόνασμα του προϋπολογισμού </w:t>
      </w:r>
      <w:r>
        <w:rPr>
          <w:rFonts w:ascii="Arial" w:hAnsi="Arial" w:cs="Arial"/>
          <w:sz w:val="18"/>
          <w:lang w:val="el-GR"/>
        </w:rPr>
        <w:t xml:space="preserve">ανήλθε </w:t>
      </w:r>
      <w:r w:rsidRPr="007A281A">
        <w:rPr>
          <w:rFonts w:ascii="Arial" w:hAnsi="Arial" w:cs="Arial"/>
          <w:sz w:val="18"/>
          <w:lang w:val="el-GR"/>
        </w:rPr>
        <w:t>στο 2</w:t>
      </w:r>
      <w:r>
        <w:rPr>
          <w:rFonts w:ascii="Arial" w:hAnsi="Arial" w:cs="Arial"/>
          <w:sz w:val="18"/>
          <w:lang w:val="el-GR"/>
        </w:rPr>
        <w:t>.</w:t>
      </w:r>
      <w:r w:rsidRPr="007A281A">
        <w:rPr>
          <w:rFonts w:ascii="Arial" w:hAnsi="Arial" w:cs="Arial"/>
          <w:sz w:val="18"/>
          <w:lang w:val="el-GR"/>
        </w:rPr>
        <w:t>7% του ΑΕΠ και στο 3</w:t>
      </w:r>
      <w:r>
        <w:rPr>
          <w:rFonts w:ascii="Arial" w:hAnsi="Arial" w:cs="Arial"/>
          <w:sz w:val="18"/>
          <w:lang w:val="el-GR"/>
        </w:rPr>
        <w:t>.</w:t>
      </w:r>
      <w:r w:rsidRPr="007A281A">
        <w:rPr>
          <w:rFonts w:ascii="Arial" w:hAnsi="Arial" w:cs="Arial"/>
          <w:sz w:val="18"/>
          <w:lang w:val="el-GR"/>
        </w:rPr>
        <w:t xml:space="preserve">1% του ΑΕΠ το 2023. Το </w:t>
      </w:r>
      <w:r>
        <w:rPr>
          <w:rFonts w:ascii="Arial" w:hAnsi="Arial" w:cs="Arial"/>
          <w:sz w:val="18"/>
          <w:lang w:val="el-GR"/>
        </w:rPr>
        <w:t xml:space="preserve">δημόσιο </w:t>
      </w:r>
      <w:r w:rsidRPr="007A281A">
        <w:rPr>
          <w:rFonts w:ascii="Arial" w:hAnsi="Arial" w:cs="Arial"/>
          <w:sz w:val="18"/>
          <w:lang w:val="el-GR"/>
        </w:rPr>
        <w:t>χρέος ήταν 114</w:t>
      </w:r>
      <w:r>
        <w:rPr>
          <w:rFonts w:ascii="Arial" w:hAnsi="Arial" w:cs="Arial"/>
          <w:sz w:val="18"/>
          <w:lang w:val="el-GR"/>
        </w:rPr>
        <w:t>.</w:t>
      </w:r>
      <w:r w:rsidRPr="007A281A">
        <w:rPr>
          <w:rFonts w:ascii="Arial" w:hAnsi="Arial" w:cs="Arial"/>
          <w:sz w:val="18"/>
          <w:lang w:val="el-GR"/>
        </w:rPr>
        <w:t>9% του ΑΕΠ το 2020</w:t>
      </w:r>
      <w:r w:rsidR="00BF5DA5">
        <w:rPr>
          <w:rFonts w:ascii="Arial" w:hAnsi="Arial" w:cs="Arial"/>
          <w:sz w:val="18"/>
          <w:lang w:val="el-GR"/>
        </w:rPr>
        <w:t>,</w:t>
      </w:r>
      <w:r w:rsidRPr="007A281A">
        <w:rPr>
          <w:rFonts w:ascii="Arial" w:hAnsi="Arial" w:cs="Arial"/>
          <w:sz w:val="18"/>
          <w:lang w:val="el-GR"/>
        </w:rPr>
        <w:t xml:space="preserve"> </w:t>
      </w:r>
      <w:r w:rsidR="00BF5DA5">
        <w:rPr>
          <w:rFonts w:ascii="Arial" w:hAnsi="Arial" w:cs="Arial"/>
          <w:sz w:val="18"/>
          <w:lang w:val="el-GR"/>
        </w:rPr>
        <w:t>και μειώθηκε στο</w:t>
      </w:r>
      <w:r>
        <w:rPr>
          <w:rFonts w:ascii="Arial" w:hAnsi="Arial" w:cs="Arial"/>
          <w:sz w:val="18"/>
          <w:lang w:val="el-GR"/>
        </w:rPr>
        <w:t xml:space="preserve"> </w:t>
      </w:r>
      <w:r w:rsidRPr="007A281A">
        <w:rPr>
          <w:rFonts w:ascii="Arial" w:hAnsi="Arial" w:cs="Arial"/>
          <w:sz w:val="18"/>
          <w:lang w:val="el-GR"/>
        </w:rPr>
        <w:t>85</w:t>
      </w:r>
      <w:r>
        <w:rPr>
          <w:rFonts w:ascii="Arial" w:hAnsi="Arial" w:cs="Arial"/>
          <w:sz w:val="18"/>
          <w:lang w:val="el-GR"/>
        </w:rPr>
        <w:t>.</w:t>
      </w:r>
      <w:r w:rsidRPr="007A281A">
        <w:rPr>
          <w:rFonts w:ascii="Arial" w:hAnsi="Arial" w:cs="Arial"/>
          <w:sz w:val="18"/>
          <w:lang w:val="el-GR"/>
        </w:rPr>
        <w:t xml:space="preserve">6% και </w:t>
      </w:r>
      <w:r w:rsidR="00BF5DA5">
        <w:rPr>
          <w:rFonts w:ascii="Arial" w:hAnsi="Arial" w:cs="Arial"/>
          <w:sz w:val="18"/>
          <w:lang w:val="el-GR"/>
        </w:rPr>
        <w:t>στο</w:t>
      </w:r>
      <w:r w:rsidRPr="007A281A">
        <w:rPr>
          <w:rFonts w:ascii="Arial" w:hAnsi="Arial" w:cs="Arial"/>
          <w:sz w:val="18"/>
          <w:lang w:val="el-GR"/>
        </w:rPr>
        <w:t xml:space="preserve"> 77</w:t>
      </w:r>
      <w:r>
        <w:rPr>
          <w:rFonts w:ascii="Arial" w:hAnsi="Arial" w:cs="Arial"/>
          <w:sz w:val="18"/>
          <w:lang w:val="el-GR"/>
        </w:rPr>
        <w:t>.</w:t>
      </w:r>
      <w:r w:rsidRPr="007A281A">
        <w:rPr>
          <w:rFonts w:ascii="Arial" w:hAnsi="Arial" w:cs="Arial"/>
          <w:sz w:val="18"/>
          <w:lang w:val="el-GR"/>
        </w:rPr>
        <w:t>3% του ΑΕΠ το 2022 και το 2023 αντίστοιχα.</w:t>
      </w:r>
      <w:r w:rsidR="00E63D43" w:rsidRPr="006A1797">
        <w:rPr>
          <w:rFonts w:ascii="Arial" w:hAnsi="Arial" w:cs="Arial"/>
          <w:sz w:val="18"/>
          <w:lang w:val="el-GR"/>
        </w:rPr>
        <w:t xml:space="preserve"> </w:t>
      </w:r>
      <w:r w:rsidRPr="007A281A">
        <w:rPr>
          <w:rFonts w:ascii="Arial" w:hAnsi="Arial" w:cs="Arial"/>
          <w:sz w:val="18"/>
          <w:lang w:val="el-GR"/>
        </w:rPr>
        <w:t>Το δημοσιονομικό ισοζύγιο προβλέπεται να παραμείνει πλεονασματικό στο 2</w:t>
      </w:r>
      <w:r>
        <w:rPr>
          <w:rFonts w:ascii="Arial" w:hAnsi="Arial" w:cs="Arial"/>
          <w:sz w:val="18"/>
          <w:lang w:val="el-GR"/>
        </w:rPr>
        <w:t>.</w:t>
      </w:r>
      <w:r w:rsidRPr="007A281A">
        <w:rPr>
          <w:rFonts w:ascii="Arial" w:hAnsi="Arial" w:cs="Arial"/>
          <w:sz w:val="18"/>
          <w:lang w:val="el-GR"/>
        </w:rPr>
        <w:t xml:space="preserve">9% του ΑΕΠ το 2024 </w:t>
      </w:r>
      <w:r w:rsidR="00E63D43" w:rsidRPr="00232938">
        <w:rPr>
          <w:rFonts w:ascii="Arial" w:hAnsi="Arial" w:cs="Arial"/>
          <w:sz w:val="18"/>
          <w:lang w:val="el-GR"/>
        </w:rPr>
        <w:t xml:space="preserve">σύμφωνα με το </w:t>
      </w:r>
      <w:r w:rsidR="009F687D">
        <w:rPr>
          <w:rFonts w:ascii="Arial" w:hAnsi="Arial" w:cs="Arial"/>
          <w:sz w:val="18"/>
          <w:lang w:val="el-GR"/>
        </w:rPr>
        <w:t>Στρατηγικό Πλαίσιο Δημοσιονομικής Πολιτικής 2025-2028</w:t>
      </w:r>
      <w:r w:rsidR="00E63D43" w:rsidRPr="00232938">
        <w:rPr>
          <w:rFonts w:ascii="Arial" w:hAnsi="Arial" w:cs="Arial"/>
          <w:sz w:val="18"/>
          <w:lang w:val="el-GR"/>
        </w:rPr>
        <w:t xml:space="preserve"> του</w:t>
      </w:r>
      <w:r w:rsidR="00E63D43" w:rsidRPr="007A281A">
        <w:rPr>
          <w:rFonts w:ascii="Arial" w:hAnsi="Arial" w:cs="Arial"/>
          <w:sz w:val="18"/>
          <w:lang w:val="el-GR"/>
        </w:rPr>
        <w:t xml:space="preserve"> Υπουργείου Οικονομικών</w:t>
      </w:r>
      <w:r w:rsidR="00E63D43" w:rsidRPr="006A1797">
        <w:rPr>
          <w:rFonts w:ascii="Arial" w:hAnsi="Arial" w:cs="Arial"/>
          <w:sz w:val="18"/>
          <w:lang w:val="el-GR"/>
        </w:rPr>
        <w:t xml:space="preserve">, </w:t>
      </w:r>
      <w:r w:rsidR="00E63D43">
        <w:rPr>
          <w:rFonts w:ascii="Arial" w:hAnsi="Arial" w:cs="Arial"/>
          <w:sz w:val="18"/>
          <w:lang w:val="el-GR"/>
        </w:rPr>
        <w:t xml:space="preserve">ενώ το </w:t>
      </w:r>
      <w:r>
        <w:rPr>
          <w:rFonts w:ascii="Arial" w:hAnsi="Arial" w:cs="Arial"/>
          <w:sz w:val="18"/>
          <w:lang w:val="el-GR"/>
        </w:rPr>
        <w:t xml:space="preserve">δημόσιο </w:t>
      </w:r>
      <w:r w:rsidRPr="007A281A">
        <w:rPr>
          <w:rFonts w:ascii="Arial" w:hAnsi="Arial" w:cs="Arial"/>
          <w:sz w:val="18"/>
          <w:lang w:val="el-GR"/>
        </w:rPr>
        <w:t xml:space="preserve">χρέος </w:t>
      </w:r>
      <w:r w:rsidR="00E63D43">
        <w:rPr>
          <w:rFonts w:ascii="Arial" w:hAnsi="Arial" w:cs="Arial"/>
          <w:sz w:val="18"/>
          <w:lang w:val="el-GR"/>
        </w:rPr>
        <w:t>αναμένεται να</w:t>
      </w:r>
      <w:r w:rsidR="00BF5DA5">
        <w:rPr>
          <w:rFonts w:ascii="Arial" w:hAnsi="Arial" w:cs="Arial"/>
          <w:sz w:val="18"/>
          <w:lang w:val="el-GR"/>
        </w:rPr>
        <w:t xml:space="preserve"> </w:t>
      </w:r>
      <w:r w:rsidR="006A1B63" w:rsidRPr="007A281A">
        <w:rPr>
          <w:rFonts w:ascii="Arial" w:hAnsi="Arial" w:cs="Arial"/>
          <w:sz w:val="18"/>
          <w:lang w:val="el-GR"/>
        </w:rPr>
        <w:t xml:space="preserve">πέσει κάτω </w:t>
      </w:r>
      <w:r w:rsidR="00E63D43">
        <w:rPr>
          <w:rFonts w:ascii="Arial" w:hAnsi="Arial" w:cs="Arial"/>
          <w:sz w:val="18"/>
          <w:lang w:val="el-GR"/>
        </w:rPr>
        <w:t xml:space="preserve">από </w:t>
      </w:r>
      <w:r w:rsidR="00BF5DA5">
        <w:rPr>
          <w:rFonts w:ascii="Arial" w:hAnsi="Arial" w:cs="Arial"/>
          <w:sz w:val="18"/>
          <w:lang w:val="el-GR"/>
        </w:rPr>
        <w:t xml:space="preserve">το </w:t>
      </w:r>
      <w:r w:rsidR="00E63D43">
        <w:rPr>
          <w:rFonts w:ascii="Arial" w:hAnsi="Arial" w:cs="Arial"/>
          <w:sz w:val="18"/>
          <w:lang w:val="el-GR"/>
        </w:rPr>
        <w:t xml:space="preserve">60% </w:t>
      </w:r>
      <w:r w:rsidRPr="007A281A">
        <w:rPr>
          <w:rFonts w:ascii="Arial" w:hAnsi="Arial" w:cs="Arial"/>
          <w:sz w:val="18"/>
          <w:lang w:val="el-GR"/>
        </w:rPr>
        <w:t>του ΑΕΠ</w:t>
      </w:r>
      <w:r w:rsidR="00E63D43">
        <w:rPr>
          <w:rFonts w:ascii="Arial" w:hAnsi="Arial" w:cs="Arial"/>
          <w:sz w:val="18"/>
          <w:lang w:val="el-GR"/>
        </w:rPr>
        <w:t xml:space="preserve"> το 2026</w:t>
      </w:r>
      <w:r w:rsidRPr="007A281A">
        <w:rPr>
          <w:rFonts w:ascii="Arial" w:hAnsi="Arial" w:cs="Arial"/>
          <w:sz w:val="18"/>
          <w:lang w:val="el-GR"/>
        </w:rPr>
        <w:t>.</w:t>
      </w:r>
      <w:r w:rsidR="006A1B63" w:rsidRPr="006A1797">
        <w:rPr>
          <w:rFonts w:ascii="Arial" w:hAnsi="Arial" w:cs="Arial"/>
          <w:sz w:val="18"/>
          <w:lang w:val="el-GR"/>
        </w:rPr>
        <w:t xml:space="preserve"> </w:t>
      </w:r>
      <w:r w:rsidRPr="007A281A">
        <w:rPr>
          <w:rFonts w:ascii="Arial" w:hAnsi="Arial" w:cs="Arial"/>
          <w:sz w:val="18"/>
          <w:lang w:val="el-GR"/>
        </w:rPr>
        <w:t>Οι μετρήσεις για την βιωσιμότητα του χρέους είναι ευνοϊκές και αναμένεται να παραμείνουν σταθερές μεσοπρόθεσμα, καθώς οι ακαθάριστες χρηματοδοτικές ανάγκες είναι περιορισμένες και το ταμειακό απόθεμα ασφαλείας παρέχει στην κυβέρνηση υψηλό βαθμό ευελιξίας χρηματοδότησης.</w:t>
      </w:r>
    </w:p>
    <w:p w14:paraId="42AF130D" w14:textId="77777777" w:rsidR="00B367BB" w:rsidRDefault="00B367BB" w:rsidP="00B367BB">
      <w:pPr>
        <w:spacing w:line="240" w:lineRule="auto"/>
        <w:contextualSpacing/>
        <w:jc w:val="both"/>
        <w:rPr>
          <w:rFonts w:ascii="Arial" w:hAnsi="Arial" w:cs="Arial"/>
          <w:sz w:val="18"/>
          <w:lang w:val="el-GR"/>
        </w:rPr>
      </w:pPr>
    </w:p>
    <w:p w14:paraId="7FFC1E96" w14:textId="40987403" w:rsidR="00B367BB" w:rsidRDefault="00B367BB" w:rsidP="00B367BB">
      <w:pPr>
        <w:spacing w:line="240" w:lineRule="auto"/>
        <w:contextualSpacing/>
        <w:jc w:val="both"/>
        <w:rPr>
          <w:rFonts w:ascii="Arial" w:hAnsi="Arial" w:cs="Arial"/>
          <w:sz w:val="18"/>
          <w:lang w:val="el-GR"/>
        </w:rPr>
      </w:pPr>
      <w:r w:rsidRPr="00DF2A34">
        <w:rPr>
          <w:rFonts w:ascii="Arial" w:hAnsi="Arial" w:cs="Arial"/>
          <w:sz w:val="18"/>
          <w:lang w:val="el-GR"/>
        </w:rPr>
        <w:t>Οι τράπεζες</w:t>
      </w:r>
      <w:r w:rsidR="009A45A5" w:rsidRPr="006A1797">
        <w:rPr>
          <w:rFonts w:ascii="Arial" w:hAnsi="Arial" w:cs="Arial"/>
          <w:sz w:val="18"/>
          <w:lang w:val="el-GR"/>
        </w:rPr>
        <w:t xml:space="preserve"> </w:t>
      </w:r>
      <w:r w:rsidR="009A45A5">
        <w:rPr>
          <w:rFonts w:ascii="Arial" w:hAnsi="Arial" w:cs="Arial"/>
          <w:sz w:val="18"/>
          <w:lang w:val="el-GR"/>
        </w:rPr>
        <w:t>της Κύπρου</w:t>
      </w:r>
      <w:r w:rsidRPr="00DF2A34">
        <w:rPr>
          <w:rFonts w:ascii="Arial" w:hAnsi="Arial" w:cs="Arial"/>
          <w:sz w:val="18"/>
          <w:lang w:val="el-GR"/>
        </w:rPr>
        <w:t xml:space="preserve"> είναι </w:t>
      </w:r>
      <w:r w:rsidR="006479D9">
        <w:rPr>
          <w:rFonts w:ascii="Arial" w:hAnsi="Arial" w:cs="Arial"/>
          <w:sz w:val="18"/>
          <w:lang w:val="el-GR"/>
        </w:rPr>
        <w:t xml:space="preserve">καλά </w:t>
      </w:r>
      <w:r w:rsidRPr="00DF2A34">
        <w:rPr>
          <w:rFonts w:ascii="Arial" w:hAnsi="Arial" w:cs="Arial"/>
          <w:sz w:val="18"/>
          <w:lang w:val="el-GR"/>
        </w:rPr>
        <w:t xml:space="preserve">κεφαλαιοποιημένες και παραμένουν ανθεκτικές σε τεστ αντοχής. Παρά τα </w:t>
      </w:r>
      <w:r w:rsidR="009A45A5">
        <w:rPr>
          <w:rFonts w:ascii="Arial" w:hAnsi="Arial" w:cs="Arial"/>
          <w:sz w:val="18"/>
          <w:lang w:val="el-GR"/>
        </w:rPr>
        <w:t>υψηλά</w:t>
      </w:r>
      <w:r w:rsidRPr="00DF2A34">
        <w:rPr>
          <w:rFonts w:ascii="Arial" w:hAnsi="Arial" w:cs="Arial"/>
          <w:sz w:val="18"/>
          <w:lang w:val="el-GR"/>
        </w:rPr>
        <w:t xml:space="preserve"> επιτόκια, η ποιότητα του ενεργητικού δεν έχει επιδεινωθεί. Τα </w:t>
      </w:r>
      <w:r>
        <w:rPr>
          <w:rFonts w:ascii="Arial" w:hAnsi="Arial" w:cs="Arial"/>
          <w:sz w:val="18"/>
          <w:lang w:val="el-GR"/>
        </w:rPr>
        <w:t>μ</w:t>
      </w:r>
      <w:r w:rsidRPr="00DF2A34">
        <w:rPr>
          <w:rFonts w:ascii="Arial" w:hAnsi="Arial" w:cs="Arial"/>
          <w:sz w:val="18"/>
          <w:lang w:val="el-GR"/>
        </w:rPr>
        <w:t xml:space="preserve">η </w:t>
      </w:r>
      <w:r>
        <w:rPr>
          <w:rFonts w:ascii="Arial" w:hAnsi="Arial" w:cs="Arial"/>
          <w:sz w:val="18"/>
          <w:lang w:val="el-GR"/>
        </w:rPr>
        <w:t>ε</w:t>
      </w:r>
      <w:r w:rsidRPr="00DF2A34">
        <w:rPr>
          <w:rFonts w:ascii="Arial" w:hAnsi="Arial" w:cs="Arial"/>
          <w:sz w:val="18"/>
          <w:lang w:val="el-GR"/>
        </w:rPr>
        <w:t xml:space="preserve">ξυπηρετούμενα </w:t>
      </w:r>
      <w:r>
        <w:rPr>
          <w:rFonts w:ascii="Arial" w:hAnsi="Arial" w:cs="Arial"/>
          <w:sz w:val="18"/>
          <w:lang w:val="el-GR"/>
        </w:rPr>
        <w:t>α</w:t>
      </w:r>
      <w:r w:rsidRPr="00DF2A34">
        <w:rPr>
          <w:rFonts w:ascii="Arial" w:hAnsi="Arial" w:cs="Arial"/>
          <w:sz w:val="18"/>
          <w:lang w:val="el-GR"/>
        </w:rPr>
        <w:t>νοίγματα</w:t>
      </w:r>
      <w:r>
        <w:rPr>
          <w:rFonts w:ascii="Arial" w:hAnsi="Arial" w:cs="Arial"/>
          <w:sz w:val="18"/>
          <w:lang w:val="el-GR"/>
        </w:rPr>
        <w:t xml:space="preserve"> (ΜΕΑ),</w:t>
      </w:r>
      <w:r w:rsidRPr="00DF2A34">
        <w:rPr>
          <w:rFonts w:ascii="Arial" w:hAnsi="Arial" w:cs="Arial"/>
          <w:sz w:val="18"/>
          <w:lang w:val="el-GR"/>
        </w:rPr>
        <w:t xml:space="preserve"> βρίσκονται πλέον, σε μεγάλο βαθμό, εκτός των τραπεζικών ισολογισμών, αλλά η επίλυσή τους είναι κρίσιμη για τους ισολογισμούς του ιδιωτικού τομέα. Στις 31 </w:t>
      </w:r>
      <w:r w:rsidR="00BF5DA5">
        <w:rPr>
          <w:rFonts w:ascii="Arial" w:hAnsi="Arial" w:cs="Arial"/>
          <w:sz w:val="18"/>
          <w:lang w:val="el-GR"/>
        </w:rPr>
        <w:t>Μαΐου</w:t>
      </w:r>
      <w:r w:rsidRPr="00DF2A34">
        <w:rPr>
          <w:rFonts w:ascii="Arial" w:hAnsi="Arial" w:cs="Arial"/>
          <w:sz w:val="18"/>
          <w:lang w:val="el-GR"/>
        </w:rPr>
        <w:t xml:space="preserve"> 2024, τα </w:t>
      </w:r>
      <w:r>
        <w:rPr>
          <w:rFonts w:ascii="Arial" w:hAnsi="Arial" w:cs="Arial"/>
          <w:sz w:val="18"/>
          <w:lang w:val="el-GR"/>
        </w:rPr>
        <w:t>ΜΕΑ</w:t>
      </w:r>
      <w:r w:rsidR="009A45A5">
        <w:rPr>
          <w:rFonts w:ascii="Arial" w:hAnsi="Arial" w:cs="Arial"/>
          <w:sz w:val="18"/>
          <w:lang w:val="el-GR"/>
        </w:rPr>
        <w:t xml:space="preserve"> στο τραπεζικό σύστημα της Κύπρου ανήλθαν σε </w:t>
      </w:r>
      <w:r w:rsidRPr="00DF2A34">
        <w:rPr>
          <w:rFonts w:ascii="Arial" w:hAnsi="Arial" w:cs="Arial"/>
          <w:sz w:val="18"/>
          <w:lang w:val="el-GR"/>
        </w:rPr>
        <w:t>€1</w:t>
      </w:r>
      <w:r>
        <w:rPr>
          <w:rFonts w:ascii="Arial" w:hAnsi="Arial" w:cs="Arial"/>
          <w:sz w:val="18"/>
          <w:lang w:val="el-GR"/>
        </w:rPr>
        <w:t>.</w:t>
      </w:r>
      <w:r w:rsidRPr="00DF2A34">
        <w:rPr>
          <w:rFonts w:ascii="Arial" w:hAnsi="Arial" w:cs="Arial"/>
          <w:sz w:val="18"/>
          <w:lang w:val="el-GR"/>
        </w:rPr>
        <w:t xml:space="preserve">8 </w:t>
      </w:r>
      <w:r w:rsidR="009A45A5">
        <w:rPr>
          <w:rFonts w:ascii="Arial" w:hAnsi="Arial" w:cs="Arial"/>
          <w:sz w:val="18"/>
          <w:lang w:val="el-GR"/>
        </w:rPr>
        <w:t>δις</w:t>
      </w:r>
      <w:r w:rsidRPr="00DF2A34">
        <w:rPr>
          <w:rFonts w:ascii="Arial" w:hAnsi="Arial" w:cs="Arial"/>
          <w:sz w:val="18"/>
          <w:lang w:val="el-GR"/>
        </w:rPr>
        <w:t xml:space="preserve"> ή 7</w:t>
      </w:r>
      <w:r>
        <w:rPr>
          <w:rFonts w:ascii="Arial" w:hAnsi="Arial" w:cs="Arial"/>
          <w:sz w:val="18"/>
          <w:lang w:val="el-GR"/>
        </w:rPr>
        <w:t>.</w:t>
      </w:r>
      <w:r w:rsidR="00BF5DA5">
        <w:rPr>
          <w:rFonts w:ascii="Arial" w:hAnsi="Arial" w:cs="Arial"/>
          <w:sz w:val="18"/>
          <w:lang w:val="el-GR"/>
        </w:rPr>
        <w:t>4</w:t>
      </w:r>
      <w:r w:rsidRPr="00DF2A34">
        <w:rPr>
          <w:rFonts w:ascii="Arial" w:hAnsi="Arial" w:cs="Arial"/>
          <w:sz w:val="18"/>
          <w:lang w:val="el-GR"/>
        </w:rPr>
        <w:t>% των ακαθάριστων δανείων, σε σύγκριση με 7</w:t>
      </w:r>
      <w:r>
        <w:rPr>
          <w:rFonts w:ascii="Arial" w:hAnsi="Arial" w:cs="Arial"/>
          <w:sz w:val="18"/>
          <w:lang w:val="el-GR"/>
        </w:rPr>
        <w:t>.</w:t>
      </w:r>
      <w:r w:rsidRPr="00DF2A34">
        <w:rPr>
          <w:rFonts w:ascii="Arial" w:hAnsi="Arial" w:cs="Arial"/>
          <w:sz w:val="18"/>
          <w:lang w:val="el-GR"/>
        </w:rPr>
        <w:t>9% των ακαθάριστων δανείων στο τέλος Δεκεμβρίου 2023 και 9</w:t>
      </w:r>
      <w:r>
        <w:rPr>
          <w:rFonts w:ascii="Arial" w:hAnsi="Arial" w:cs="Arial"/>
          <w:sz w:val="18"/>
          <w:lang w:val="el-GR"/>
        </w:rPr>
        <w:t>.</w:t>
      </w:r>
      <w:r w:rsidRPr="00DF2A34">
        <w:rPr>
          <w:rFonts w:ascii="Arial" w:hAnsi="Arial" w:cs="Arial"/>
          <w:sz w:val="18"/>
          <w:lang w:val="el-GR"/>
        </w:rPr>
        <w:t>5% στο τέλος Δεκεμβρίου 2022, σύμφωνα με την Κεντρική Τράπεζα της Κύπρου.</w:t>
      </w:r>
      <w:r>
        <w:rPr>
          <w:rFonts w:ascii="Arial" w:hAnsi="Arial" w:cs="Arial"/>
          <w:sz w:val="18"/>
          <w:lang w:val="el-GR"/>
        </w:rPr>
        <w:t xml:space="preserve"> </w:t>
      </w:r>
      <w:r w:rsidRPr="00DF2A34">
        <w:rPr>
          <w:rFonts w:ascii="Arial" w:hAnsi="Arial" w:cs="Arial"/>
          <w:sz w:val="18"/>
          <w:lang w:val="el-GR"/>
        </w:rPr>
        <w:t>Ο δείκτης</w:t>
      </w:r>
      <w:r>
        <w:rPr>
          <w:rFonts w:ascii="Arial" w:hAnsi="Arial" w:cs="Arial"/>
          <w:sz w:val="18"/>
          <w:lang w:val="el-GR"/>
        </w:rPr>
        <w:t xml:space="preserve"> ΜΕΑ</w:t>
      </w:r>
      <w:r w:rsidRPr="00DF2A34">
        <w:rPr>
          <w:rFonts w:ascii="Arial" w:hAnsi="Arial" w:cs="Arial"/>
          <w:sz w:val="18"/>
          <w:lang w:val="el-GR"/>
        </w:rPr>
        <w:t xml:space="preserve"> στον τομέα των μη χρηματοπιστωτικών επιχειρήσεων ήταν 6</w:t>
      </w:r>
      <w:r>
        <w:rPr>
          <w:rFonts w:ascii="Arial" w:hAnsi="Arial" w:cs="Arial"/>
          <w:sz w:val="18"/>
          <w:lang w:val="el-GR"/>
        </w:rPr>
        <w:t>.</w:t>
      </w:r>
      <w:r w:rsidR="00BF5DA5">
        <w:rPr>
          <w:rFonts w:ascii="Arial" w:hAnsi="Arial" w:cs="Arial"/>
          <w:sz w:val="18"/>
          <w:lang w:val="el-GR"/>
        </w:rPr>
        <w:t>3</w:t>
      </w:r>
      <w:r w:rsidRPr="00DF2A34">
        <w:rPr>
          <w:rFonts w:ascii="Arial" w:hAnsi="Arial" w:cs="Arial"/>
          <w:sz w:val="18"/>
          <w:lang w:val="el-GR"/>
        </w:rPr>
        <w:t xml:space="preserve">% στο τέλος </w:t>
      </w:r>
      <w:r w:rsidR="00BF5DA5">
        <w:rPr>
          <w:rFonts w:ascii="Arial" w:hAnsi="Arial" w:cs="Arial"/>
          <w:sz w:val="18"/>
          <w:lang w:val="el-GR"/>
        </w:rPr>
        <w:t>Μαΐου</w:t>
      </w:r>
      <w:r w:rsidRPr="00DF2A34">
        <w:rPr>
          <w:rFonts w:ascii="Arial" w:hAnsi="Arial" w:cs="Arial"/>
          <w:sz w:val="18"/>
          <w:lang w:val="el-GR"/>
        </w:rPr>
        <w:t xml:space="preserve"> 2024 και ο </w:t>
      </w:r>
      <w:r>
        <w:rPr>
          <w:rFonts w:ascii="Arial" w:hAnsi="Arial" w:cs="Arial"/>
          <w:sz w:val="18"/>
          <w:lang w:val="el-GR"/>
        </w:rPr>
        <w:t xml:space="preserve">αντίστοιχος </w:t>
      </w:r>
      <w:r w:rsidRPr="00DF2A34">
        <w:rPr>
          <w:rFonts w:ascii="Arial" w:hAnsi="Arial" w:cs="Arial"/>
          <w:sz w:val="18"/>
          <w:lang w:val="el-GR"/>
        </w:rPr>
        <w:t>δείκτης των νοικοκυριών ήταν 9</w:t>
      </w:r>
      <w:r>
        <w:rPr>
          <w:rFonts w:ascii="Arial" w:hAnsi="Arial" w:cs="Arial"/>
          <w:sz w:val="18"/>
          <w:lang w:val="el-GR"/>
        </w:rPr>
        <w:t>.</w:t>
      </w:r>
      <w:r w:rsidR="00BF5DA5">
        <w:rPr>
          <w:rFonts w:ascii="Arial" w:hAnsi="Arial" w:cs="Arial"/>
          <w:sz w:val="18"/>
          <w:lang w:val="el-GR"/>
        </w:rPr>
        <w:t>2</w:t>
      </w:r>
      <w:r w:rsidRPr="00DF2A34">
        <w:rPr>
          <w:rFonts w:ascii="Arial" w:hAnsi="Arial" w:cs="Arial"/>
          <w:sz w:val="18"/>
          <w:lang w:val="el-GR"/>
        </w:rPr>
        <w:t xml:space="preserve">%. Περίπου το </w:t>
      </w:r>
      <w:r w:rsidR="00BF5DA5">
        <w:rPr>
          <w:rFonts w:ascii="Arial" w:hAnsi="Arial" w:cs="Arial"/>
          <w:sz w:val="18"/>
          <w:lang w:val="el-GR"/>
        </w:rPr>
        <w:t>44</w:t>
      </w:r>
      <w:r w:rsidRPr="00DF2A34">
        <w:rPr>
          <w:rFonts w:ascii="Arial" w:hAnsi="Arial" w:cs="Arial"/>
          <w:sz w:val="18"/>
          <w:lang w:val="el-GR"/>
        </w:rPr>
        <w:t xml:space="preserve">% του συνόλου των ΜΕΑ είναι αναδιαρθρωμένες διευκολύνσεις και ο δείκτης κάλυψης ήταν </w:t>
      </w:r>
      <w:r w:rsidR="00BF5DA5">
        <w:rPr>
          <w:rFonts w:ascii="Arial" w:hAnsi="Arial" w:cs="Arial"/>
          <w:sz w:val="18"/>
          <w:lang w:val="el-GR"/>
        </w:rPr>
        <w:t>54</w:t>
      </w:r>
      <w:r w:rsidRPr="00DF2A34">
        <w:rPr>
          <w:rFonts w:ascii="Arial" w:hAnsi="Arial" w:cs="Arial"/>
          <w:sz w:val="18"/>
          <w:lang w:val="el-GR"/>
        </w:rPr>
        <w:t>%</w:t>
      </w:r>
      <w:r w:rsidR="00BF5DA5">
        <w:rPr>
          <w:rFonts w:ascii="Arial" w:hAnsi="Arial" w:cs="Arial"/>
          <w:sz w:val="18"/>
          <w:lang w:val="el-GR"/>
        </w:rPr>
        <w:t xml:space="preserve"> στις 31 Μαΐου</w:t>
      </w:r>
      <w:r w:rsidR="00BF5DA5" w:rsidRPr="00DF2A34">
        <w:rPr>
          <w:rFonts w:ascii="Arial" w:hAnsi="Arial" w:cs="Arial"/>
          <w:sz w:val="18"/>
          <w:lang w:val="el-GR"/>
        </w:rPr>
        <w:t xml:space="preserve"> </w:t>
      </w:r>
      <w:r w:rsidR="00BF5DA5">
        <w:rPr>
          <w:rFonts w:ascii="Arial" w:hAnsi="Arial" w:cs="Arial"/>
          <w:sz w:val="18"/>
          <w:lang w:val="el-GR"/>
        </w:rPr>
        <w:t>2024</w:t>
      </w:r>
      <w:r w:rsidRPr="00DF2A34">
        <w:rPr>
          <w:rFonts w:ascii="Arial" w:hAnsi="Arial" w:cs="Arial"/>
          <w:sz w:val="18"/>
          <w:lang w:val="el-GR"/>
        </w:rPr>
        <w:t>.</w:t>
      </w:r>
    </w:p>
    <w:p w14:paraId="062E58FB" w14:textId="77777777" w:rsidR="00B367BB" w:rsidRDefault="00B367BB" w:rsidP="00B367BB">
      <w:pPr>
        <w:spacing w:line="240" w:lineRule="auto"/>
        <w:contextualSpacing/>
        <w:jc w:val="both"/>
        <w:rPr>
          <w:rFonts w:ascii="Arial" w:hAnsi="Arial" w:cs="Arial"/>
          <w:sz w:val="18"/>
          <w:lang w:val="el-GR"/>
        </w:rPr>
      </w:pPr>
    </w:p>
    <w:p w14:paraId="3B184BA8" w14:textId="1E64994B" w:rsidR="00B367BB" w:rsidRDefault="00B367BB" w:rsidP="00B367BB">
      <w:pPr>
        <w:spacing w:line="240" w:lineRule="auto"/>
        <w:contextualSpacing/>
        <w:jc w:val="both"/>
        <w:rPr>
          <w:rFonts w:ascii="Arial" w:hAnsi="Arial" w:cs="Arial"/>
          <w:sz w:val="18"/>
          <w:lang w:val="el-GR"/>
        </w:rPr>
      </w:pPr>
      <w:r w:rsidRPr="00DF2A34">
        <w:rPr>
          <w:rFonts w:ascii="Arial" w:hAnsi="Arial" w:cs="Arial"/>
          <w:sz w:val="18"/>
          <w:lang w:val="el-GR"/>
        </w:rPr>
        <w:t>Το ισοζύγιο κινδύνων παραμένει αρνητικό. Βραχυπρόθεσμα, η επιβράδυνση της οικονομικής δραστηριότητας στις κύριες τουριστικές αγορές και η κλιμάκωση των περιφερειακών συγκρούσεων θα μπορούσαν να επιβραδύνουν τις προσπάθειες της Κύπρου να αναπροσανατολίσει τις εξαγωγές υπηρεσιών της.</w:t>
      </w:r>
    </w:p>
    <w:p w14:paraId="482075F0" w14:textId="77777777" w:rsidR="006B2C9A" w:rsidRPr="006B5511" w:rsidRDefault="006B2C9A" w:rsidP="001E5D64">
      <w:pPr>
        <w:spacing w:after="0" w:line="240" w:lineRule="auto"/>
        <w:jc w:val="both"/>
        <w:rPr>
          <w:rFonts w:ascii="Arial" w:hAnsi="Arial" w:cs="Arial"/>
          <w:bCs/>
          <w:color w:val="000000" w:themeColor="text1"/>
          <w:sz w:val="18"/>
          <w:szCs w:val="18"/>
          <w:highlight w:val="yellow"/>
          <w:lang w:val="el-GR"/>
        </w:rPr>
      </w:pPr>
    </w:p>
    <w:p w14:paraId="05DC2575" w14:textId="77777777" w:rsidR="00BF5DA5" w:rsidRDefault="00BF5DA5" w:rsidP="001E5D64">
      <w:pPr>
        <w:spacing w:after="0" w:line="360" w:lineRule="auto"/>
        <w:jc w:val="both"/>
        <w:rPr>
          <w:rFonts w:ascii="Arial" w:hAnsi="Arial" w:cs="Arial"/>
          <w:b/>
          <w:color w:val="FF9900"/>
          <w:lang w:val="el-GR"/>
        </w:rPr>
      </w:pPr>
    </w:p>
    <w:p w14:paraId="306A1037" w14:textId="77777777" w:rsidR="00BF5DA5" w:rsidRDefault="00BF5DA5" w:rsidP="001E5D64">
      <w:pPr>
        <w:spacing w:after="0" w:line="360" w:lineRule="auto"/>
        <w:jc w:val="both"/>
        <w:rPr>
          <w:rFonts w:ascii="Arial" w:hAnsi="Arial" w:cs="Arial"/>
          <w:b/>
          <w:color w:val="FF9900"/>
          <w:lang w:val="el-GR"/>
        </w:rPr>
      </w:pPr>
    </w:p>
    <w:p w14:paraId="53873E46" w14:textId="77777777" w:rsidR="00BF5DA5" w:rsidRDefault="00BF5DA5" w:rsidP="001E5D64">
      <w:pPr>
        <w:spacing w:after="0" w:line="360" w:lineRule="auto"/>
        <w:jc w:val="both"/>
        <w:rPr>
          <w:rFonts w:ascii="Arial" w:hAnsi="Arial" w:cs="Arial"/>
          <w:b/>
          <w:color w:val="FF9900"/>
          <w:lang w:val="el-GR"/>
        </w:rPr>
      </w:pPr>
    </w:p>
    <w:p w14:paraId="15FFDF16" w14:textId="77777777" w:rsidR="00BF5DA5" w:rsidRDefault="00BF5DA5" w:rsidP="001E5D64">
      <w:pPr>
        <w:spacing w:after="0" w:line="360" w:lineRule="auto"/>
        <w:jc w:val="both"/>
        <w:rPr>
          <w:rFonts w:ascii="Arial" w:hAnsi="Arial" w:cs="Arial"/>
          <w:b/>
          <w:color w:val="FF9900"/>
          <w:lang w:val="el-GR"/>
        </w:rPr>
      </w:pPr>
    </w:p>
    <w:p w14:paraId="0101B3AA" w14:textId="77777777" w:rsidR="00BF5DA5" w:rsidRDefault="00BF5DA5" w:rsidP="001E5D64">
      <w:pPr>
        <w:spacing w:after="0" w:line="360" w:lineRule="auto"/>
        <w:jc w:val="both"/>
        <w:rPr>
          <w:rFonts w:ascii="Arial" w:hAnsi="Arial" w:cs="Arial"/>
          <w:b/>
          <w:color w:val="FF9900"/>
          <w:lang w:val="el-GR"/>
        </w:rPr>
      </w:pPr>
    </w:p>
    <w:p w14:paraId="522CE45D" w14:textId="77777777" w:rsidR="00BF5DA5" w:rsidRDefault="00BF5DA5" w:rsidP="001E5D64">
      <w:pPr>
        <w:spacing w:after="0" w:line="360" w:lineRule="auto"/>
        <w:jc w:val="both"/>
        <w:rPr>
          <w:rFonts w:ascii="Arial" w:hAnsi="Arial" w:cs="Arial"/>
          <w:b/>
          <w:color w:val="FF9900"/>
          <w:lang w:val="el-GR"/>
        </w:rPr>
      </w:pPr>
    </w:p>
    <w:p w14:paraId="14E8D003" w14:textId="77777777" w:rsidR="00D022B5" w:rsidRDefault="00D022B5" w:rsidP="00BF5DA5">
      <w:pPr>
        <w:spacing w:after="0" w:line="360" w:lineRule="auto"/>
        <w:rPr>
          <w:rFonts w:ascii="Arial" w:hAnsi="Arial" w:cs="Arial"/>
          <w:b/>
          <w:color w:val="FF9900"/>
          <w:lang w:val="el-GR"/>
        </w:rPr>
      </w:pPr>
    </w:p>
    <w:p w14:paraId="21F27C0F" w14:textId="3BBE7705" w:rsidR="00BF5DA5" w:rsidRPr="007C2558" w:rsidRDefault="00BF5DA5" w:rsidP="00BF5DA5">
      <w:pPr>
        <w:spacing w:after="0" w:line="360" w:lineRule="auto"/>
        <w:rPr>
          <w:rFonts w:ascii="Arial" w:hAnsi="Arial" w:cs="Arial"/>
          <w:b/>
          <w:color w:val="FF9900"/>
          <w:sz w:val="24"/>
          <w:lang w:val="el-GR"/>
        </w:rPr>
      </w:pPr>
      <w:r w:rsidRPr="00C44393">
        <w:rPr>
          <w:rFonts w:ascii="Arial" w:hAnsi="Arial" w:cs="Arial"/>
          <w:b/>
          <w:color w:val="FF9900"/>
          <w:sz w:val="24"/>
          <w:lang w:val="el-GR"/>
        </w:rPr>
        <w:lastRenderedPageBreak/>
        <w:t>Γ</w:t>
      </w:r>
      <w:r w:rsidRPr="007C2558">
        <w:rPr>
          <w:rFonts w:ascii="Arial" w:hAnsi="Arial" w:cs="Arial"/>
          <w:b/>
          <w:color w:val="FF9900"/>
          <w:sz w:val="24"/>
          <w:lang w:val="el-GR"/>
        </w:rPr>
        <w:t xml:space="preserve">. Λειτουργικό Περιβάλλον </w:t>
      </w:r>
      <w:r w:rsidRPr="007C2558">
        <w:rPr>
          <w:rFonts w:ascii="Arial" w:hAnsi="Arial" w:cs="Arial"/>
          <w:bCs/>
          <w:color w:val="FF9900"/>
          <w:sz w:val="24"/>
          <w:lang w:val="el-GR"/>
        </w:rPr>
        <w:t>(συνέχεια)</w:t>
      </w:r>
    </w:p>
    <w:p w14:paraId="6E8E0E6F" w14:textId="1085EEEB" w:rsidR="00BF5DA5" w:rsidRPr="007C2558" w:rsidRDefault="00BF5DA5" w:rsidP="00BF5DA5">
      <w:pPr>
        <w:spacing w:after="0" w:line="360" w:lineRule="auto"/>
        <w:jc w:val="both"/>
        <w:rPr>
          <w:rFonts w:ascii="Arial" w:hAnsi="Arial" w:cs="Arial"/>
          <w:b/>
          <w:color w:val="FF9900"/>
          <w:lang w:val="el-GR"/>
        </w:rPr>
      </w:pPr>
      <w:r w:rsidRPr="007C2558">
        <w:rPr>
          <w:rFonts w:ascii="Arial" w:hAnsi="Arial" w:cs="Arial"/>
          <w:b/>
          <w:color w:val="FF9900"/>
          <w:lang w:val="el-GR"/>
        </w:rPr>
        <w:t>Πιστοληπτικές αξιολογήσεις</w:t>
      </w:r>
      <w:r>
        <w:rPr>
          <w:rFonts w:ascii="Arial" w:hAnsi="Arial" w:cs="Arial"/>
          <w:b/>
          <w:color w:val="FF9900"/>
          <w:lang w:val="el-GR"/>
        </w:rPr>
        <w:t xml:space="preserve"> </w:t>
      </w:r>
    </w:p>
    <w:p w14:paraId="0C384D43" w14:textId="22BC3D34" w:rsidR="0082651E" w:rsidRPr="006B5511" w:rsidRDefault="00C440EF" w:rsidP="00E71B33">
      <w:pPr>
        <w:spacing w:after="0" w:line="240" w:lineRule="auto"/>
        <w:jc w:val="both"/>
        <w:rPr>
          <w:rFonts w:ascii="Arial" w:eastAsia="Times New Roman" w:hAnsi="Arial" w:cs="Arial"/>
          <w:sz w:val="18"/>
          <w:szCs w:val="18"/>
          <w:highlight w:val="yellow"/>
          <w:lang w:val="el-GR" w:eastAsia="en-US"/>
        </w:rPr>
      </w:pPr>
      <w:r w:rsidRPr="006A1797">
        <w:rPr>
          <w:rFonts w:ascii="Arial" w:eastAsia="Times New Roman" w:hAnsi="Arial" w:cs="Arial"/>
          <w:sz w:val="18"/>
          <w:szCs w:val="18"/>
          <w:lang w:val="el-GR" w:eastAsia="en-US"/>
        </w:rPr>
        <w:t xml:space="preserve">Οι αξιολογήσεις πιστοληπτικής ικανότητας της κυπριακής κυβέρνησης έχουν βελτιωθεί σημαντικά τα τελευταία χρόνια, αντανακλώντας τους μειωμένους κινδύνους του τραπεζικού τομέα, τη </w:t>
      </w:r>
      <w:r w:rsidR="00D30851" w:rsidRPr="006A1797">
        <w:rPr>
          <w:rFonts w:ascii="Arial" w:eastAsia="Times New Roman" w:hAnsi="Arial" w:cs="Arial"/>
          <w:sz w:val="18"/>
          <w:szCs w:val="18"/>
          <w:lang w:val="el-GR" w:eastAsia="en-US"/>
        </w:rPr>
        <w:t xml:space="preserve">βελτιωμένη </w:t>
      </w:r>
      <w:r w:rsidRPr="006A1797">
        <w:rPr>
          <w:rFonts w:ascii="Arial" w:eastAsia="Times New Roman" w:hAnsi="Arial" w:cs="Arial"/>
          <w:sz w:val="18"/>
          <w:szCs w:val="18"/>
          <w:lang w:val="el-GR" w:eastAsia="en-US"/>
        </w:rPr>
        <w:t xml:space="preserve">οικονομική ανθεκτικότητα και τη συνεχή βελτίωση των δημοσίων οικονομικών. Η Κύπρος έχει επιδείξει πολιτική δέσμευση για τη διόρθωση των δημοσιονομικών </w:t>
      </w:r>
      <w:r w:rsidR="00DB240F" w:rsidRPr="006A1797">
        <w:rPr>
          <w:rFonts w:ascii="Arial" w:eastAsia="Times New Roman" w:hAnsi="Arial" w:cs="Arial"/>
          <w:sz w:val="18"/>
          <w:szCs w:val="18"/>
          <w:lang w:val="el-GR" w:eastAsia="en-US"/>
        </w:rPr>
        <w:t>ανισορροπιών</w:t>
      </w:r>
      <w:r w:rsidRPr="006A1797">
        <w:rPr>
          <w:rFonts w:ascii="Arial" w:eastAsia="Times New Roman" w:hAnsi="Arial" w:cs="Arial"/>
          <w:sz w:val="18"/>
          <w:szCs w:val="18"/>
          <w:lang w:val="el-GR" w:eastAsia="en-US"/>
        </w:rPr>
        <w:t xml:space="preserve"> μέσω μεταρρυθμίσεων, και για την αναδιάρθρωση του τραπεζικού της συστήματος.</w:t>
      </w:r>
      <w:r w:rsidR="00DB240F" w:rsidRPr="006A1797">
        <w:rPr>
          <w:rFonts w:ascii="Arial" w:eastAsia="Times New Roman" w:hAnsi="Arial" w:cs="Arial"/>
          <w:sz w:val="18"/>
          <w:szCs w:val="18"/>
          <w:lang w:val="el-GR" w:eastAsia="en-US"/>
        </w:rPr>
        <w:t xml:space="preserve"> </w:t>
      </w:r>
    </w:p>
    <w:p w14:paraId="7072EB9C" w14:textId="77777777" w:rsidR="0082651E" w:rsidRPr="006A1797" w:rsidRDefault="0082651E" w:rsidP="00E71B33">
      <w:pPr>
        <w:spacing w:after="0" w:line="240" w:lineRule="auto"/>
        <w:jc w:val="both"/>
        <w:rPr>
          <w:rFonts w:ascii="Arial" w:eastAsia="Times New Roman" w:hAnsi="Arial" w:cs="Arial"/>
          <w:sz w:val="18"/>
          <w:szCs w:val="18"/>
          <w:lang w:val="el-GR" w:eastAsia="en-US"/>
        </w:rPr>
      </w:pPr>
    </w:p>
    <w:p w14:paraId="70B59359" w14:textId="10409BAF" w:rsidR="00CF4E68" w:rsidRPr="00CF4E68" w:rsidRDefault="00CF4E68" w:rsidP="00CF4E68">
      <w:pPr>
        <w:spacing w:after="0" w:line="240" w:lineRule="auto"/>
        <w:jc w:val="both"/>
        <w:rPr>
          <w:rFonts w:ascii="Arial" w:eastAsia="Times New Roman" w:hAnsi="Arial" w:cs="Arial"/>
          <w:sz w:val="18"/>
          <w:szCs w:val="18"/>
          <w:highlight w:val="yellow"/>
          <w:lang w:val="el-GR" w:eastAsia="en-US"/>
        </w:rPr>
      </w:pPr>
      <w:r w:rsidRPr="006A1797">
        <w:rPr>
          <w:rFonts w:ascii="Arial" w:eastAsia="Times New Roman" w:hAnsi="Arial" w:cs="Arial"/>
          <w:sz w:val="18"/>
          <w:szCs w:val="18"/>
          <w:lang w:val="el-GR" w:eastAsia="en-US"/>
        </w:rPr>
        <w:t xml:space="preserve">Τον Ιούνιο του 2024, ο οίκος </w:t>
      </w:r>
      <w:r w:rsidRPr="006A1797">
        <w:rPr>
          <w:rFonts w:ascii="Arial" w:eastAsia="Times New Roman" w:hAnsi="Arial" w:cs="Arial"/>
          <w:b/>
          <w:bCs/>
          <w:sz w:val="18"/>
          <w:szCs w:val="18"/>
          <w:lang w:eastAsia="en-US"/>
        </w:rPr>
        <w:t>Fitch</w:t>
      </w:r>
      <w:r w:rsidRPr="006A1797">
        <w:rPr>
          <w:rFonts w:ascii="Arial" w:eastAsia="Times New Roman" w:hAnsi="Arial" w:cs="Arial"/>
          <w:b/>
          <w:bCs/>
          <w:sz w:val="18"/>
          <w:szCs w:val="18"/>
          <w:lang w:val="el-GR" w:eastAsia="en-US"/>
        </w:rPr>
        <w:t xml:space="preserve"> </w:t>
      </w:r>
      <w:r w:rsidRPr="006A1797">
        <w:rPr>
          <w:rFonts w:ascii="Arial" w:eastAsia="Times New Roman" w:hAnsi="Arial" w:cs="Arial"/>
          <w:b/>
          <w:bCs/>
          <w:sz w:val="18"/>
          <w:szCs w:val="18"/>
          <w:lang w:eastAsia="en-US"/>
        </w:rPr>
        <w:t>Ratings</w:t>
      </w:r>
      <w:r w:rsidRPr="006A1797">
        <w:rPr>
          <w:rFonts w:ascii="Arial" w:eastAsia="Times New Roman" w:hAnsi="Arial" w:cs="Arial"/>
          <w:sz w:val="18"/>
          <w:szCs w:val="18"/>
          <w:lang w:val="el-GR" w:eastAsia="en-US"/>
        </w:rPr>
        <w:t xml:space="preserve"> αναβάθμισε την μακροπρόθεσμη πιστοληπτική ικανότητα της Κύπρου σε ξένο νόμισμα σε ‘</w:t>
      </w:r>
      <w:r w:rsidRPr="006A1797">
        <w:rPr>
          <w:rFonts w:ascii="Arial" w:eastAsia="Times New Roman" w:hAnsi="Arial" w:cs="Arial"/>
          <w:sz w:val="18"/>
          <w:szCs w:val="18"/>
          <w:lang w:eastAsia="en-US"/>
        </w:rPr>
        <w:t>BBB</w:t>
      </w:r>
      <w:r w:rsidRPr="006A1797">
        <w:rPr>
          <w:rFonts w:ascii="Arial" w:eastAsia="Times New Roman" w:hAnsi="Arial" w:cs="Arial"/>
          <w:sz w:val="18"/>
          <w:szCs w:val="18"/>
          <w:lang w:val="el-GR" w:eastAsia="en-US"/>
        </w:rPr>
        <w:t>+’ από ‘</w:t>
      </w:r>
      <w:r w:rsidRPr="006A1797">
        <w:rPr>
          <w:rFonts w:ascii="Arial" w:eastAsia="Times New Roman" w:hAnsi="Arial" w:cs="Arial"/>
          <w:sz w:val="18"/>
          <w:szCs w:val="18"/>
          <w:lang w:eastAsia="en-US"/>
        </w:rPr>
        <w:t>BBB</w:t>
      </w:r>
      <w:r w:rsidRPr="006A1797">
        <w:rPr>
          <w:rFonts w:ascii="Arial" w:eastAsia="Times New Roman" w:hAnsi="Arial" w:cs="Arial"/>
          <w:sz w:val="18"/>
          <w:szCs w:val="18"/>
          <w:lang w:val="el-GR" w:eastAsia="en-US"/>
        </w:rPr>
        <w:t xml:space="preserve">’, διατηρώντας παράλληλα θετικές τις προοπτικές του για την Κύπρο. Η αναβάθμιση σχετίζεται κυρίως με τις μειωμένες </w:t>
      </w:r>
      <w:r w:rsidR="00286B90" w:rsidRPr="006A1797">
        <w:rPr>
          <w:rFonts w:ascii="Arial" w:eastAsia="Times New Roman" w:hAnsi="Arial" w:cs="Arial"/>
          <w:sz w:val="18"/>
          <w:szCs w:val="18"/>
          <w:lang w:val="el-GR" w:eastAsia="en-US"/>
        </w:rPr>
        <w:t xml:space="preserve">ευαισθησίες </w:t>
      </w:r>
      <w:r w:rsidRPr="006A1797">
        <w:rPr>
          <w:rFonts w:ascii="Arial" w:eastAsia="Times New Roman" w:hAnsi="Arial" w:cs="Arial"/>
          <w:sz w:val="18"/>
          <w:szCs w:val="18"/>
          <w:lang w:val="el-GR" w:eastAsia="en-US"/>
        </w:rPr>
        <w:t>σε χρηματοπιστωτικ</w:t>
      </w:r>
      <w:r w:rsidR="00286B90" w:rsidRPr="006A1797">
        <w:rPr>
          <w:rFonts w:ascii="Arial" w:eastAsia="Times New Roman" w:hAnsi="Arial" w:cs="Arial"/>
          <w:sz w:val="18"/>
          <w:szCs w:val="18"/>
          <w:lang w:val="el-GR" w:eastAsia="en-US"/>
        </w:rPr>
        <w:t>ούς</w:t>
      </w:r>
      <w:r w:rsidRPr="006A1797">
        <w:rPr>
          <w:rFonts w:ascii="Arial" w:eastAsia="Times New Roman" w:hAnsi="Arial" w:cs="Arial"/>
          <w:sz w:val="18"/>
          <w:szCs w:val="18"/>
          <w:lang w:val="el-GR" w:eastAsia="en-US"/>
        </w:rPr>
        <w:t xml:space="preserve"> </w:t>
      </w:r>
      <w:r w:rsidR="00286B90" w:rsidRPr="006A1797">
        <w:rPr>
          <w:rFonts w:ascii="Arial" w:eastAsia="Times New Roman" w:hAnsi="Arial" w:cs="Arial"/>
          <w:sz w:val="18"/>
          <w:szCs w:val="18"/>
          <w:lang w:val="el-GR" w:eastAsia="en-US"/>
        </w:rPr>
        <w:t>κραδασμούς</w:t>
      </w:r>
      <w:r w:rsidRPr="006A1797">
        <w:rPr>
          <w:rFonts w:ascii="Arial" w:eastAsia="Times New Roman" w:hAnsi="Arial" w:cs="Arial"/>
          <w:sz w:val="18"/>
          <w:szCs w:val="18"/>
          <w:lang w:val="el-GR" w:eastAsia="en-US"/>
        </w:rPr>
        <w:t>, τη συνεχή ενίσχυση του πιστωτικού προφίλ του τραπεζικού τομέα, την απομόχλευση του ιδιωτικού τομέα, τη μείωση του δημόσιου χρέους της Κύπρου καθώς και την ισχυρή αύξηση του ΑΕΠ.</w:t>
      </w:r>
    </w:p>
    <w:p w14:paraId="00E2A0B1" w14:textId="77777777" w:rsidR="00CF4E68" w:rsidRPr="006A1797" w:rsidRDefault="00CF4E68" w:rsidP="00CF4E68">
      <w:pPr>
        <w:spacing w:after="0" w:line="240" w:lineRule="auto"/>
        <w:jc w:val="both"/>
        <w:rPr>
          <w:rFonts w:ascii="Arial" w:eastAsia="Times New Roman" w:hAnsi="Arial" w:cs="Arial"/>
          <w:sz w:val="18"/>
          <w:szCs w:val="18"/>
          <w:lang w:val="el-GR" w:eastAsia="en-US"/>
        </w:rPr>
      </w:pPr>
    </w:p>
    <w:p w14:paraId="113B5463" w14:textId="77777777" w:rsidR="00CF4E68" w:rsidRPr="006A1797" w:rsidRDefault="00CF4E68" w:rsidP="00CF4E68">
      <w:pPr>
        <w:spacing w:after="0" w:line="240" w:lineRule="auto"/>
        <w:jc w:val="both"/>
        <w:rPr>
          <w:rFonts w:ascii="Arial" w:eastAsia="Times New Roman" w:hAnsi="Arial" w:cs="Arial"/>
          <w:sz w:val="18"/>
          <w:szCs w:val="18"/>
          <w:highlight w:val="yellow"/>
          <w:lang w:val="el-GR" w:eastAsia="en-US"/>
        </w:rPr>
      </w:pPr>
      <w:r w:rsidRPr="006A1797">
        <w:rPr>
          <w:rFonts w:ascii="Arial" w:eastAsia="Times New Roman" w:hAnsi="Arial" w:cs="Arial"/>
          <w:sz w:val="18"/>
          <w:szCs w:val="18"/>
          <w:lang w:val="el-GR" w:eastAsia="en-US"/>
        </w:rPr>
        <w:t xml:space="preserve">Επιπλέον, τον Ιούνιο του 2024, η </w:t>
      </w:r>
      <w:r w:rsidRPr="006A1797">
        <w:rPr>
          <w:rFonts w:ascii="Arial" w:eastAsia="Times New Roman" w:hAnsi="Arial" w:cs="Arial"/>
          <w:b/>
          <w:bCs/>
          <w:sz w:val="18"/>
          <w:szCs w:val="18"/>
          <w:lang w:val="el-GR" w:eastAsia="en-US"/>
        </w:rPr>
        <w:t>S&amp;P Global Ratings</w:t>
      </w:r>
      <w:r w:rsidRPr="006A1797">
        <w:rPr>
          <w:rFonts w:ascii="Arial" w:eastAsia="Times New Roman" w:hAnsi="Arial" w:cs="Arial"/>
          <w:sz w:val="18"/>
          <w:szCs w:val="18"/>
          <w:lang w:val="el-GR" w:eastAsia="en-US"/>
        </w:rPr>
        <w:t xml:space="preserve"> αναβάθμισε τις μακροπρόθεσμες πιστοληπτικές αξιολογήσεις της Κύπρου σε τοπικό και ξένο νόμισμα σε BBB+ από BBB, διατηρώντας παράλληλα θετικές τις προοπτικές. Αυτή η αναβάθμιση της αξιολόγησης της Κύπρου κατά μία βαθμίδα αντανακλά την πρόοδο που έχει σημειώσει η Κύπρος τα τελευταία χρόνια για την αντιμετώπιση των δημοσιονομικών ανισορροπιών, εν μέσω ανθεκτικής ανάπτυξης, καθώς και την ενίσχυση της χρηματοοικονομικής θέσης των κυπριακών τραπεζών.</w:t>
      </w:r>
    </w:p>
    <w:p w14:paraId="0F3D816F" w14:textId="77777777" w:rsidR="00BF5DA5" w:rsidRDefault="00BF5DA5" w:rsidP="00CF4E68">
      <w:pPr>
        <w:spacing w:after="0" w:line="240" w:lineRule="auto"/>
        <w:jc w:val="both"/>
        <w:rPr>
          <w:rFonts w:ascii="Arial" w:eastAsia="Times New Roman" w:hAnsi="Arial" w:cs="Arial"/>
          <w:sz w:val="18"/>
          <w:szCs w:val="18"/>
          <w:lang w:val="el-GR" w:eastAsia="en-US"/>
        </w:rPr>
      </w:pPr>
    </w:p>
    <w:p w14:paraId="0961387F" w14:textId="04C4DC21" w:rsidR="00CF4E68" w:rsidRPr="00CF4E68" w:rsidRDefault="00CF4E68" w:rsidP="00CF4E68">
      <w:pPr>
        <w:spacing w:after="0" w:line="240" w:lineRule="auto"/>
        <w:jc w:val="both"/>
        <w:rPr>
          <w:rFonts w:ascii="Arial" w:eastAsia="Times New Roman" w:hAnsi="Arial" w:cs="Arial"/>
          <w:sz w:val="18"/>
          <w:szCs w:val="18"/>
          <w:highlight w:val="yellow"/>
          <w:lang w:val="el-GR" w:eastAsia="en-US"/>
        </w:rPr>
      </w:pPr>
      <w:r w:rsidRPr="006A1797">
        <w:rPr>
          <w:rFonts w:ascii="Arial" w:eastAsia="Times New Roman" w:hAnsi="Arial" w:cs="Arial"/>
          <w:sz w:val="18"/>
          <w:szCs w:val="18"/>
          <w:lang w:val="el-GR" w:eastAsia="en-US"/>
        </w:rPr>
        <w:t>Τον Σεπτέμβριο</w:t>
      </w:r>
      <w:r w:rsidR="00AF596F" w:rsidRPr="006A1797">
        <w:rPr>
          <w:rFonts w:ascii="Arial" w:eastAsia="Times New Roman" w:hAnsi="Arial" w:cs="Arial"/>
          <w:sz w:val="18"/>
          <w:szCs w:val="18"/>
          <w:lang w:val="el-GR" w:eastAsia="en-US"/>
        </w:rPr>
        <w:t xml:space="preserve"> 2023</w:t>
      </w:r>
      <w:r w:rsidRPr="006A1797">
        <w:rPr>
          <w:rFonts w:ascii="Arial" w:eastAsia="Times New Roman" w:hAnsi="Arial" w:cs="Arial"/>
          <w:sz w:val="18"/>
          <w:szCs w:val="18"/>
          <w:lang w:val="el-GR" w:eastAsia="en-US"/>
        </w:rPr>
        <w:t xml:space="preserve">, ο οίκος </w:t>
      </w:r>
      <w:r w:rsidRPr="006A1797">
        <w:rPr>
          <w:rFonts w:ascii="Arial" w:eastAsia="Times New Roman" w:hAnsi="Arial" w:cs="Arial"/>
          <w:b/>
          <w:bCs/>
          <w:sz w:val="18"/>
          <w:szCs w:val="18"/>
          <w:lang w:eastAsia="en-US"/>
        </w:rPr>
        <w:t>Moody</w:t>
      </w:r>
      <w:r w:rsidRPr="006A1797">
        <w:rPr>
          <w:rFonts w:ascii="Arial" w:eastAsia="Times New Roman" w:hAnsi="Arial" w:cs="Arial"/>
          <w:b/>
          <w:bCs/>
          <w:sz w:val="18"/>
          <w:szCs w:val="18"/>
          <w:lang w:val="el-GR" w:eastAsia="en-US"/>
        </w:rPr>
        <w:t>'</w:t>
      </w:r>
      <w:r w:rsidRPr="006A1797">
        <w:rPr>
          <w:rFonts w:ascii="Arial" w:eastAsia="Times New Roman" w:hAnsi="Arial" w:cs="Arial"/>
          <w:b/>
          <w:bCs/>
          <w:sz w:val="18"/>
          <w:szCs w:val="18"/>
          <w:lang w:eastAsia="en-US"/>
        </w:rPr>
        <w:t>s</w:t>
      </w:r>
      <w:r w:rsidRPr="006A1797">
        <w:rPr>
          <w:rFonts w:ascii="Arial" w:eastAsia="Times New Roman" w:hAnsi="Arial" w:cs="Arial"/>
          <w:b/>
          <w:bCs/>
          <w:sz w:val="18"/>
          <w:szCs w:val="18"/>
          <w:lang w:val="el-GR" w:eastAsia="en-US"/>
        </w:rPr>
        <w:t xml:space="preserve"> </w:t>
      </w:r>
      <w:r w:rsidRPr="006A1797">
        <w:rPr>
          <w:rFonts w:ascii="Arial" w:eastAsia="Times New Roman" w:hAnsi="Arial" w:cs="Arial"/>
          <w:b/>
          <w:bCs/>
          <w:sz w:val="18"/>
          <w:szCs w:val="18"/>
          <w:lang w:eastAsia="en-US"/>
        </w:rPr>
        <w:t>Investors</w:t>
      </w:r>
      <w:r w:rsidRPr="006A1797">
        <w:rPr>
          <w:rFonts w:ascii="Arial" w:eastAsia="Times New Roman" w:hAnsi="Arial" w:cs="Arial"/>
          <w:b/>
          <w:bCs/>
          <w:sz w:val="18"/>
          <w:szCs w:val="18"/>
          <w:lang w:val="el-GR" w:eastAsia="en-US"/>
        </w:rPr>
        <w:t xml:space="preserve"> </w:t>
      </w:r>
      <w:r w:rsidRPr="006A1797">
        <w:rPr>
          <w:rFonts w:ascii="Arial" w:eastAsia="Times New Roman" w:hAnsi="Arial" w:cs="Arial"/>
          <w:b/>
          <w:bCs/>
          <w:sz w:val="18"/>
          <w:szCs w:val="18"/>
          <w:lang w:eastAsia="en-US"/>
        </w:rPr>
        <w:t>Service</w:t>
      </w:r>
      <w:r w:rsidRPr="006A1797">
        <w:rPr>
          <w:rFonts w:ascii="Arial" w:eastAsia="Times New Roman" w:hAnsi="Arial" w:cs="Arial"/>
          <w:sz w:val="18"/>
          <w:szCs w:val="18"/>
          <w:lang w:val="el-GR" w:eastAsia="en-US"/>
        </w:rPr>
        <w:t xml:space="preserve"> αναβάθμισε τις μακροπρόθεσμες αξιολογήσεις της Κυπριακής Κυβέρνησης</w:t>
      </w:r>
      <w:r w:rsidR="00AF596F" w:rsidRPr="006A1797">
        <w:rPr>
          <w:rFonts w:ascii="Arial" w:eastAsia="Times New Roman" w:hAnsi="Arial" w:cs="Arial"/>
          <w:sz w:val="18"/>
          <w:szCs w:val="18"/>
          <w:lang w:val="el-GR" w:eastAsia="en-US"/>
        </w:rPr>
        <w:t xml:space="preserve"> και του μη εξασφαλισμένου, με εξοφλητική προτεραιότητα ομολόγου </w:t>
      </w:r>
      <w:r w:rsidRPr="006A1797">
        <w:rPr>
          <w:rFonts w:ascii="Arial" w:eastAsia="Times New Roman" w:hAnsi="Arial" w:cs="Arial"/>
          <w:sz w:val="18"/>
          <w:szCs w:val="18"/>
          <w:lang w:val="el-GR" w:eastAsia="en-US"/>
        </w:rPr>
        <w:t xml:space="preserve">στη βαθμίδα </w:t>
      </w:r>
      <w:r w:rsidRPr="006A1797">
        <w:rPr>
          <w:rFonts w:ascii="Arial" w:eastAsia="Times New Roman" w:hAnsi="Arial" w:cs="Arial"/>
          <w:sz w:val="18"/>
          <w:szCs w:val="18"/>
          <w:lang w:eastAsia="en-US"/>
        </w:rPr>
        <w:t>Baa</w:t>
      </w:r>
      <w:r w:rsidRPr="006A1797">
        <w:rPr>
          <w:rFonts w:ascii="Arial" w:eastAsia="Times New Roman" w:hAnsi="Arial" w:cs="Arial"/>
          <w:sz w:val="18"/>
          <w:szCs w:val="18"/>
          <w:lang w:val="el-GR" w:eastAsia="en-US"/>
        </w:rPr>
        <w:t xml:space="preserve">2 από </w:t>
      </w:r>
      <w:r w:rsidRPr="006A1797">
        <w:rPr>
          <w:rFonts w:ascii="Arial" w:eastAsia="Times New Roman" w:hAnsi="Arial" w:cs="Arial"/>
          <w:sz w:val="18"/>
          <w:szCs w:val="18"/>
          <w:lang w:eastAsia="en-US"/>
        </w:rPr>
        <w:t>Ba</w:t>
      </w:r>
      <w:r w:rsidRPr="006A1797">
        <w:rPr>
          <w:rFonts w:ascii="Arial" w:eastAsia="Times New Roman" w:hAnsi="Arial" w:cs="Arial"/>
          <w:sz w:val="18"/>
          <w:szCs w:val="18"/>
          <w:lang w:val="el-GR" w:eastAsia="en-US"/>
        </w:rPr>
        <w:t>1.</w:t>
      </w:r>
      <w:r w:rsidR="00A300E3" w:rsidRPr="006A1797">
        <w:rPr>
          <w:rFonts w:ascii="Arial" w:eastAsia="Times New Roman" w:hAnsi="Arial" w:cs="Arial"/>
          <w:sz w:val="18"/>
          <w:szCs w:val="18"/>
          <w:lang w:val="el-GR" w:eastAsia="en-US"/>
        </w:rPr>
        <w:t xml:space="preserve"> </w:t>
      </w:r>
      <w:r w:rsidRPr="006A1797">
        <w:rPr>
          <w:rFonts w:ascii="Arial" w:eastAsia="Times New Roman" w:hAnsi="Arial" w:cs="Arial"/>
          <w:sz w:val="18"/>
          <w:szCs w:val="18"/>
          <w:lang w:val="el-GR" w:eastAsia="en-US"/>
        </w:rPr>
        <w:t>Οι προοπτικές αναθεωρήθηκαν σε σταθερές από θετικές. Πρόκειται για αναβάθμιση των αξιολογήσεων της Κυπριακής Κυβέρνησης κατά δύο βαθμίδες,</w:t>
      </w:r>
      <w:r w:rsidR="00A300E3" w:rsidRPr="006A1797">
        <w:rPr>
          <w:rFonts w:ascii="Arial" w:eastAsia="Times New Roman" w:hAnsi="Arial" w:cs="Arial"/>
          <w:sz w:val="18"/>
          <w:szCs w:val="18"/>
          <w:lang w:val="el-GR" w:eastAsia="en-US"/>
        </w:rPr>
        <w:t xml:space="preserve"> αντανακλώντας</w:t>
      </w:r>
      <w:r w:rsidRPr="006A1797">
        <w:rPr>
          <w:rFonts w:ascii="Arial" w:eastAsia="Times New Roman" w:hAnsi="Arial" w:cs="Arial"/>
          <w:sz w:val="18"/>
          <w:szCs w:val="18"/>
          <w:lang w:val="el-GR" w:eastAsia="en-US"/>
        </w:rPr>
        <w:t xml:space="preserve"> την ευρεία και διαρκή βελτίωση του πιστωτικού προφίλ της χώρας ως αποτέλεσμα των προηγούμενων και συνεχιζόμενων οικονομικών, δημοσιονομικών και τραπεζικών μεταρρυθμίσεων. Η οικονομική ανθεκτικότητα έχει βελτιωθεί και οι μεσοπρόθεσμες προοπτικές ανάπτυξης παραμένουν ισχυρές. Η δημοσιονομική </w:t>
      </w:r>
      <w:r w:rsidR="00097C44" w:rsidRPr="006A1797">
        <w:rPr>
          <w:rFonts w:ascii="Arial" w:eastAsia="Times New Roman" w:hAnsi="Arial" w:cs="Arial"/>
          <w:sz w:val="18"/>
          <w:szCs w:val="18"/>
          <w:lang w:val="el-GR" w:eastAsia="en-US"/>
        </w:rPr>
        <w:t>δύναμη</w:t>
      </w:r>
      <w:r w:rsidRPr="006A1797">
        <w:rPr>
          <w:rFonts w:ascii="Arial" w:eastAsia="Times New Roman" w:hAnsi="Arial" w:cs="Arial"/>
          <w:sz w:val="18"/>
          <w:szCs w:val="18"/>
          <w:lang w:val="el-GR" w:eastAsia="en-US"/>
        </w:rPr>
        <w:t xml:space="preserve"> έχει επίσης βελτιωθεί σημαντικά, με θετική τάση του χρέους</w:t>
      </w:r>
      <w:r w:rsidR="00097C44" w:rsidRPr="006A1797">
        <w:rPr>
          <w:rFonts w:ascii="Arial" w:eastAsia="Times New Roman" w:hAnsi="Arial" w:cs="Arial"/>
          <w:sz w:val="18"/>
          <w:szCs w:val="18"/>
          <w:lang w:val="el-GR" w:eastAsia="en-US"/>
        </w:rPr>
        <w:t xml:space="preserve"> </w:t>
      </w:r>
      <w:r w:rsidRPr="006A1797">
        <w:rPr>
          <w:rFonts w:ascii="Arial" w:eastAsia="Times New Roman" w:hAnsi="Arial" w:cs="Arial"/>
          <w:sz w:val="18"/>
          <w:szCs w:val="18"/>
          <w:lang w:val="el-GR" w:eastAsia="en-US"/>
        </w:rPr>
        <w:t xml:space="preserve">και υγιείς μετρήσεις για την οικονομική βιωσιμότητα του χρέους. Οι σταθερές προοπτικές εξισορροπούν τις θετικές πιστωτικές τάσεις με τις εναπομένουσες προκλήσεις. </w:t>
      </w:r>
    </w:p>
    <w:p w14:paraId="71C12209" w14:textId="77777777" w:rsidR="00CF4E68" w:rsidRPr="006A1797" w:rsidRDefault="00CF4E68" w:rsidP="00CF4E68">
      <w:pPr>
        <w:spacing w:after="0" w:line="240" w:lineRule="auto"/>
        <w:jc w:val="both"/>
        <w:rPr>
          <w:rFonts w:ascii="Arial" w:eastAsia="Times New Roman" w:hAnsi="Arial" w:cs="Arial"/>
          <w:sz w:val="18"/>
          <w:szCs w:val="18"/>
          <w:lang w:val="el-GR" w:eastAsia="en-US"/>
        </w:rPr>
      </w:pPr>
    </w:p>
    <w:p w14:paraId="194396D1" w14:textId="037245B3" w:rsidR="00CF4E68" w:rsidRPr="00CF4E68" w:rsidRDefault="00CF4E68" w:rsidP="00CF4E68">
      <w:pPr>
        <w:spacing w:after="0" w:line="240" w:lineRule="auto"/>
        <w:jc w:val="both"/>
        <w:rPr>
          <w:rFonts w:ascii="Arial" w:eastAsia="Times New Roman" w:hAnsi="Arial" w:cs="Arial"/>
          <w:sz w:val="18"/>
          <w:szCs w:val="18"/>
          <w:highlight w:val="yellow"/>
          <w:lang w:val="el-GR" w:eastAsia="en-US"/>
        </w:rPr>
      </w:pPr>
      <w:r w:rsidRPr="006A1797">
        <w:rPr>
          <w:rFonts w:ascii="Arial" w:eastAsia="Times New Roman" w:hAnsi="Arial" w:cs="Arial"/>
          <w:sz w:val="18"/>
          <w:szCs w:val="18"/>
          <w:lang w:val="el-GR" w:eastAsia="en-US"/>
        </w:rPr>
        <w:t xml:space="preserve">Η </w:t>
      </w:r>
      <w:r w:rsidRPr="006A1797">
        <w:rPr>
          <w:rFonts w:ascii="Arial" w:eastAsia="Times New Roman" w:hAnsi="Arial" w:cs="Arial"/>
          <w:b/>
          <w:bCs/>
          <w:sz w:val="18"/>
          <w:szCs w:val="18"/>
          <w:lang w:eastAsia="en-US"/>
        </w:rPr>
        <w:t>DBRS</w:t>
      </w:r>
      <w:r w:rsidRPr="006A1797">
        <w:rPr>
          <w:rFonts w:ascii="Arial" w:eastAsia="Times New Roman" w:hAnsi="Arial" w:cs="Arial"/>
          <w:b/>
          <w:bCs/>
          <w:sz w:val="18"/>
          <w:szCs w:val="18"/>
          <w:lang w:val="el-GR" w:eastAsia="en-US"/>
        </w:rPr>
        <w:t xml:space="preserve"> </w:t>
      </w:r>
      <w:r w:rsidRPr="006A1797">
        <w:rPr>
          <w:rFonts w:ascii="Arial" w:eastAsia="Times New Roman" w:hAnsi="Arial" w:cs="Arial"/>
          <w:b/>
          <w:bCs/>
          <w:sz w:val="18"/>
          <w:szCs w:val="18"/>
          <w:lang w:eastAsia="en-US"/>
        </w:rPr>
        <w:t>Ratings</w:t>
      </w:r>
      <w:r w:rsidRPr="006A1797">
        <w:rPr>
          <w:rFonts w:ascii="Arial" w:eastAsia="Times New Roman" w:hAnsi="Arial" w:cs="Arial"/>
          <w:b/>
          <w:bCs/>
          <w:sz w:val="18"/>
          <w:szCs w:val="18"/>
          <w:lang w:val="el-GR" w:eastAsia="en-US"/>
        </w:rPr>
        <w:t xml:space="preserve"> </w:t>
      </w:r>
      <w:r w:rsidRPr="006A1797">
        <w:rPr>
          <w:rFonts w:ascii="Arial" w:eastAsia="Times New Roman" w:hAnsi="Arial" w:cs="Arial"/>
          <w:b/>
          <w:bCs/>
          <w:sz w:val="18"/>
          <w:szCs w:val="18"/>
          <w:lang w:eastAsia="en-US"/>
        </w:rPr>
        <w:t>GmbH</w:t>
      </w:r>
      <w:r w:rsidRPr="006A1797">
        <w:rPr>
          <w:rFonts w:ascii="Arial" w:eastAsia="Times New Roman" w:hAnsi="Arial" w:cs="Arial"/>
          <w:b/>
          <w:bCs/>
          <w:sz w:val="18"/>
          <w:szCs w:val="18"/>
          <w:lang w:val="el-GR" w:eastAsia="en-US"/>
        </w:rPr>
        <w:t xml:space="preserve"> (</w:t>
      </w:r>
      <w:r w:rsidRPr="006A1797">
        <w:rPr>
          <w:rFonts w:ascii="Arial" w:eastAsia="Times New Roman" w:hAnsi="Arial" w:cs="Arial"/>
          <w:b/>
          <w:bCs/>
          <w:sz w:val="18"/>
          <w:szCs w:val="18"/>
          <w:lang w:eastAsia="en-US"/>
        </w:rPr>
        <w:t>DBRS</w:t>
      </w:r>
      <w:r w:rsidRPr="006A1797">
        <w:rPr>
          <w:rFonts w:ascii="Arial" w:eastAsia="Times New Roman" w:hAnsi="Arial" w:cs="Arial"/>
          <w:b/>
          <w:bCs/>
          <w:sz w:val="18"/>
          <w:szCs w:val="18"/>
          <w:lang w:val="el-GR" w:eastAsia="en-US"/>
        </w:rPr>
        <w:t xml:space="preserve"> </w:t>
      </w:r>
      <w:r w:rsidRPr="006A1797">
        <w:rPr>
          <w:rFonts w:ascii="Arial" w:eastAsia="Times New Roman" w:hAnsi="Arial" w:cs="Arial"/>
          <w:b/>
          <w:bCs/>
          <w:sz w:val="18"/>
          <w:szCs w:val="18"/>
          <w:lang w:eastAsia="en-US"/>
        </w:rPr>
        <w:t>Morningstar</w:t>
      </w:r>
      <w:r w:rsidRPr="006A1797">
        <w:rPr>
          <w:rFonts w:ascii="Arial" w:eastAsia="Times New Roman" w:hAnsi="Arial" w:cs="Arial"/>
          <w:b/>
          <w:bCs/>
          <w:sz w:val="18"/>
          <w:szCs w:val="18"/>
          <w:lang w:val="el-GR" w:eastAsia="en-US"/>
        </w:rPr>
        <w:t>)</w:t>
      </w:r>
      <w:r w:rsidRPr="006A1797">
        <w:rPr>
          <w:rFonts w:ascii="Arial" w:eastAsia="Times New Roman" w:hAnsi="Arial" w:cs="Arial"/>
          <w:sz w:val="18"/>
          <w:szCs w:val="18"/>
          <w:lang w:val="el-GR" w:eastAsia="en-US"/>
        </w:rPr>
        <w:t xml:space="preserve"> επιβεβαίωσε τις μακροπρόθεσμες αξιολογήσεις της </w:t>
      </w:r>
      <w:r w:rsidR="00BF5DA5">
        <w:rPr>
          <w:rFonts w:ascii="Arial" w:eastAsia="Times New Roman" w:hAnsi="Arial" w:cs="Arial"/>
          <w:sz w:val="18"/>
          <w:szCs w:val="18"/>
          <w:lang w:val="el-GR" w:eastAsia="en-US"/>
        </w:rPr>
        <w:t>Κύπρου</w:t>
      </w:r>
      <w:r w:rsidRPr="006A1797">
        <w:rPr>
          <w:rFonts w:ascii="Arial" w:eastAsia="Times New Roman" w:hAnsi="Arial" w:cs="Arial"/>
          <w:sz w:val="18"/>
          <w:szCs w:val="18"/>
          <w:lang w:val="el-GR" w:eastAsia="en-US"/>
        </w:rPr>
        <w:t xml:space="preserve"> σε ξένο και τοπικό νόμισμα στο </w:t>
      </w:r>
      <w:r w:rsidRPr="006A1797">
        <w:rPr>
          <w:rFonts w:ascii="Arial" w:eastAsia="Times New Roman" w:hAnsi="Arial" w:cs="Arial"/>
          <w:sz w:val="18"/>
          <w:szCs w:val="18"/>
          <w:lang w:eastAsia="en-US"/>
        </w:rPr>
        <w:t>BBB</w:t>
      </w:r>
      <w:r w:rsidRPr="006A1797">
        <w:rPr>
          <w:rFonts w:ascii="Arial" w:eastAsia="Times New Roman" w:hAnsi="Arial" w:cs="Arial"/>
          <w:sz w:val="18"/>
          <w:szCs w:val="18"/>
          <w:lang w:val="el-GR" w:eastAsia="en-US"/>
        </w:rPr>
        <w:t xml:space="preserve"> (υψηλό) τον Μάρτιο του 2024. Ο οίκος </w:t>
      </w:r>
      <w:r w:rsidRPr="006A1797">
        <w:rPr>
          <w:rFonts w:ascii="Arial" w:eastAsia="Times New Roman" w:hAnsi="Arial" w:cs="Arial"/>
          <w:sz w:val="18"/>
          <w:szCs w:val="18"/>
          <w:lang w:eastAsia="en-US"/>
        </w:rPr>
        <w:t>DBRS</w:t>
      </w:r>
      <w:r w:rsidRPr="006A1797">
        <w:rPr>
          <w:rFonts w:ascii="Arial" w:eastAsia="Times New Roman" w:hAnsi="Arial" w:cs="Arial"/>
          <w:sz w:val="18"/>
          <w:szCs w:val="18"/>
          <w:lang w:val="el-GR" w:eastAsia="en-US"/>
        </w:rPr>
        <w:t xml:space="preserve"> </w:t>
      </w:r>
      <w:r w:rsidRPr="006A1797">
        <w:rPr>
          <w:rFonts w:ascii="Arial" w:eastAsia="Times New Roman" w:hAnsi="Arial" w:cs="Arial"/>
          <w:sz w:val="18"/>
          <w:szCs w:val="18"/>
          <w:lang w:eastAsia="en-US"/>
        </w:rPr>
        <w:t>Ratings</w:t>
      </w:r>
      <w:r w:rsidRPr="006A1797">
        <w:rPr>
          <w:rFonts w:ascii="Arial" w:eastAsia="Times New Roman" w:hAnsi="Arial" w:cs="Arial"/>
          <w:sz w:val="18"/>
          <w:szCs w:val="18"/>
          <w:lang w:val="el-GR" w:eastAsia="en-US"/>
        </w:rPr>
        <w:t xml:space="preserve"> είχε αναβαθμίσει τις μακροπρόθεσμες αξιολογήσεις της </w:t>
      </w:r>
      <w:r w:rsidR="00BF5DA5">
        <w:rPr>
          <w:rFonts w:ascii="Arial" w:eastAsia="Times New Roman" w:hAnsi="Arial" w:cs="Arial"/>
          <w:sz w:val="18"/>
          <w:szCs w:val="18"/>
          <w:lang w:val="el-GR" w:eastAsia="en-US"/>
        </w:rPr>
        <w:t xml:space="preserve">Κύπρου </w:t>
      </w:r>
      <w:r w:rsidRPr="006A1797">
        <w:rPr>
          <w:rFonts w:ascii="Arial" w:eastAsia="Times New Roman" w:hAnsi="Arial" w:cs="Arial"/>
          <w:sz w:val="18"/>
          <w:szCs w:val="18"/>
          <w:lang w:val="el-GR" w:eastAsia="en-US"/>
        </w:rPr>
        <w:t xml:space="preserve">σε ξένο και τοπικό νόμισμα από </w:t>
      </w:r>
      <w:r w:rsidRPr="006A1797">
        <w:rPr>
          <w:rFonts w:ascii="Arial" w:eastAsia="Times New Roman" w:hAnsi="Arial" w:cs="Arial"/>
          <w:sz w:val="18"/>
          <w:szCs w:val="18"/>
          <w:lang w:eastAsia="en-US"/>
        </w:rPr>
        <w:t>BBB</w:t>
      </w:r>
      <w:r w:rsidRPr="006A1797">
        <w:rPr>
          <w:rFonts w:ascii="Arial" w:eastAsia="Times New Roman" w:hAnsi="Arial" w:cs="Arial"/>
          <w:sz w:val="18"/>
          <w:szCs w:val="18"/>
          <w:lang w:val="el-GR" w:eastAsia="en-US"/>
        </w:rPr>
        <w:t xml:space="preserve"> σε </w:t>
      </w:r>
      <w:r w:rsidRPr="006A1797">
        <w:rPr>
          <w:rFonts w:ascii="Arial" w:eastAsia="Times New Roman" w:hAnsi="Arial" w:cs="Arial"/>
          <w:sz w:val="18"/>
          <w:szCs w:val="18"/>
          <w:lang w:eastAsia="en-US"/>
        </w:rPr>
        <w:t>BBB</w:t>
      </w:r>
      <w:r w:rsidRPr="006A1797">
        <w:rPr>
          <w:rFonts w:ascii="Arial" w:eastAsia="Times New Roman" w:hAnsi="Arial" w:cs="Arial"/>
          <w:sz w:val="18"/>
          <w:szCs w:val="18"/>
          <w:lang w:val="el-GR" w:eastAsia="en-US"/>
        </w:rPr>
        <w:t xml:space="preserve"> (υψηλό) τον Σεπτέμβριο του 2023. Η τάση της αξιολόγησης είναι σταθερή. Η αναβάθμιση οφείλεται στην πρόσφατη μείωση του δημόσιου χρέους και στην προσδοκία ότι οι δείκτες βιωσιμότητας του δημόσιου χρέους θα συνεχίσουν να βελτιώνονται τα επόμενα χρόνια, ενώ η οικονομική ανάπτυξη αναμένεται να παραμείνει από τις ισχυρότερες στη ζώνη του ευρώ. Οι σταθερές προοπτικές εξισορροπούν την πρόσφατη ευνοϊκή δημοσιονομική δυναμική με τους καθοδικούς κινδύνους για τις οικονομικές προοπτικές.</w:t>
      </w:r>
    </w:p>
    <w:p w14:paraId="347B60EB" w14:textId="77777777" w:rsidR="00E71B33" w:rsidRPr="006B5511" w:rsidRDefault="00E71B33" w:rsidP="00CE36EC">
      <w:pPr>
        <w:spacing w:after="0" w:line="360" w:lineRule="auto"/>
        <w:rPr>
          <w:rFonts w:ascii="Arial" w:hAnsi="Arial" w:cs="Arial"/>
          <w:b/>
          <w:color w:val="FF9900"/>
          <w:sz w:val="24"/>
          <w:szCs w:val="24"/>
          <w:highlight w:val="yellow"/>
          <w:lang w:val="el-GR"/>
        </w:rPr>
      </w:pPr>
      <w:bookmarkStart w:id="30" w:name="_Hlk112433471"/>
      <w:bookmarkEnd w:id="24"/>
      <w:bookmarkEnd w:id="25"/>
      <w:bookmarkEnd w:id="26"/>
      <w:bookmarkEnd w:id="27"/>
      <w:bookmarkEnd w:id="28"/>
      <w:bookmarkEnd w:id="29"/>
    </w:p>
    <w:p w14:paraId="48F58D2F" w14:textId="77777777" w:rsidR="00E71B33" w:rsidRPr="006B5511" w:rsidRDefault="00E71B33" w:rsidP="00CE36EC">
      <w:pPr>
        <w:spacing w:after="0" w:line="360" w:lineRule="auto"/>
        <w:rPr>
          <w:rFonts w:ascii="Arial" w:hAnsi="Arial" w:cs="Arial"/>
          <w:b/>
          <w:color w:val="FF9900"/>
          <w:sz w:val="24"/>
          <w:szCs w:val="24"/>
          <w:highlight w:val="yellow"/>
          <w:lang w:val="el-GR"/>
        </w:rPr>
      </w:pPr>
    </w:p>
    <w:p w14:paraId="2CDE0537" w14:textId="77777777" w:rsidR="001D36B0" w:rsidRPr="006B5511" w:rsidRDefault="001D36B0" w:rsidP="00CE36EC">
      <w:pPr>
        <w:spacing w:after="0" w:line="360" w:lineRule="auto"/>
        <w:rPr>
          <w:rFonts w:ascii="Arial" w:hAnsi="Arial" w:cs="Arial"/>
          <w:b/>
          <w:color w:val="FF9900"/>
          <w:sz w:val="24"/>
          <w:szCs w:val="24"/>
          <w:highlight w:val="yellow"/>
          <w:lang w:val="el-GR"/>
        </w:rPr>
      </w:pPr>
    </w:p>
    <w:p w14:paraId="28A9E47A" w14:textId="77777777" w:rsidR="001D36B0" w:rsidRPr="006B5511" w:rsidRDefault="001D36B0" w:rsidP="00CE36EC">
      <w:pPr>
        <w:spacing w:after="0" w:line="360" w:lineRule="auto"/>
        <w:rPr>
          <w:rFonts w:ascii="Arial" w:hAnsi="Arial" w:cs="Arial"/>
          <w:b/>
          <w:color w:val="FF9900"/>
          <w:sz w:val="24"/>
          <w:szCs w:val="24"/>
          <w:highlight w:val="yellow"/>
          <w:lang w:val="el-GR"/>
        </w:rPr>
      </w:pPr>
    </w:p>
    <w:p w14:paraId="1F742119" w14:textId="77777777" w:rsidR="001D36B0" w:rsidRPr="006B5511" w:rsidRDefault="001D36B0" w:rsidP="00CE36EC">
      <w:pPr>
        <w:spacing w:after="0" w:line="360" w:lineRule="auto"/>
        <w:rPr>
          <w:rFonts w:ascii="Arial" w:hAnsi="Arial" w:cs="Arial"/>
          <w:b/>
          <w:color w:val="FF9900"/>
          <w:sz w:val="24"/>
          <w:szCs w:val="24"/>
          <w:highlight w:val="yellow"/>
          <w:lang w:val="el-GR"/>
        </w:rPr>
      </w:pPr>
    </w:p>
    <w:p w14:paraId="63738981" w14:textId="77777777" w:rsidR="001D36B0" w:rsidRPr="006B5511" w:rsidRDefault="001D36B0" w:rsidP="00CE36EC">
      <w:pPr>
        <w:spacing w:after="0" w:line="360" w:lineRule="auto"/>
        <w:rPr>
          <w:rFonts w:ascii="Arial" w:hAnsi="Arial" w:cs="Arial"/>
          <w:b/>
          <w:color w:val="FF9900"/>
          <w:sz w:val="24"/>
          <w:szCs w:val="24"/>
          <w:highlight w:val="yellow"/>
          <w:lang w:val="el-GR"/>
        </w:rPr>
      </w:pPr>
    </w:p>
    <w:p w14:paraId="72C0BC5E" w14:textId="77777777" w:rsidR="001D36B0" w:rsidRPr="006B5511" w:rsidRDefault="001D36B0" w:rsidP="00CE36EC">
      <w:pPr>
        <w:spacing w:after="0" w:line="360" w:lineRule="auto"/>
        <w:rPr>
          <w:rFonts w:ascii="Arial" w:hAnsi="Arial" w:cs="Arial"/>
          <w:b/>
          <w:color w:val="FF9900"/>
          <w:sz w:val="24"/>
          <w:szCs w:val="24"/>
          <w:highlight w:val="yellow"/>
          <w:lang w:val="el-GR"/>
        </w:rPr>
      </w:pPr>
    </w:p>
    <w:p w14:paraId="19AFBDD7" w14:textId="77777777" w:rsidR="001D36B0" w:rsidRPr="006B5511" w:rsidRDefault="001D36B0" w:rsidP="00CE36EC">
      <w:pPr>
        <w:spacing w:after="0" w:line="360" w:lineRule="auto"/>
        <w:rPr>
          <w:rFonts w:ascii="Arial" w:hAnsi="Arial" w:cs="Arial"/>
          <w:b/>
          <w:color w:val="FF9900"/>
          <w:sz w:val="24"/>
          <w:szCs w:val="24"/>
          <w:highlight w:val="yellow"/>
          <w:lang w:val="el-GR"/>
        </w:rPr>
      </w:pPr>
    </w:p>
    <w:p w14:paraId="6362BD34" w14:textId="77777777" w:rsidR="001D36B0" w:rsidRPr="006B5511" w:rsidRDefault="001D36B0" w:rsidP="00CE36EC">
      <w:pPr>
        <w:spacing w:after="0" w:line="360" w:lineRule="auto"/>
        <w:rPr>
          <w:rFonts w:ascii="Arial" w:hAnsi="Arial" w:cs="Arial"/>
          <w:b/>
          <w:color w:val="FF9900"/>
          <w:sz w:val="24"/>
          <w:szCs w:val="24"/>
          <w:highlight w:val="yellow"/>
          <w:lang w:val="el-GR"/>
        </w:rPr>
      </w:pPr>
    </w:p>
    <w:p w14:paraId="2A3D1673" w14:textId="77777777" w:rsidR="001D36B0" w:rsidRPr="006B5511" w:rsidRDefault="001D36B0" w:rsidP="00CE36EC">
      <w:pPr>
        <w:spacing w:after="0" w:line="360" w:lineRule="auto"/>
        <w:rPr>
          <w:rFonts w:ascii="Arial" w:hAnsi="Arial" w:cs="Arial"/>
          <w:b/>
          <w:color w:val="FF9900"/>
          <w:sz w:val="24"/>
          <w:szCs w:val="24"/>
          <w:highlight w:val="yellow"/>
          <w:lang w:val="el-GR"/>
        </w:rPr>
      </w:pPr>
    </w:p>
    <w:p w14:paraId="719412A1" w14:textId="77777777" w:rsidR="001D36B0" w:rsidRPr="006B5511" w:rsidRDefault="001D36B0" w:rsidP="00CE36EC">
      <w:pPr>
        <w:spacing w:after="0" w:line="360" w:lineRule="auto"/>
        <w:rPr>
          <w:rFonts w:ascii="Arial" w:hAnsi="Arial" w:cs="Arial"/>
          <w:b/>
          <w:color w:val="FF9900"/>
          <w:sz w:val="24"/>
          <w:szCs w:val="24"/>
          <w:highlight w:val="yellow"/>
          <w:lang w:val="el-GR"/>
        </w:rPr>
      </w:pPr>
    </w:p>
    <w:p w14:paraId="74C2062E" w14:textId="77777777" w:rsidR="008D10DD" w:rsidRPr="006B5511" w:rsidRDefault="008D10DD">
      <w:pPr>
        <w:rPr>
          <w:rFonts w:ascii="Arial" w:hAnsi="Arial" w:cs="Arial"/>
          <w:b/>
          <w:color w:val="FF9900"/>
          <w:sz w:val="24"/>
          <w:szCs w:val="24"/>
          <w:highlight w:val="yellow"/>
          <w:lang w:val="el-GR"/>
        </w:rPr>
      </w:pPr>
      <w:r w:rsidRPr="006B5511">
        <w:rPr>
          <w:rFonts w:ascii="Arial" w:hAnsi="Arial" w:cs="Arial"/>
          <w:b/>
          <w:color w:val="FF9900"/>
          <w:sz w:val="24"/>
          <w:szCs w:val="24"/>
          <w:highlight w:val="yellow"/>
          <w:lang w:val="el-GR"/>
        </w:rPr>
        <w:br w:type="page"/>
      </w:r>
    </w:p>
    <w:p w14:paraId="4CD299FF" w14:textId="26085ADB" w:rsidR="00CE36EC" w:rsidRPr="00CB38F0" w:rsidRDefault="00E1674C" w:rsidP="00CE36EC">
      <w:pPr>
        <w:spacing w:after="0" w:line="360" w:lineRule="auto"/>
        <w:rPr>
          <w:rFonts w:ascii="Arial" w:hAnsi="Arial" w:cs="Arial"/>
          <w:b/>
          <w:color w:val="FF9900"/>
          <w:sz w:val="24"/>
          <w:szCs w:val="24"/>
          <w:lang w:val="el-GR"/>
        </w:rPr>
      </w:pPr>
      <w:r>
        <w:rPr>
          <w:rFonts w:ascii="Arial" w:hAnsi="Arial" w:cs="Arial"/>
          <w:b/>
          <w:color w:val="FF9900"/>
          <w:sz w:val="24"/>
          <w:szCs w:val="24"/>
          <w:lang w:val="el-GR"/>
        </w:rPr>
        <w:lastRenderedPageBreak/>
        <w:t>Δ</w:t>
      </w:r>
      <w:r w:rsidR="00CE36EC" w:rsidRPr="00CB38F0">
        <w:rPr>
          <w:rFonts w:ascii="Arial" w:hAnsi="Arial" w:cs="Arial"/>
          <w:b/>
          <w:color w:val="FF9900"/>
          <w:sz w:val="24"/>
          <w:szCs w:val="24"/>
          <w:lang w:val="el-GR"/>
        </w:rPr>
        <w:t xml:space="preserve">. Επισκόπηση επιχειρηματικής δραστηριότητας </w:t>
      </w:r>
    </w:p>
    <w:p w14:paraId="466ABA75" w14:textId="77777777" w:rsidR="00CE36EC" w:rsidRPr="00CB38F0" w:rsidRDefault="00CE36EC" w:rsidP="00CE36EC">
      <w:pPr>
        <w:spacing w:after="0" w:line="360" w:lineRule="auto"/>
        <w:jc w:val="both"/>
        <w:rPr>
          <w:rFonts w:ascii="Arial" w:hAnsi="Arial" w:cs="Arial"/>
          <w:b/>
          <w:color w:val="FF9900"/>
          <w:lang w:val="el-GR"/>
        </w:rPr>
      </w:pPr>
      <w:r w:rsidRPr="00CB38F0">
        <w:rPr>
          <w:rFonts w:ascii="Arial" w:hAnsi="Arial" w:cs="Arial"/>
          <w:b/>
          <w:color w:val="FF9900"/>
          <w:szCs w:val="20"/>
          <w:lang w:val="el-GR"/>
        </w:rPr>
        <w:t>Πιστοληπτικές Αξιολογήσεις της Τράπεζας</w:t>
      </w:r>
      <w:r w:rsidRPr="00CB38F0" w:rsidDel="00951CB4">
        <w:rPr>
          <w:rFonts w:ascii="Arial" w:hAnsi="Arial" w:cs="Arial"/>
          <w:b/>
          <w:color w:val="FF9900"/>
          <w:lang w:val="el-GR"/>
        </w:rPr>
        <w:t xml:space="preserve"> </w:t>
      </w:r>
    </w:p>
    <w:p w14:paraId="3E96E5A4" w14:textId="07B70B3A" w:rsidR="001446D1" w:rsidRPr="00533B0F" w:rsidRDefault="00CE36EC" w:rsidP="00232938">
      <w:pPr>
        <w:spacing w:after="0" w:line="240" w:lineRule="auto"/>
        <w:jc w:val="both"/>
        <w:rPr>
          <w:rFonts w:ascii="Arial" w:hAnsi="Arial" w:cs="Arial"/>
          <w:sz w:val="18"/>
          <w:szCs w:val="18"/>
          <w:highlight w:val="yellow"/>
          <w:lang w:val="el-GR"/>
        </w:rPr>
      </w:pPr>
      <w:r w:rsidRPr="00CB38F0">
        <w:rPr>
          <w:rFonts w:ascii="Arial" w:hAnsi="Arial" w:cs="Arial"/>
          <w:sz w:val="18"/>
          <w:szCs w:val="18"/>
          <w:lang w:val="el-GR"/>
        </w:rPr>
        <w:t>Η χρηματοοικονομική επίδοση του Συγκροτήματος είναι άμεσα συνδεδεμένη με το οικονομικό και λειτουργικό περιβάλλον στην Κύπρο</w:t>
      </w:r>
      <w:r w:rsidR="00204DBF" w:rsidRPr="00CB38F0">
        <w:rPr>
          <w:rFonts w:ascii="Arial" w:hAnsi="Arial" w:cs="Arial"/>
          <w:lang w:val="el-GR"/>
        </w:rPr>
        <w:t xml:space="preserve">. </w:t>
      </w:r>
      <w:r w:rsidR="00E1674C" w:rsidRPr="00CB38F0">
        <w:rPr>
          <w:rFonts w:ascii="Arial" w:hAnsi="Arial" w:cs="Arial"/>
          <w:sz w:val="18"/>
          <w:szCs w:val="18"/>
          <w:lang w:val="el-GR"/>
        </w:rPr>
        <w:t xml:space="preserve">Τον Ιούλιο 2024, η </w:t>
      </w:r>
      <w:r w:rsidR="00E1674C" w:rsidRPr="00CB38F0">
        <w:rPr>
          <w:rFonts w:ascii="Arial" w:hAnsi="Arial" w:cs="Arial"/>
          <w:b/>
          <w:bCs/>
          <w:sz w:val="18"/>
          <w:szCs w:val="18"/>
          <w:lang w:val="el-GR"/>
        </w:rPr>
        <w:t>Moody’s Investors Service</w:t>
      </w:r>
      <w:r w:rsidR="00E1674C" w:rsidRPr="00CB38F0">
        <w:rPr>
          <w:rFonts w:ascii="Arial" w:hAnsi="Arial" w:cs="Arial"/>
          <w:sz w:val="18"/>
          <w:szCs w:val="18"/>
          <w:lang w:val="el-GR"/>
        </w:rPr>
        <w:t xml:space="preserve"> </w:t>
      </w:r>
      <w:r w:rsidR="00E1674C" w:rsidRPr="00914744">
        <w:rPr>
          <w:rFonts w:ascii="Arial" w:hAnsi="Arial" w:cs="Arial"/>
          <w:b/>
          <w:bCs/>
          <w:sz w:val="18"/>
          <w:szCs w:val="18"/>
          <w:lang w:val="el-GR"/>
        </w:rPr>
        <w:t>αναβάθμισε</w:t>
      </w:r>
      <w:r w:rsidR="00E1674C" w:rsidRPr="00CB38F0">
        <w:rPr>
          <w:rFonts w:ascii="Arial" w:hAnsi="Arial" w:cs="Arial"/>
          <w:sz w:val="18"/>
          <w:szCs w:val="18"/>
          <w:lang w:val="el-GR"/>
        </w:rPr>
        <w:t xml:space="preserve"> την </w:t>
      </w:r>
      <w:r w:rsidR="00E1674C" w:rsidRPr="00CB38F0">
        <w:rPr>
          <w:rFonts w:ascii="Arial" w:hAnsi="Arial" w:cs="Arial"/>
          <w:sz w:val="18"/>
          <w:szCs w:val="20"/>
          <w:lang w:val="el-GR"/>
        </w:rPr>
        <w:t xml:space="preserve">μακροπρόθεσμη πιστοληπτική αξιολόγηση της Τράπεζας σε </w:t>
      </w:r>
      <w:r w:rsidR="00E1674C" w:rsidRPr="006A1797">
        <w:rPr>
          <w:rFonts w:ascii="Arial" w:hAnsi="Arial" w:cs="Arial"/>
          <w:b/>
          <w:bCs/>
          <w:sz w:val="18"/>
          <w:szCs w:val="18"/>
          <w:lang w:val="el-GR"/>
        </w:rPr>
        <w:t>Ba</w:t>
      </w:r>
      <w:r w:rsidR="00E1674C" w:rsidRPr="006A1797">
        <w:rPr>
          <w:rFonts w:ascii="Arial" w:hAnsi="Arial" w:cs="Arial"/>
          <w:b/>
          <w:bCs/>
          <w:sz w:val="18"/>
          <w:szCs w:val="18"/>
          <w:lang w:val="en-US"/>
        </w:rPr>
        <w:t>a</w:t>
      </w:r>
      <w:r w:rsidR="00E1674C" w:rsidRPr="006A1797">
        <w:rPr>
          <w:rFonts w:ascii="Arial" w:hAnsi="Arial" w:cs="Arial"/>
          <w:b/>
          <w:bCs/>
          <w:sz w:val="18"/>
          <w:szCs w:val="18"/>
          <w:lang w:val="el-GR"/>
        </w:rPr>
        <w:t>1</w:t>
      </w:r>
      <w:r w:rsidR="00E1674C" w:rsidRPr="00CB38F0">
        <w:rPr>
          <w:rFonts w:ascii="Arial" w:hAnsi="Arial" w:cs="Arial"/>
          <w:sz w:val="18"/>
          <w:szCs w:val="18"/>
          <w:lang w:val="el-GR"/>
        </w:rPr>
        <w:t xml:space="preserve"> από </w:t>
      </w:r>
      <w:r w:rsidR="00E1674C" w:rsidRPr="006A1797">
        <w:rPr>
          <w:rFonts w:ascii="Arial" w:hAnsi="Arial" w:cs="Arial"/>
          <w:b/>
          <w:bCs/>
          <w:sz w:val="18"/>
          <w:szCs w:val="18"/>
          <w:lang w:val="el-GR"/>
        </w:rPr>
        <w:t>Ba</w:t>
      </w:r>
      <w:r w:rsidR="00E1674C" w:rsidRPr="006A1797">
        <w:rPr>
          <w:rFonts w:ascii="Arial" w:hAnsi="Arial" w:cs="Arial"/>
          <w:b/>
          <w:bCs/>
          <w:sz w:val="18"/>
          <w:szCs w:val="18"/>
          <w:lang w:val="en-US"/>
        </w:rPr>
        <w:t>a</w:t>
      </w:r>
      <w:r w:rsidR="00E1674C" w:rsidRPr="006A1797">
        <w:rPr>
          <w:rFonts w:ascii="Arial" w:hAnsi="Arial" w:cs="Arial"/>
          <w:b/>
          <w:bCs/>
          <w:sz w:val="18"/>
          <w:szCs w:val="18"/>
          <w:lang w:val="el-GR"/>
        </w:rPr>
        <w:t>3</w:t>
      </w:r>
      <w:r w:rsidR="00E1674C" w:rsidRPr="00CB38F0">
        <w:rPr>
          <w:rFonts w:ascii="Arial" w:hAnsi="Arial" w:cs="Arial"/>
          <w:sz w:val="18"/>
          <w:szCs w:val="18"/>
          <w:lang w:val="el-GR"/>
        </w:rPr>
        <w:t xml:space="preserve"> και αναθεώρησε την προοπτική σε σταθερή. Η αναβάθμιση κατά δύο βαθμίδες αντικατοπτρίζει </w:t>
      </w:r>
      <w:r w:rsidR="00826F6C">
        <w:rPr>
          <w:rFonts w:ascii="Arial" w:hAnsi="Arial" w:cs="Arial"/>
          <w:sz w:val="18"/>
          <w:szCs w:val="18"/>
          <w:lang w:val="el-GR"/>
        </w:rPr>
        <w:t xml:space="preserve">τη συνεχή βελτίωση του προφίλ φερεγγυότητας της Τράπεζας, την αυξημένη προστασία που παρέχεται στους καταθέτες της </w:t>
      </w:r>
      <w:r w:rsidR="00914744">
        <w:rPr>
          <w:rFonts w:ascii="Arial" w:hAnsi="Arial" w:cs="Arial"/>
          <w:sz w:val="18"/>
          <w:szCs w:val="18"/>
          <w:lang w:val="en-US"/>
        </w:rPr>
        <w:t>T</w:t>
      </w:r>
      <w:r w:rsidR="00826F6C">
        <w:rPr>
          <w:rFonts w:ascii="Arial" w:hAnsi="Arial" w:cs="Arial"/>
          <w:sz w:val="18"/>
          <w:szCs w:val="18"/>
          <w:lang w:val="el-GR"/>
        </w:rPr>
        <w:t>ράπεζας καθώς και την ισχυρή κεφαλαιακή της θέση.</w:t>
      </w:r>
      <w:r w:rsidR="00CD557B">
        <w:rPr>
          <w:rFonts w:ascii="Arial" w:hAnsi="Arial" w:cs="Arial"/>
          <w:sz w:val="18"/>
          <w:szCs w:val="18"/>
          <w:lang w:val="el-GR"/>
        </w:rPr>
        <w:t xml:space="preserve"> </w:t>
      </w:r>
      <w:r w:rsidR="00CD557B" w:rsidRPr="006A1797">
        <w:rPr>
          <w:rFonts w:ascii="Arial" w:hAnsi="Arial" w:cs="Arial"/>
          <w:b/>
          <w:bCs/>
          <w:sz w:val="18"/>
          <w:szCs w:val="18"/>
          <w:lang w:val="el-GR"/>
        </w:rPr>
        <w:t>Αυτή είναι η υψηλότερη μακροπρόθεσμη πιστοληπτική</w:t>
      </w:r>
      <w:r w:rsidR="00914744" w:rsidRPr="00914744">
        <w:rPr>
          <w:rFonts w:ascii="Arial" w:hAnsi="Arial" w:cs="Arial"/>
          <w:b/>
          <w:bCs/>
          <w:sz w:val="18"/>
          <w:szCs w:val="18"/>
          <w:lang w:val="el-GR"/>
        </w:rPr>
        <w:t xml:space="preserve"> </w:t>
      </w:r>
      <w:r w:rsidR="00914744" w:rsidRPr="006A1797">
        <w:rPr>
          <w:rFonts w:ascii="Arial" w:hAnsi="Arial" w:cs="Arial"/>
          <w:b/>
          <w:bCs/>
          <w:sz w:val="18"/>
          <w:szCs w:val="18"/>
          <w:lang w:val="el-GR"/>
        </w:rPr>
        <w:t>αξιολόγηση</w:t>
      </w:r>
      <w:r w:rsidR="00CD557B" w:rsidRPr="006A1797">
        <w:rPr>
          <w:rFonts w:ascii="Arial" w:hAnsi="Arial" w:cs="Arial"/>
          <w:b/>
          <w:bCs/>
          <w:sz w:val="18"/>
          <w:szCs w:val="18"/>
          <w:lang w:val="el-GR"/>
        </w:rPr>
        <w:t xml:space="preserve"> της Τράπεζας από το 2011</w:t>
      </w:r>
      <w:r w:rsidR="00CD557B">
        <w:rPr>
          <w:rFonts w:ascii="Arial" w:hAnsi="Arial" w:cs="Arial"/>
          <w:sz w:val="18"/>
          <w:szCs w:val="18"/>
          <w:lang w:val="el-GR"/>
        </w:rPr>
        <w:t xml:space="preserve">. </w:t>
      </w:r>
      <w:r w:rsidR="00826F6C">
        <w:rPr>
          <w:rFonts w:ascii="Arial" w:hAnsi="Arial" w:cs="Arial"/>
          <w:sz w:val="18"/>
          <w:szCs w:val="18"/>
          <w:lang w:val="el-GR"/>
        </w:rPr>
        <w:t>Η σταθερή προοπτική εξισορροπεί τις πιθανές περεταίρω βελτιώσεις της ποιότητας του δανειακού χαρτοφυλακίου έναντι των χαμηλότερων, ομαλοποιημένων δεικτών κερδοφορίας, το</w:t>
      </w:r>
      <w:r w:rsidR="00AE667D" w:rsidRPr="00CB38F0">
        <w:rPr>
          <w:rFonts w:ascii="Arial" w:hAnsi="Arial" w:cs="Arial"/>
          <w:sz w:val="18"/>
          <w:szCs w:val="18"/>
          <w:lang w:val="el-GR"/>
        </w:rPr>
        <w:t xml:space="preserve"> </w:t>
      </w:r>
      <w:r w:rsidR="00826F6C">
        <w:rPr>
          <w:rFonts w:ascii="Arial" w:hAnsi="Arial" w:cs="Arial"/>
          <w:sz w:val="18"/>
          <w:szCs w:val="18"/>
          <w:lang w:val="el-GR"/>
        </w:rPr>
        <w:t xml:space="preserve">σταθερό λειτουργικό περιβάλλον, </w:t>
      </w:r>
      <w:r w:rsidR="00826F6C" w:rsidRPr="00AE667D">
        <w:rPr>
          <w:rFonts w:ascii="Arial" w:hAnsi="Arial" w:cs="Arial"/>
          <w:sz w:val="18"/>
          <w:szCs w:val="18"/>
          <w:lang w:val="el-GR"/>
        </w:rPr>
        <w:t xml:space="preserve">καθώς και τους σταθερούς δείκτες χρηματοδότησης, ρευστότητας και κεφαλαίου. </w:t>
      </w:r>
      <w:r w:rsidR="00AE667D" w:rsidRPr="00AE667D">
        <w:rPr>
          <w:rFonts w:ascii="Arial" w:hAnsi="Arial" w:cs="Arial"/>
          <w:sz w:val="18"/>
          <w:szCs w:val="18"/>
          <w:lang w:val="el-GR"/>
        </w:rPr>
        <w:t xml:space="preserve">Επιπρόσθετα, τον Ιούλιο 2024, </w:t>
      </w:r>
      <w:r w:rsidR="00AE667D" w:rsidRPr="00CB38F0">
        <w:rPr>
          <w:rFonts w:ascii="Arial" w:hAnsi="Arial" w:cs="Arial"/>
          <w:sz w:val="18"/>
          <w:szCs w:val="18"/>
          <w:lang w:val="el-GR"/>
        </w:rPr>
        <w:t xml:space="preserve">ο οίκος </w:t>
      </w:r>
      <w:r w:rsidR="00AE667D" w:rsidRPr="00CB38F0">
        <w:rPr>
          <w:rFonts w:ascii="Arial" w:hAnsi="Arial" w:cs="Arial"/>
          <w:b/>
          <w:bCs/>
          <w:sz w:val="18"/>
          <w:szCs w:val="18"/>
          <w:lang w:val="el-GR"/>
        </w:rPr>
        <w:t>Fitch Ratings</w:t>
      </w:r>
      <w:r w:rsidR="00AE667D" w:rsidRPr="00CB38F0">
        <w:rPr>
          <w:rFonts w:ascii="Arial" w:hAnsi="Arial" w:cs="Arial"/>
          <w:sz w:val="18"/>
          <w:szCs w:val="18"/>
          <w:lang w:val="el-GR"/>
        </w:rPr>
        <w:t xml:space="preserve"> </w:t>
      </w:r>
      <w:r w:rsidR="00AE667D" w:rsidRPr="00914744">
        <w:rPr>
          <w:rFonts w:ascii="Arial" w:hAnsi="Arial" w:cs="Arial"/>
          <w:b/>
          <w:bCs/>
          <w:sz w:val="18"/>
          <w:szCs w:val="18"/>
          <w:lang w:val="el-GR"/>
        </w:rPr>
        <w:t>αναβάθμισε</w:t>
      </w:r>
      <w:r w:rsidR="00AE667D" w:rsidRPr="00CB38F0">
        <w:rPr>
          <w:rFonts w:ascii="Arial" w:hAnsi="Arial" w:cs="Arial"/>
          <w:sz w:val="18"/>
          <w:szCs w:val="18"/>
          <w:lang w:val="el-GR"/>
        </w:rPr>
        <w:t xml:space="preserve"> τη μακροπρόθεσμη αξιολόγηση της Τράπεζας σε Β</w:t>
      </w:r>
      <w:r w:rsidR="00AE667D" w:rsidRPr="00CB38F0">
        <w:rPr>
          <w:rFonts w:ascii="Arial" w:hAnsi="Arial" w:cs="Arial"/>
          <w:sz w:val="18"/>
          <w:szCs w:val="18"/>
          <w:lang w:val="en-US"/>
        </w:rPr>
        <w:t>B</w:t>
      </w:r>
      <w:r w:rsidR="00AE667D" w:rsidRPr="00CB38F0">
        <w:rPr>
          <w:rFonts w:ascii="Arial" w:hAnsi="Arial" w:cs="Arial"/>
          <w:sz w:val="18"/>
          <w:szCs w:val="18"/>
          <w:lang w:val="el-GR"/>
        </w:rPr>
        <w:t>+ από B</w:t>
      </w:r>
      <w:r w:rsidR="00AE667D" w:rsidRPr="00CB38F0">
        <w:rPr>
          <w:rFonts w:ascii="Arial" w:hAnsi="Arial" w:cs="Arial"/>
          <w:sz w:val="18"/>
          <w:szCs w:val="18"/>
          <w:lang w:val="en-US"/>
        </w:rPr>
        <w:t>B</w:t>
      </w:r>
      <w:r w:rsidR="00AE667D" w:rsidRPr="00CB38F0">
        <w:rPr>
          <w:rFonts w:ascii="Arial" w:hAnsi="Arial" w:cs="Arial"/>
          <w:sz w:val="18"/>
          <w:szCs w:val="18"/>
          <w:lang w:val="el-GR"/>
        </w:rPr>
        <w:t xml:space="preserve">, διατηρώντας παράλληλα τη θετική προοπτική. </w:t>
      </w:r>
      <w:r w:rsidR="00AE667D" w:rsidRPr="00CB38F0">
        <w:rPr>
          <w:rFonts w:ascii="Arial" w:hAnsi="Arial" w:cs="Arial"/>
          <w:bCs/>
          <w:sz w:val="18"/>
          <w:szCs w:val="18"/>
          <w:lang w:val="el-GR" w:eastAsia="en-US"/>
        </w:rPr>
        <w:t xml:space="preserve">Η αναβάθμιση κατά μία βαθμίδα αντικατοπτρίζει ένα συνδυασμό της βελτιωμένης αξιολόγησης του κυπριακού λειτουργικού περιβάλλοντος από τον οίκο </w:t>
      </w:r>
      <w:r w:rsidR="00AE667D" w:rsidRPr="00CB38F0">
        <w:rPr>
          <w:rFonts w:ascii="Arial" w:hAnsi="Arial" w:cs="Arial"/>
          <w:sz w:val="18"/>
          <w:szCs w:val="18"/>
          <w:lang w:val="el-GR"/>
        </w:rPr>
        <w:t>Fitch Ratings, του μειωμένου χρέους του ιδιωτικού τομέα, της αναμενόμενης συνεχιζόμενής οικονομικής ανάπτυξης, της ενισχυμένης κεφαλαιοποίησής της Τράπεζας, καθώς και του μειωμένου αποθέματος παλαιών προβληματικών στοιχείων ενεργητικού.</w:t>
      </w:r>
      <w:r w:rsidR="00AE667D" w:rsidRPr="00AE667D">
        <w:rPr>
          <w:rFonts w:ascii="Arial" w:hAnsi="Arial" w:cs="Arial"/>
          <w:sz w:val="18"/>
          <w:szCs w:val="18"/>
          <w:lang w:val="el-GR"/>
        </w:rPr>
        <w:t xml:space="preserve"> </w:t>
      </w:r>
      <w:r w:rsidR="00204DBF" w:rsidRPr="00CB38F0">
        <w:rPr>
          <w:rFonts w:ascii="Arial" w:hAnsi="Arial" w:cs="Arial"/>
          <w:sz w:val="18"/>
          <w:szCs w:val="18"/>
          <w:lang w:val="el-GR"/>
        </w:rPr>
        <w:t xml:space="preserve">Τον </w:t>
      </w:r>
      <w:r w:rsidR="00AE667D" w:rsidRPr="00CB38F0">
        <w:rPr>
          <w:rFonts w:ascii="Arial" w:hAnsi="Arial" w:cs="Arial"/>
          <w:sz w:val="18"/>
          <w:szCs w:val="18"/>
          <w:lang w:val="el-GR"/>
        </w:rPr>
        <w:t>Ιούνιο 2024</w:t>
      </w:r>
      <w:r w:rsidR="00204DBF" w:rsidRPr="00CB38F0">
        <w:rPr>
          <w:rFonts w:ascii="Arial" w:hAnsi="Arial" w:cs="Arial"/>
          <w:sz w:val="18"/>
          <w:szCs w:val="18"/>
          <w:lang w:val="el-GR"/>
        </w:rPr>
        <w:t xml:space="preserve">, ο οίκος </w:t>
      </w:r>
      <w:r w:rsidR="00204DBF" w:rsidRPr="00CB38F0">
        <w:rPr>
          <w:rFonts w:ascii="Arial" w:eastAsia="Times New Roman" w:hAnsi="Arial" w:cs="Arial"/>
          <w:b/>
          <w:bCs/>
          <w:sz w:val="18"/>
          <w:szCs w:val="18"/>
          <w:lang w:eastAsia="en-US"/>
        </w:rPr>
        <w:t>S</w:t>
      </w:r>
      <w:r w:rsidR="00204DBF" w:rsidRPr="00CB38F0">
        <w:rPr>
          <w:rFonts w:ascii="Arial" w:eastAsia="Times New Roman" w:hAnsi="Arial" w:cs="Arial"/>
          <w:b/>
          <w:bCs/>
          <w:sz w:val="18"/>
          <w:szCs w:val="18"/>
          <w:lang w:val="el-GR" w:eastAsia="en-US"/>
        </w:rPr>
        <w:t>&amp;</w:t>
      </w:r>
      <w:r w:rsidR="00204DBF" w:rsidRPr="00CB38F0">
        <w:rPr>
          <w:rFonts w:ascii="Arial" w:eastAsia="Times New Roman" w:hAnsi="Arial" w:cs="Arial"/>
          <w:b/>
          <w:bCs/>
          <w:sz w:val="18"/>
          <w:szCs w:val="18"/>
          <w:lang w:eastAsia="en-US"/>
        </w:rPr>
        <w:t>P</w:t>
      </w:r>
      <w:r w:rsidR="00204DBF" w:rsidRPr="00CB38F0">
        <w:rPr>
          <w:rFonts w:ascii="Arial" w:eastAsia="Times New Roman" w:hAnsi="Arial" w:cs="Arial"/>
          <w:b/>
          <w:bCs/>
          <w:sz w:val="18"/>
          <w:szCs w:val="18"/>
          <w:lang w:val="el-GR" w:eastAsia="en-US"/>
        </w:rPr>
        <w:t xml:space="preserve"> </w:t>
      </w:r>
      <w:r w:rsidR="00204DBF" w:rsidRPr="00CB38F0">
        <w:rPr>
          <w:rFonts w:ascii="Arial" w:eastAsia="Times New Roman" w:hAnsi="Arial" w:cs="Arial"/>
          <w:b/>
          <w:bCs/>
          <w:sz w:val="18"/>
          <w:szCs w:val="18"/>
          <w:lang w:eastAsia="en-US"/>
        </w:rPr>
        <w:t>Global</w:t>
      </w:r>
      <w:r w:rsidR="00204DBF" w:rsidRPr="00CB38F0">
        <w:rPr>
          <w:rFonts w:ascii="Arial" w:eastAsia="Times New Roman" w:hAnsi="Arial" w:cs="Arial"/>
          <w:b/>
          <w:bCs/>
          <w:sz w:val="18"/>
          <w:szCs w:val="18"/>
          <w:lang w:val="el-GR" w:eastAsia="en-US"/>
        </w:rPr>
        <w:t xml:space="preserve"> </w:t>
      </w:r>
      <w:r w:rsidR="00204DBF" w:rsidRPr="00CB38F0">
        <w:rPr>
          <w:rFonts w:ascii="Arial" w:eastAsia="Times New Roman" w:hAnsi="Arial" w:cs="Arial"/>
          <w:b/>
          <w:bCs/>
          <w:sz w:val="18"/>
          <w:szCs w:val="18"/>
          <w:lang w:eastAsia="en-US"/>
        </w:rPr>
        <w:t>Ratings</w:t>
      </w:r>
      <w:r w:rsidR="00204DBF" w:rsidRPr="00CB38F0">
        <w:rPr>
          <w:rFonts w:ascii="Arial" w:hAnsi="Arial" w:cs="Arial"/>
          <w:sz w:val="18"/>
          <w:szCs w:val="18"/>
          <w:lang w:val="el-GR"/>
        </w:rPr>
        <w:t xml:space="preserve"> </w:t>
      </w:r>
      <w:r w:rsidR="00204DBF" w:rsidRPr="00914744">
        <w:rPr>
          <w:rFonts w:ascii="Arial" w:hAnsi="Arial" w:cs="Arial"/>
          <w:b/>
          <w:bCs/>
          <w:sz w:val="18"/>
          <w:szCs w:val="18"/>
          <w:lang w:val="el-GR"/>
        </w:rPr>
        <w:t>αναβάθμισε</w:t>
      </w:r>
      <w:r w:rsidR="00204DBF" w:rsidRPr="00CB38F0">
        <w:rPr>
          <w:rFonts w:ascii="Arial" w:hAnsi="Arial" w:cs="Arial"/>
          <w:sz w:val="18"/>
          <w:szCs w:val="18"/>
          <w:lang w:val="el-GR"/>
        </w:rPr>
        <w:t xml:space="preserve"> τη μακροπρόθεσμη πιστοληπτική ικανότητα της Τράπεζας σε BB</w:t>
      </w:r>
      <w:r w:rsidR="00AE667D" w:rsidRPr="00CB38F0">
        <w:rPr>
          <w:rFonts w:ascii="Arial" w:hAnsi="Arial" w:cs="Arial"/>
          <w:sz w:val="18"/>
          <w:szCs w:val="18"/>
          <w:lang w:val="el-GR"/>
        </w:rPr>
        <w:t>+</w:t>
      </w:r>
      <w:r w:rsidR="00204DBF" w:rsidRPr="00CB38F0">
        <w:rPr>
          <w:rFonts w:ascii="Arial" w:hAnsi="Arial" w:cs="Arial"/>
          <w:sz w:val="18"/>
          <w:szCs w:val="18"/>
          <w:lang w:val="el-GR"/>
        </w:rPr>
        <w:t>, διατηρώντας την προοπτική σε θετική.</w:t>
      </w:r>
      <w:r w:rsidR="001446D1" w:rsidRPr="00CB38F0">
        <w:rPr>
          <w:rFonts w:ascii="Arial" w:hAnsi="Arial" w:cs="Arial"/>
          <w:sz w:val="18"/>
          <w:szCs w:val="18"/>
          <w:lang w:val="el-GR"/>
        </w:rPr>
        <w:t xml:space="preserve"> </w:t>
      </w:r>
      <w:r w:rsidR="00204DBF" w:rsidRPr="00CB38F0">
        <w:rPr>
          <w:rFonts w:ascii="Arial" w:hAnsi="Arial" w:cs="Arial"/>
          <w:sz w:val="18"/>
          <w:szCs w:val="18"/>
          <w:lang w:val="el-GR"/>
        </w:rPr>
        <w:t xml:space="preserve">Η αναβάθμιση κατά μια βαθμίδα </w:t>
      </w:r>
      <w:r w:rsidR="00533B0F">
        <w:rPr>
          <w:rFonts w:ascii="Arial" w:hAnsi="Arial" w:cs="Arial"/>
          <w:sz w:val="18"/>
          <w:szCs w:val="18"/>
          <w:lang w:val="el-GR"/>
        </w:rPr>
        <w:t>οφείλεται στη μείωση των οικονομικών ανισορροπιών, στην</w:t>
      </w:r>
      <w:r w:rsidR="00533B0F" w:rsidRPr="00353665">
        <w:rPr>
          <w:rFonts w:ascii="Arial" w:hAnsi="Arial" w:cs="Arial"/>
          <w:sz w:val="18"/>
          <w:szCs w:val="18"/>
          <w:lang w:val="el-GR"/>
        </w:rPr>
        <w:t xml:space="preserve"> </w:t>
      </w:r>
      <w:r w:rsidR="00533B0F">
        <w:rPr>
          <w:rFonts w:ascii="Arial" w:hAnsi="Arial" w:cs="Arial"/>
          <w:sz w:val="18"/>
          <w:szCs w:val="18"/>
          <w:lang w:val="el-GR"/>
        </w:rPr>
        <w:t>ισχυρή</w:t>
      </w:r>
      <w:r w:rsidR="00533B0F" w:rsidRPr="00353665">
        <w:rPr>
          <w:rFonts w:ascii="Arial" w:hAnsi="Arial" w:cs="Arial"/>
          <w:sz w:val="18"/>
          <w:szCs w:val="18"/>
          <w:lang w:val="el-GR"/>
        </w:rPr>
        <w:t xml:space="preserve"> κεφαλαιοποίησή της Τράπεζας</w:t>
      </w:r>
      <w:r w:rsidR="00533B0F">
        <w:rPr>
          <w:rFonts w:ascii="Arial" w:hAnsi="Arial" w:cs="Arial"/>
          <w:sz w:val="18"/>
          <w:szCs w:val="18"/>
          <w:lang w:val="el-GR"/>
        </w:rPr>
        <w:t xml:space="preserve">, στις ευνοϊκές οικονομικές συνθήκες και στην ισχυρή κερδοφορία, που απορρέει από τη βελτιωμένη αποδοτικότητα και τη μειωμένη </w:t>
      </w:r>
      <w:r w:rsidR="00533B0F" w:rsidRPr="00CB38F0">
        <w:rPr>
          <w:rFonts w:ascii="Arial" w:hAnsi="Arial" w:cs="Arial"/>
          <w:sz w:val="18"/>
          <w:szCs w:val="18"/>
          <w:lang w:val="el-GR"/>
        </w:rPr>
        <w:t>χρέωση πιστωτικών ζημιών δανείων (cost of risk).</w:t>
      </w:r>
      <w:r w:rsidR="00533B0F">
        <w:rPr>
          <w:lang w:val="el-GR"/>
        </w:rPr>
        <w:t xml:space="preserve"> </w:t>
      </w:r>
    </w:p>
    <w:p w14:paraId="50C55D0C" w14:textId="77777777" w:rsidR="00CE36EC" w:rsidRPr="006B5511" w:rsidRDefault="00CE36EC" w:rsidP="00CE36EC">
      <w:pPr>
        <w:spacing w:after="0" w:line="240" w:lineRule="auto"/>
        <w:jc w:val="both"/>
        <w:rPr>
          <w:rFonts w:ascii="Arial" w:hAnsi="Arial" w:cs="Arial"/>
          <w:bCs/>
          <w:sz w:val="14"/>
          <w:szCs w:val="14"/>
          <w:highlight w:val="yellow"/>
          <w:lang w:val="el-GR"/>
        </w:rPr>
      </w:pPr>
    </w:p>
    <w:p w14:paraId="4D34A164" w14:textId="77777777" w:rsidR="006C64C2" w:rsidRPr="006A1797" w:rsidRDefault="006C64C2" w:rsidP="006C64C2">
      <w:pPr>
        <w:spacing w:after="0" w:line="360" w:lineRule="auto"/>
        <w:jc w:val="both"/>
        <w:rPr>
          <w:rFonts w:ascii="Arial" w:hAnsi="Arial" w:cs="Arial"/>
          <w:sz w:val="18"/>
          <w:lang w:val="el-GR"/>
        </w:rPr>
      </w:pPr>
      <w:r w:rsidRPr="006A1797">
        <w:rPr>
          <w:rFonts w:ascii="Arial" w:hAnsi="Arial" w:cs="Arial"/>
          <w:b/>
          <w:color w:val="FF9900"/>
          <w:szCs w:val="20"/>
          <w:lang w:val="el-GR"/>
        </w:rPr>
        <w:t>Χρηματοοικονομική Επίδοση</w:t>
      </w:r>
    </w:p>
    <w:p w14:paraId="38E3AB32" w14:textId="3CDDEC8D" w:rsidR="006C64C2" w:rsidRPr="006A1797" w:rsidRDefault="006C64C2" w:rsidP="00232938">
      <w:pPr>
        <w:spacing w:after="0" w:line="240" w:lineRule="auto"/>
        <w:jc w:val="both"/>
        <w:rPr>
          <w:rFonts w:ascii="Arial" w:hAnsi="Arial" w:cs="Arial"/>
          <w:sz w:val="18"/>
          <w:lang w:val="el-GR"/>
        </w:rPr>
      </w:pPr>
      <w:r w:rsidRPr="003B734E">
        <w:rPr>
          <w:rFonts w:ascii="Arial" w:hAnsi="Arial" w:cs="Arial"/>
          <w:sz w:val="18"/>
          <w:lang w:val="el-GR"/>
        </w:rPr>
        <w:t xml:space="preserve">Το Συγκρότημα ηγείται ως χρηματοοικονομικός και τεχνολογικός οργανισμός στην Κύπρο. Κατά το </w:t>
      </w:r>
      <w:r w:rsidR="00981563" w:rsidRPr="003B734E">
        <w:rPr>
          <w:rFonts w:ascii="Arial" w:hAnsi="Arial" w:cs="Arial"/>
          <w:sz w:val="18"/>
          <w:lang w:val="el-GR"/>
        </w:rPr>
        <w:t xml:space="preserve">εξάμηνο </w:t>
      </w:r>
      <w:r w:rsidRPr="003B734E">
        <w:rPr>
          <w:rFonts w:ascii="Arial" w:hAnsi="Arial" w:cs="Arial"/>
          <w:sz w:val="18"/>
          <w:lang w:val="el-GR"/>
        </w:rPr>
        <w:t xml:space="preserve">που έληξε στις </w:t>
      </w:r>
      <w:r w:rsidR="00981563" w:rsidRPr="003B734E">
        <w:rPr>
          <w:rFonts w:ascii="Arial" w:hAnsi="Arial" w:cs="Arial"/>
          <w:sz w:val="18"/>
          <w:lang w:val="el-GR"/>
        </w:rPr>
        <w:t xml:space="preserve">30 Ιουνίου </w:t>
      </w:r>
      <w:r w:rsidR="008C0C3E" w:rsidRPr="003B734E">
        <w:rPr>
          <w:rFonts w:ascii="Arial" w:hAnsi="Arial" w:cs="Arial"/>
          <w:sz w:val="18"/>
          <w:lang w:val="el-GR"/>
        </w:rPr>
        <w:t>2024</w:t>
      </w:r>
      <w:r w:rsidRPr="003B734E">
        <w:rPr>
          <w:rFonts w:ascii="Arial" w:hAnsi="Arial" w:cs="Arial"/>
          <w:sz w:val="18"/>
          <w:lang w:val="el-GR"/>
        </w:rPr>
        <w:t xml:space="preserve">, το Συγκρότημα </w:t>
      </w:r>
      <w:r w:rsidR="008C0C3E" w:rsidRPr="003B734E">
        <w:rPr>
          <w:rFonts w:ascii="Arial" w:hAnsi="Arial" w:cs="Arial"/>
          <w:sz w:val="18"/>
          <w:lang w:val="el-GR"/>
        </w:rPr>
        <w:t>κατέγραψε κέρδη μετά τη φορολογία ύψους €</w:t>
      </w:r>
      <w:r w:rsidR="00981563" w:rsidRPr="003B734E">
        <w:rPr>
          <w:rFonts w:ascii="Arial" w:hAnsi="Arial" w:cs="Arial"/>
          <w:sz w:val="18"/>
          <w:lang w:val="el-GR"/>
        </w:rPr>
        <w:t xml:space="preserve">270 </w:t>
      </w:r>
      <w:r w:rsidR="008C0C3E" w:rsidRPr="003B734E">
        <w:rPr>
          <w:rFonts w:ascii="Arial" w:hAnsi="Arial" w:cs="Arial"/>
          <w:sz w:val="18"/>
          <w:lang w:val="el-GR"/>
        </w:rPr>
        <w:t>εκατ</w:t>
      </w:r>
      <w:r w:rsidR="00981563" w:rsidRPr="003B734E">
        <w:rPr>
          <w:rFonts w:ascii="Arial" w:hAnsi="Arial" w:cs="Arial"/>
          <w:sz w:val="18"/>
          <w:lang w:val="el-GR"/>
        </w:rPr>
        <w:t>.</w:t>
      </w:r>
      <w:r w:rsidR="008C0C3E" w:rsidRPr="003B734E">
        <w:rPr>
          <w:rFonts w:ascii="Arial" w:hAnsi="Arial" w:cs="Arial"/>
          <w:sz w:val="18"/>
          <w:lang w:val="el-GR"/>
        </w:rPr>
        <w:t xml:space="preserve">, που </w:t>
      </w:r>
      <w:r w:rsidR="00E02741" w:rsidRPr="003B734E">
        <w:rPr>
          <w:rFonts w:ascii="Arial" w:hAnsi="Arial" w:cs="Arial"/>
          <w:sz w:val="18"/>
          <w:lang w:val="el-GR"/>
        </w:rPr>
        <w:t xml:space="preserve">ισοδυναμούν </w:t>
      </w:r>
      <w:r w:rsidR="008C0C3E" w:rsidRPr="003B734E">
        <w:rPr>
          <w:rFonts w:ascii="Arial" w:hAnsi="Arial" w:cs="Arial"/>
          <w:sz w:val="18"/>
          <w:lang w:val="el-GR"/>
        </w:rPr>
        <w:t xml:space="preserve">σε </w:t>
      </w:r>
      <w:r w:rsidRPr="003B734E">
        <w:rPr>
          <w:rFonts w:ascii="Arial" w:hAnsi="Arial" w:cs="Arial"/>
          <w:sz w:val="18"/>
          <w:lang w:val="el-GR"/>
        </w:rPr>
        <w:t xml:space="preserve">Απόδοση Ενσώματων Ιδίων Κεφαλαίων (ROTE) ύψους </w:t>
      </w:r>
      <w:r w:rsidR="00981563" w:rsidRPr="003B734E">
        <w:rPr>
          <w:rFonts w:ascii="Arial" w:hAnsi="Arial" w:cs="Arial"/>
          <w:sz w:val="18"/>
          <w:lang w:val="el-GR"/>
        </w:rPr>
        <w:t>23.7</w:t>
      </w:r>
      <w:r w:rsidRPr="003B734E">
        <w:rPr>
          <w:rFonts w:ascii="Arial" w:hAnsi="Arial" w:cs="Arial"/>
          <w:sz w:val="18"/>
          <w:lang w:val="el-GR"/>
        </w:rPr>
        <w:t>%,</w:t>
      </w:r>
      <w:r w:rsidR="00981563" w:rsidRPr="003B734E">
        <w:rPr>
          <w:rFonts w:ascii="Arial" w:hAnsi="Arial" w:cs="Arial"/>
          <w:sz w:val="18"/>
          <w:lang w:val="el-GR"/>
        </w:rPr>
        <w:t xml:space="preserve"> αποδεικνύοντας τη βιωσιμότητα του επιχειρηματικού </w:t>
      </w:r>
      <w:r w:rsidR="007357EF" w:rsidRPr="003B734E">
        <w:rPr>
          <w:rFonts w:ascii="Arial" w:hAnsi="Arial" w:cs="Arial"/>
          <w:sz w:val="18"/>
          <w:lang w:val="el-GR"/>
        </w:rPr>
        <w:t>του</w:t>
      </w:r>
      <w:r w:rsidR="00981563" w:rsidRPr="003B734E">
        <w:rPr>
          <w:rFonts w:ascii="Arial" w:hAnsi="Arial" w:cs="Arial"/>
          <w:sz w:val="18"/>
          <w:lang w:val="el-GR"/>
        </w:rPr>
        <w:t xml:space="preserve"> μοντέλου. Η ισχυρή αυτή </w:t>
      </w:r>
      <w:r w:rsidR="008108E0" w:rsidRPr="003B734E">
        <w:rPr>
          <w:rFonts w:ascii="Arial" w:hAnsi="Arial" w:cs="Arial"/>
          <w:sz w:val="18"/>
          <w:lang w:val="el-GR"/>
        </w:rPr>
        <w:t xml:space="preserve">επίδοση </w:t>
      </w:r>
      <w:r w:rsidR="00E02741" w:rsidRPr="003B734E">
        <w:rPr>
          <w:rFonts w:ascii="Arial" w:hAnsi="Arial" w:cs="Arial"/>
          <w:sz w:val="18"/>
          <w:lang w:val="el-GR"/>
        </w:rPr>
        <w:t xml:space="preserve">υποστηρίζεται από τα ισχυρά </w:t>
      </w:r>
      <w:r w:rsidR="007357EF" w:rsidRPr="003B734E">
        <w:rPr>
          <w:rFonts w:ascii="Arial" w:hAnsi="Arial" w:cs="Arial"/>
          <w:sz w:val="18"/>
          <w:lang w:val="el-GR"/>
        </w:rPr>
        <w:t xml:space="preserve">και </w:t>
      </w:r>
      <w:r w:rsidR="00981563" w:rsidRPr="003B734E">
        <w:rPr>
          <w:rFonts w:ascii="Arial" w:hAnsi="Arial" w:cs="Arial"/>
          <w:sz w:val="18"/>
          <w:lang w:val="el-GR"/>
        </w:rPr>
        <w:t xml:space="preserve">ανθεκτικά </w:t>
      </w:r>
      <w:r w:rsidR="00E02741" w:rsidRPr="003B734E">
        <w:rPr>
          <w:rFonts w:ascii="Arial" w:hAnsi="Arial" w:cs="Arial"/>
          <w:sz w:val="18"/>
          <w:lang w:val="el-GR"/>
        </w:rPr>
        <w:t>καθαρά έσοδα από τόκους</w:t>
      </w:r>
      <w:r w:rsidR="00981563" w:rsidRPr="003B734E">
        <w:rPr>
          <w:rFonts w:ascii="Arial" w:hAnsi="Arial" w:cs="Arial"/>
          <w:sz w:val="18"/>
          <w:lang w:val="el-GR"/>
        </w:rPr>
        <w:t xml:space="preserve">, τη </w:t>
      </w:r>
      <w:r w:rsidR="007357EF" w:rsidRPr="003B734E">
        <w:rPr>
          <w:rFonts w:ascii="Arial" w:hAnsi="Arial" w:cs="Arial"/>
          <w:sz w:val="18"/>
          <w:lang w:val="el-GR"/>
        </w:rPr>
        <w:t>συνεχ</w:t>
      </w:r>
      <w:r w:rsidR="003B734E" w:rsidRPr="003B734E">
        <w:rPr>
          <w:rFonts w:ascii="Arial" w:hAnsi="Arial" w:cs="Arial"/>
          <w:sz w:val="18"/>
          <w:lang w:val="el-GR"/>
        </w:rPr>
        <w:t xml:space="preserve">ή </w:t>
      </w:r>
      <w:r w:rsidR="00E02741" w:rsidRPr="003B734E">
        <w:rPr>
          <w:rFonts w:ascii="Arial" w:hAnsi="Arial" w:cs="Arial"/>
          <w:sz w:val="18"/>
          <w:lang w:val="el-GR"/>
        </w:rPr>
        <w:t>διαχείριση</w:t>
      </w:r>
      <w:r w:rsidR="00E02741" w:rsidRPr="006A1797">
        <w:rPr>
          <w:rFonts w:ascii="Arial" w:hAnsi="Arial" w:cs="Arial"/>
          <w:sz w:val="18"/>
          <w:lang w:val="el-GR"/>
        </w:rPr>
        <w:t xml:space="preserve"> κόστους</w:t>
      </w:r>
      <w:r w:rsidR="00981563" w:rsidRPr="006A1797">
        <w:rPr>
          <w:rFonts w:ascii="Arial" w:hAnsi="Arial" w:cs="Arial"/>
          <w:sz w:val="18"/>
          <w:lang w:val="el-GR"/>
        </w:rPr>
        <w:t xml:space="preserve"> παρά </w:t>
      </w:r>
      <w:r w:rsidR="007357EF">
        <w:rPr>
          <w:rFonts w:ascii="Arial" w:hAnsi="Arial" w:cs="Arial"/>
          <w:sz w:val="18"/>
          <w:lang w:val="el-GR"/>
        </w:rPr>
        <w:t>των πληθωριστικών πιέσεων</w:t>
      </w:r>
      <w:r w:rsidR="003A1A0F" w:rsidRPr="006A1797">
        <w:rPr>
          <w:rFonts w:ascii="Arial" w:hAnsi="Arial" w:cs="Arial"/>
          <w:sz w:val="18"/>
          <w:lang w:val="el-GR"/>
        </w:rPr>
        <w:t xml:space="preserve"> καθώς και τη χαμηλή</w:t>
      </w:r>
      <w:r w:rsidR="003A1A0F" w:rsidRPr="00232938">
        <w:rPr>
          <w:rFonts w:ascii="Arial" w:hAnsi="Arial" w:cs="Arial"/>
          <w:sz w:val="18"/>
          <w:szCs w:val="18"/>
          <w:lang w:val="el-GR"/>
        </w:rPr>
        <w:t xml:space="preserve"> χρέωση πιστωτικών ζημιών δανείων (cost of risk)</w:t>
      </w:r>
      <w:r w:rsidR="003A1A0F" w:rsidRPr="006A1797">
        <w:rPr>
          <w:rFonts w:ascii="Arial" w:hAnsi="Arial" w:cs="Arial"/>
          <w:sz w:val="18"/>
          <w:lang w:val="el-GR"/>
        </w:rPr>
        <w:t xml:space="preserve"> και τροφοδοτεί </w:t>
      </w:r>
      <w:r w:rsidR="003A1A0F" w:rsidRPr="00232938">
        <w:rPr>
          <w:rFonts w:ascii="Arial" w:hAnsi="Arial" w:cs="Arial"/>
          <w:sz w:val="18"/>
          <w:lang w:val="el-GR"/>
        </w:rPr>
        <w:t xml:space="preserve">την </w:t>
      </w:r>
      <w:r w:rsidR="00370C3C" w:rsidRPr="00232938">
        <w:rPr>
          <w:rFonts w:ascii="Arial" w:hAnsi="Arial" w:cs="Arial"/>
          <w:sz w:val="18"/>
          <w:lang w:val="el-GR"/>
        </w:rPr>
        <w:t>ισχυρή</w:t>
      </w:r>
      <w:r w:rsidR="003A1A0F" w:rsidRPr="00232938">
        <w:rPr>
          <w:rFonts w:ascii="Arial" w:hAnsi="Arial" w:cs="Arial"/>
          <w:sz w:val="18"/>
          <w:lang w:val="el-GR"/>
        </w:rPr>
        <w:t xml:space="preserve"> </w:t>
      </w:r>
      <w:r w:rsidR="00370C3C" w:rsidRPr="00232938">
        <w:rPr>
          <w:rFonts w:ascii="Arial" w:hAnsi="Arial" w:cs="Arial"/>
          <w:sz w:val="18"/>
          <w:lang w:val="el-GR"/>
        </w:rPr>
        <w:t>αύξηση</w:t>
      </w:r>
      <w:r w:rsidR="003A1A0F" w:rsidRPr="00232938">
        <w:rPr>
          <w:rFonts w:ascii="Arial" w:hAnsi="Arial" w:cs="Arial"/>
          <w:sz w:val="18"/>
          <w:lang w:val="el-GR"/>
        </w:rPr>
        <w:t xml:space="preserve"> της ενσώματης λογιστικής αξίας</w:t>
      </w:r>
      <w:r w:rsidR="00370C3C" w:rsidRPr="00232938">
        <w:rPr>
          <w:rFonts w:ascii="Arial" w:hAnsi="Arial" w:cs="Arial"/>
          <w:sz w:val="18"/>
          <w:lang w:val="el-GR"/>
        </w:rPr>
        <w:t xml:space="preserve"> ανά μετοχή </w:t>
      </w:r>
      <w:r w:rsidR="003A1A0F" w:rsidRPr="00232938">
        <w:rPr>
          <w:rFonts w:ascii="Arial" w:hAnsi="Arial" w:cs="Arial"/>
          <w:sz w:val="18"/>
          <w:lang w:val="el-GR"/>
        </w:rPr>
        <w:t>του Συγκροτήματος.</w:t>
      </w:r>
      <w:r w:rsidR="00370C3C" w:rsidRPr="00232938">
        <w:rPr>
          <w:rFonts w:ascii="Arial" w:hAnsi="Arial" w:cs="Arial"/>
          <w:sz w:val="18"/>
          <w:lang w:val="el-GR"/>
        </w:rPr>
        <w:t xml:space="preserve"> Από τον Ιούνιο 2023,</w:t>
      </w:r>
      <w:r w:rsidR="00370C3C" w:rsidRPr="006A1797">
        <w:rPr>
          <w:rFonts w:ascii="Arial" w:hAnsi="Arial" w:cs="Arial"/>
          <w:sz w:val="18"/>
          <w:lang w:val="el-GR"/>
        </w:rPr>
        <w:t xml:space="preserve"> η</w:t>
      </w:r>
      <w:r w:rsidRPr="006A1797">
        <w:rPr>
          <w:rFonts w:ascii="Arial" w:hAnsi="Arial" w:cs="Arial"/>
          <w:sz w:val="18"/>
          <w:lang w:val="el-GR"/>
        </w:rPr>
        <w:t xml:space="preserve"> ενσώματη λογιστική αξία ανά μετοχή του Συγκροτήματος βελτιώθηκε κατά </w:t>
      </w:r>
      <w:r w:rsidR="00370C3C" w:rsidRPr="006A1797">
        <w:rPr>
          <w:rFonts w:ascii="Arial" w:hAnsi="Arial" w:cs="Arial"/>
          <w:sz w:val="18"/>
          <w:lang w:val="el-GR"/>
        </w:rPr>
        <w:t>21</w:t>
      </w:r>
      <w:r w:rsidRPr="006A1797">
        <w:rPr>
          <w:rFonts w:ascii="Arial" w:hAnsi="Arial" w:cs="Arial"/>
          <w:sz w:val="18"/>
          <w:lang w:val="el-GR"/>
        </w:rPr>
        <w:t>%, σε €</w:t>
      </w:r>
      <w:bookmarkStart w:id="31" w:name="_Hlk173498910"/>
      <w:r w:rsidR="008108E0" w:rsidRPr="006A1797">
        <w:rPr>
          <w:rFonts w:ascii="Arial" w:hAnsi="Arial" w:cs="Arial"/>
          <w:sz w:val="18"/>
          <w:lang w:val="el-GR"/>
        </w:rPr>
        <w:t>5</w:t>
      </w:r>
      <w:r w:rsidRPr="006A1797">
        <w:rPr>
          <w:rFonts w:ascii="Arial" w:hAnsi="Arial" w:cs="Arial"/>
          <w:sz w:val="18"/>
          <w:lang w:val="el-GR"/>
        </w:rPr>
        <w:t>.</w:t>
      </w:r>
      <w:r w:rsidR="008108E0" w:rsidRPr="006A1797">
        <w:rPr>
          <w:rFonts w:ascii="Arial" w:hAnsi="Arial" w:cs="Arial"/>
          <w:sz w:val="18"/>
          <w:lang w:val="el-GR"/>
        </w:rPr>
        <w:t>2</w:t>
      </w:r>
      <w:r w:rsidR="00370C3C" w:rsidRPr="006A1797">
        <w:rPr>
          <w:rFonts w:ascii="Arial" w:hAnsi="Arial" w:cs="Arial"/>
          <w:sz w:val="18"/>
          <w:lang w:val="el-GR"/>
        </w:rPr>
        <w:t>7</w:t>
      </w:r>
      <w:bookmarkEnd w:id="31"/>
      <w:r w:rsidR="00370C3C" w:rsidRPr="006A1797">
        <w:rPr>
          <w:rFonts w:ascii="Arial" w:hAnsi="Arial" w:cs="Arial"/>
          <w:sz w:val="18"/>
          <w:lang w:val="el-GR"/>
        </w:rPr>
        <w:t xml:space="preserve">, </w:t>
      </w:r>
      <w:r w:rsidR="00370C3C" w:rsidRPr="00232938">
        <w:rPr>
          <w:rFonts w:ascii="Arial" w:hAnsi="Arial" w:cs="Arial"/>
          <w:sz w:val="18"/>
          <w:lang w:val="el-GR"/>
        </w:rPr>
        <w:t xml:space="preserve">επιταχύνοντας τη δημιουργία αξίας για τους μετόχους.  </w:t>
      </w:r>
    </w:p>
    <w:p w14:paraId="47AA3644" w14:textId="77777777" w:rsidR="006C64C2" w:rsidRPr="006A1797" w:rsidRDefault="006C64C2" w:rsidP="005C4C9A">
      <w:pPr>
        <w:spacing w:after="0" w:line="240" w:lineRule="auto"/>
        <w:jc w:val="both"/>
        <w:rPr>
          <w:rFonts w:ascii="Arial" w:hAnsi="Arial" w:cs="Arial"/>
          <w:color w:val="000000" w:themeColor="text1"/>
          <w:sz w:val="18"/>
          <w:szCs w:val="18"/>
          <w:lang w:val="el-GR"/>
        </w:rPr>
      </w:pPr>
    </w:p>
    <w:p w14:paraId="7D7E134E" w14:textId="3AED8810" w:rsidR="00CE36EC" w:rsidRPr="006A1797" w:rsidRDefault="00CE36EC" w:rsidP="00CE36EC">
      <w:pPr>
        <w:spacing w:after="0" w:line="360" w:lineRule="auto"/>
        <w:jc w:val="both"/>
        <w:rPr>
          <w:rFonts w:ascii="Arial" w:hAnsi="Arial" w:cs="Arial"/>
          <w:b/>
          <w:i/>
          <w:iCs/>
          <w:color w:val="FF9900"/>
          <w:sz w:val="20"/>
          <w:lang w:val="el-GR"/>
        </w:rPr>
      </w:pPr>
      <w:r w:rsidRPr="006A1797">
        <w:rPr>
          <w:rFonts w:ascii="Arial" w:hAnsi="Arial" w:cs="Arial"/>
          <w:b/>
          <w:i/>
          <w:iCs/>
          <w:color w:val="FF9900"/>
          <w:sz w:val="20"/>
          <w:lang w:val="el-GR"/>
        </w:rPr>
        <w:t>Περιβάλλον επιτοκίων</w:t>
      </w:r>
    </w:p>
    <w:p w14:paraId="356F0F51" w14:textId="4058403B" w:rsidR="005F342F" w:rsidRDefault="00A21CB9" w:rsidP="00795854">
      <w:pPr>
        <w:pStyle w:val="Default"/>
        <w:jc w:val="both"/>
        <w:rPr>
          <w:sz w:val="18"/>
          <w:szCs w:val="18"/>
          <w:lang w:val="el-GR"/>
        </w:rPr>
      </w:pPr>
      <w:r w:rsidRPr="006A1797">
        <w:rPr>
          <w:bCs/>
          <w:sz w:val="18"/>
          <w:szCs w:val="18"/>
          <w:lang w:val="el-GR"/>
        </w:rPr>
        <w:t>Η ρευστότητα στον</w:t>
      </w:r>
      <w:r w:rsidR="00842024" w:rsidRPr="006A1797">
        <w:rPr>
          <w:bCs/>
          <w:sz w:val="18"/>
          <w:szCs w:val="18"/>
          <w:lang w:val="el-GR"/>
        </w:rPr>
        <w:t xml:space="preserve"> ισολογισμός </w:t>
      </w:r>
      <w:r w:rsidR="00CE36EC" w:rsidRPr="006A1797">
        <w:rPr>
          <w:bCs/>
          <w:sz w:val="18"/>
          <w:szCs w:val="18"/>
          <w:lang w:val="el-GR"/>
        </w:rPr>
        <w:t xml:space="preserve">του Συγκροτήματος </w:t>
      </w:r>
      <w:r w:rsidRPr="006A1797">
        <w:rPr>
          <w:bCs/>
          <w:sz w:val="18"/>
          <w:szCs w:val="18"/>
          <w:lang w:val="el-GR"/>
        </w:rPr>
        <w:t xml:space="preserve">παραμένει υψηλή. </w:t>
      </w:r>
      <w:r w:rsidR="00CE36EC" w:rsidRPr="006A1797">
        <w:rPr>
          <w:sz w:val="18"/>
          <w:szCs w:val="18"/>
          <w:lang w:val="el-GR"/>
        </w:rPr>
        <w:t xml:space="preserve">Στις </w:t>
      </w:r>
      <w:r w:rsidRPr="006A1797">
        <w:rPr>
          <w:sz w:val="18"/>
          <w:szCs w:val="18"/>
          <w:lang w:val="el-GR"/>
        </w:rPr>
        <w:t xml:space="preserve">30 Ιουνίου </w:t>
      </w:r>
      <w:r w:rsidR="000D318B" w:rsidRPr="006A1797">
        <w:rPr>
          <w:sz w:val="18"/>
          <w:szCs w:val="18"/>
          <w:lang w:val="el-GR"/>
        </w:rPr>
        <w:t>2024</w:t>
      </w:r>
      <w:r w:rsidR="00CE36EC" w:rsidRPr="006A1797">
        <w:rPr>
          <w:sz w:val="18"/>
          <w:szCs w:val="18"/>
          <w:lang w:val="el-GR"/>
        </w:rPr>
        <w:t>,</w:t>
      </w:r>
      <w:r w:rsidR="00443409" w:rsidRPr="006A1797">
        <w:rPr>
          <w:sz w:val="18"/>
          <w:szCs w:val="18"/>
          <w:lang w:val="el-GR"/>
        </w:rPr>
        <w:t xml:space="preserve"> </w:t>
      </w:r>
      <w:r w:rsidR="00CE36EC" w:rsidRPr="006A1797">
        <w:rPr>
          <w:sz w:val="18"/>
          <w:szCs w:val="18"/>
          <w:lang w:val="el-GR"/>
        </w:rPr>
        <w:t>οι καταθέσεις μετρητών με την ΕΚΤ</w:t>
      </w:r>
      <w:r w:rsidR="000D318B" w:rsidRPr="006A1797">
        <w:rPr>
          <w:sz w:val="18"/>
          <w:szCs w:val="18"/>
          <w:lang w:val="el-GR"/>
        </w:rPr>
        <w:t xml:space="preserve"> </w:t>
      </w:r>
      <w:r w:rsidR="00CE36EC" w:rsidRPr="006A1797">
        <w:rPr>
          <w:sz w:val="18"/>
          <w:szCs w:val="18"/>
          <w:lang w:val="el-GR"/>
        </w:rPr>
        <w:t>ανήλθαν σε περίπου €</w:t>
      </w:r>
      <w:r w:rsidRPr="006A1797">
        <w:rPr>
          <w:sz w:val="18"/>
          <w:lang w:val="el-GR"/>
        </w:rPr>
        <w:t xml:space="preserve">7.3 </w:t>
      </w:r>
      <w:r w:rsidR="00CE36EC" w:rsidRPr="006A1797">
        <w:rPr>
          <w:sz w:val="18"/>
          <w:szCs w:val="18"/>
          <w:lang w:val="el-GR"/>
        </w:rPr>
        <w:t>δις.</w:t>
      </w:r>
      <w:r w:rsidR="0060652F" w:rsidRPr="006A1797">
        <w:rPr>
          <w:sz w:val="18"/>
          <w:lang w:val="el-GR"/>
        </w:rPr>
        <w:t xml:space="preserve">, καθώς το μεγαλύτερο μέρος του δανειακού χαρτοφυλακίου του Συγκροτήματος </w:t>
      </w:r>
      <w:r w:rsidR="00795854" w:rsidRPr="006A1797">
        <w:rPr>
          <w:sz w:val="18"/>
          <w:lang w:val="el-GR"/>
        </w:rPr>
        <w:t>φέρει</w:t>
      </w:r>
      <w:r w:rsidR="0060652F" w:rsidRPr="006A1797">
        <w:rPr>
          <w:sz w:val="18"/>
          <w:lang w:val="el-GR"/>
        </w:rPr>
        <w:t xml:space="preserve"> κυμαινόμενο επιτόκιο, με</w:t>
      </w:r>
      <w:r w:rsidR="005A34B9" w:rsidRPr="006A1797">
        <w:rPr>
          <w:sz w:val="18"/>
          <w:lang w:val="el-GR"/>
        </w:rPr>
        <w:t xml:space="preserve"> περίπου το 50% του δανειακού χαρτοφυλακίου </w:t>
      </w:r>
      <w:r w:rsidR="0060652F" w:rsidRPr="006A1797">
        <w:rPr>
          <w:sz w:val="18"/>
          <w:lang w:val="el-GR"/>
        </w:rPr>
        <w:t>να</w:t>
      </w:r>
      <w:r w:rsidR="005A34B9" w:rsidRPr="006A1797">
        <w:rPr>
          <w:sz w:val="18"/>
          <w:lang w:val="el-GR"/>
        </w:rPr>
        <w:t xml:space="preserve"> </w:t>
      </w:r>
      <w:r w:rsidR="00842024" w:rsidRPr="006A1797">
        <w:rPr>
          <w:sz w:val="18"/>
          <w:lang w:val="el-GR"/>
        </w:rPr>
        <w:t>τιμολογείται με βάση τ</w:t>
      </w:r>
      <w:r w:rsidR="005A34B9" w:rsidRPr="006A1797">
        <w:rPr>
          <w:sz w:val="18"/>
          <w:lang w:val="el-GR"/>
        </w:rPr>
        <w:t>ο Euribor.</w:t>
      </w:r>
      <w:r w:rsidR="0060652F" w:rsidRPr="006A1797">
        <w:rPr>
          <w:sz w:val="18"/>
          <w:lang w:val="el-GR"/>
        </w:rPr>
        <w:t xml:space="preserve"> Τα</w:t>
      </w:r>
      <w:r w:rsidR="00CE36EC" w:rsidRPr="006A1797">
        <w:rPr>
          <w:sz w:val="18"/>
          <w:szCs w:val="18"/>
          <w:lang w:val="el-GR"/>
        </w:rPr>
        <w:t xml:space="preserve"> καθαρά έσοδα από τόκους για το </w:t>
      </w:r>
      <w:r w:rsidRPr="006A1797">
        <w:rPr>
          <w:sz w:val="18"/>
          <w:szCs w:val="18"/>
          <w:lang w:val="el-GR"/>
        </w:rPr>
        <w:t xml:space="preserve">εξάμηνο </w:t>
      </w:r>
      <w:r w:rsidR="00CE36EC" w:rsidRPr="006A1797">
        <w:rPr>
          <w:sz w:val="18"/>
          <w:szCs w:val="18"/>
          <w:lang w:val="el-GR"/>
        </w:rPr>
        <w:t xml:space="preserve">που έληξε στις </w:t>
      </w:r>
      <w:r w:rsidR="005F342F" w:rsidRPr="006A1797">
        <w:rPr>
          <w:sz w:val="18"/>
          <w:szCs w:val="18"/>
          <w:lang w:val="el-GR"/>
        </w:rPr>
        <w:t xml:space="preserve">30 </w:t>
      </w:r>
      <w:r w:rsidRPr="006A1797">
        <w:rPr>
          <w:sz w:val="18"/>
          <w:szCs w:val="18"/>
          <w:lang w:val="el-GR"/>
        </w:rPr>
        <w:t xml:space="preserve">Ιουνίου </w:t>
      </w:r>
      <w:r w:rsidR="0060652F" w:rsidRPr="006A1797">
        <w:rPr>
          <w:sz w:val="18"/>
          <w:szCs w:val="18"/>
          <w:lang w:val="el-GR"/>
        </w:rPr>
        <w:t>2024</w:t>
      </w:r>
      <w:r w:rsidR="00795854" w:rsidRPr="006A1797">
        <w:rPr>
          <w:sz w:val="18"/>
          <w:szCs w:val="18"/>
          <w:lang w:val="el-GR"/>
        </w:rPr>
        <w:t xml:space="preserve"> </w:t>
      </w:r>
      <w:r w:rsidR="00CE36EC" w:rsidRPr="006A1797">
        <w:rPr>
          <w:sz w:val="18"/>
          <w:szCs w:val="18"/>
          <w:lang w:val="el-GR"/>
        </w:rPr>
        <w:t>ανήλθαν σε €</w:t>
      </w:r>
      <w:r w:rsidRPr="006A1797">
        <w:rPr>
          <w:sz w:val="18"/>
          <w:lang w:val="el-GR"/>
        </w:rPr>
        <w:t xml:space="preserve">420 </w:t>
      </w:r>
      <w:r w:rsidR="00CE36EC" w:rsidRPr="006A1797">
        <w:rPr>
          <w:sz w:val="18"/>
          <w:szCs w:val="18"/>
          <w:lang w:val="el-GR"/>
        </w:rPr>
        <w:t>εκατ.</w:t>
      </w:r>
      <w:r w:rsidRPr="006A1797">
        <w:rPr>
          <w:sz w:val="18"/>
          <w:szCs w:val="18"/>
          <w:lang w:val="el-GR"/>
        </w:rPr>
        <w:t>, αυξημένα κατά 17% σε ετήσια βάση,</w:t>
      </w:r>
      <w:r w:rsidRPr="00560312">
        <w:rPr>
          <w:sz w:val="18"/>
          <w:szCs w:val="18"/>
          <w:lang w:val="el-GR"/>
        </w:rPr>
        <w:t xml:space="preserve"> </w:t>
      </w:r>
      <w:r w:rsidR="005F342F" w:rsidRPr="00560312">
        <w:rPr>
          <w:sz w:val="18"/>
          <w:szCs w:val="18"/>
          <w:lang w:val="el-GR"/>
        </w:rPr>
        <w:t>λόγω των υψηλότερων εσόδων από τόκους δανείων και ρευστών διαθέσιμων περιουσιακών στοιχείων, υποστηριζόμεν</w:t>
      </w:r>
      <w:r w:rsidR="00911BEA">
        <w:rPr>
          <w:sz w:val="18"/>
          <w:szCs w:val="18"/>
          <w:lang w:val="el-GR"/>
        </w:rPr>
        <w:t>α</w:t>
      </w:r>
      <w:r w:rsidR="005F342F" w:rsidRPr="00560312">
        <w:rPr>
          <w:sz w:val="18"/>
          <w:szCs w:val="18"/>
          <w:lang w:val="el-GR"/>
        </w:rPr>
        <w:t xml:space="preserve"> από τα υψηλά επιτόκια, τα οποία υπερκάλυψαν το υψηλότερο κόστος καταθέσεων και το κόστος χρηματοδότησης, καθώς και τις συνεχιζόμενες ενέργειες αντιστάθμισης (‘hedging’) για τη μείωση της μεταβολής των καθαρών εσόδων από τόκους λόγω της διακύμανσης των επιτοκίων (‘sensitivity’).</w:t>
      </w:r>
    </w:p>
    <w:p w14:paraId="03039915" w14:textId="77777777" w:rsidR="005A34B9" w:rsidRPr="006B5511" w:rsidRDefault="005A34B9" w:rsidP="00CE36EC">
      <w:pPr>
        <w:pStyle w:val="BodyText3"/>
        <w:jc w:val="both"/>
        <w:rPr>
          <w:rFonts w:ascii="Arial" w:eastAsia="Batang" w:hAnsi="Arial" w:cs="Arial"/>
          <w:sz w:val="18"/>
          <w:szCs w:val="18"/>
          <w:highlight w:val="yellow"/>
          <w:lang w:val="el-GR" w:eastAsia="en-US"/>
        </w:rPr>
      </w:pPr>
    </w:p>
    <w:p w14:paraId="17FA4E83" w14:textId="02DB2559" w:rsidR="008559C0" w:rsidRPr="006A1797" w:rsidRDefault="008559C0" w:rsidP="00CD3E10">
      <w:pPr>
        <w:pStyle w:val="BodyText3"/>
        <w:jc w:val="both"/>
        <w:rPr>
          <w:rFonts w:ascii="Arial" w:eastAsia="Batang" w:hAnsi="Arial" w:cs="Arial"/>
          <w:sz w:val="18"/>
          <w:szCs w:val="18"/>
          <w:lang w:val="el-GR" w:eastAsia="en-US"/>
        </w:rPr>
      </w:pPr>
      <w:r w:rsidRPr="006A1797">
        <w:rPr>
          <w:rFonts w:ascii="Arial" w:eastAsia="Batang" w:hAnsi="Arial" w:cs="Arial"/>
          <w:sz w:val="18"/>
          <w:szCs w:val="18"/>
          <w:lang w:val="el-GR" w:eastAsia="en-US"/>
        </w:rPr>
        <w:t>Συνολικά, μέχρι τις 31 Δεκεμβρίου 2024 , το Συγκρότημα σκοπεύει να αυξήσει το συνολικό ποσό αντιστάθμισης (‘hedging’) κατά €4-5 δις (με μέση διάρκεια περίπου 3-4 χρόνια) σε σύγκριση με το έτος που έληξε στις 31 Δεκεμβρίου 2023, ανάλογα με τις συνθήκες αγοράς, συμμετέχοντας σε συμφωνίες ανταλλαγής επιτοκίων</w:t>
      </w:r>
      <w:r w:rsidR="0058787D">
        <w:rPr>
          <w:rFonts w:ascii="Arial" w:eastAsia="Batang" w:hAnsi="Arial" w:cs="Arial"/>
          <w:sz w:val="18"/>
          <w:szCs w:val="18"/>
          <w:lang w:val="el-GR" w:eastAsia="en-US"/>
        </w:rPr>
        <w:t xml:space="preserve">, </w:t>
      </w:r>
      <w:r w:rsidRPr="006A1797">
        <w:rPr>
          <w:rFonts w:ascii="Arial" w:eastAsia="Batang" w:hAnsi="Arial" w:cs="Arial"/>
          <w:sz w:val="18"/>
          <w:szCs w:val="18"/>
          <w:lang w:val="el-GR" w:eastAsia="en-US"/>
        </w:rPr>
        <w:t xml:space="preserve">μέσω της περαιτέρω επένδυσης σε ομόλογα σταθερών επιτοκίων, μέσω της επιπρόσθετης συμμέτοχης σε συμφωνίες επαναπώλησης (‘reverse repos’) και μέσω της συνεχιζόμενης παροχής δανεισμού με σταθερά επιτόκια.  </w:t>
      </w:r>
    </w:p>
    <w:p w14:paraId="4D80E13E" w14:textId="77777777" w:rsidR="008559C0" w:rsidRPr="006A1797" w:rsidRDefault="008559C0" w:rsidP="00CD3E10">
      <w:pPr>
        <w:pStyle w:val="BodyText3"/>
        <w:jc w:val="both"/>
        <w:rPr>
          <w:rFonts w:ascii="Arial" w:eastAsia="Batang" w:hAnsi="Arial" w:cs="Arial"/>
          <w:sz w:val="18"/>
          <w:szCs w:val="18"/>
          <w:lang w:val="el-GR" w:eastAsia="en-US"/>
        </w:rPr>
      </w:pPr>
    </w:p>
    <w:p w14:paraId="4765CED4" w14:textId="14C7AB41" w:rsidR="00F37919" w:rsidRPr="006B5511" w:rsidRDefault="00927368" w:rsidP="00CD3E10">
      <w:pPr>
        <w:pStyle w:val="BodyText3"/>
        <w:jc w:val="both"/>
        <w:rPr>
          <w:rFonts w:ascii="Arial" w:hAnsi="Arial" w:cs="Arial"/>
          <w:sz w:val="18"/>
          <w:szCs w:val="18"/>
          <w:highlight w:val="yellow"/>
          <w:lang w:val="el-GR"/>
        </w:rPr>
      </w:pPr>
      <w:r w:rsidRPr="006A1797">
        <w:rPr>
          <w:rFonts w:ascii="Arial" w:eastAsia="Batang" w:hAnsi="Arial" w:cs="Arial"/>
          <w:sz w:val="18"/>
          <w:szCs w:val="18"/>
          <w:lang w:val="el-GR" w:eastAsia="en-US"/>
        </w:rPr>
        <w:t xml:space="preserve">Κατά το α΄ </w:t>
      </w:r>
      <w:r w:rsidR="00434D58" w:rsidRPr="006A1797">
        <w:rPr>
          <w:rFonts w:ascii="Arial" w:eastAsia="Batang" w:hAnsi="Arial" w:cs="Arial"/>
          <w:sz w:val="18"/>
          <w:szCs w:val="18"/>
          <w:lang w:val="el-GR" w:eastAsia="en-US"/>
        </w:rPr>
        <w:t xml:space="preserve">εξάμηνο </w:t>
      </w:r>
      <w:r w:rsidRPr="006A1797">
        <w:rPr>
          <w:rFonts w:ascii="Arial" w:eastAsia="Batang" w:hAnsi="Arial" w:cs="Arial"/>
          <w:sz w:val="18"/>
          <w:szCs w:val="18"/>
          <w:lang w:val="el-GR" w:eastAsia="en-US"/>
        </w:rPr>
        <w:t>2024, το Συγκρότημα πραγματοποίησε ενέργειες αντιστάθμισης ύψους €</w:t>
      </w:r>
      <w:r w:rsidR="00434D58" w:rsidRPr="006A1797">
        <w:rPr>
          <w:rFonts w:ascii="Arial" w:hAnsi="Arial" w:cs="Arial"/>
          <w:sz w:val="18"/>
          <w:lang w:val="el-GR"/>
        </w:rPr>
        <w:t>3.4</w:t>
      </w:r>
      <w:r w:rsidR="00434D58" w:rsidRPr="00560312">
        <w:rPr>
          <w:rFonts w:ascii="Arial" w:hAnsi="Arial" w:cs="Arial"/>
          <w:sz w:val="18"/>
          <w:lang w:val="el-GR"/>
        </w:rPr>
        <w:t xml:space="preserve"> </w:t>
      </w:r>
      <w:r w:rsidRPr="006A1797">
        <w:rPr>
          <w:rFonts w:ascii="Arial" w:eastAsia="Batang" w:hAnsi="Arial" w:cs="Arial"/>
          <w:sz w:val="18"/>
          <w:szCs w:val="18"/>
          <w:lang w:val="el-GR" w:eastAsia="en-US"/>
        </w:rPr>
        <w:t xml:space="preserve">δις, παραμένοντας σε καλή πορεία για να επιτύχει το στόχο του 2024, για αύξηση του συνολικού ποσού αντιστάθμισης (‘hedging’) κατά €4-5 δις. </w:t>
      </w:r>
      <w:r w:rsidR="00F37919" w:rsidRPr="006A1797">
        <w:rPr>
          <w:rFonts w:ascii="Arial" w:eastAsia="Batang" w:hAnsi="Arial" w:cs="Arial"/>
          <w:sz w:val="18"/>
          <w:szCs w:val="18"/>
          <w:lang w:val="el-GR" w:eastAsia="en-US"/>
        </w:rPr>
        <w:t xml:space="preserve">Η αύξηση ανήλθε κυρίως </w:t>
      </w:r>
      <w:r w:rsidR="009C01DB" w:rsidRPr="006A1797">
        <w:rPr>
          <w:rFonts w:ascii="Arial" w:eastAsia="Batang" w:hAnsi="Arial" w:cs="Arial"/>
          <w:sz w:val="18"/>
          <w:szCs w:val="18"/>
          <w:lang w:val="el-GR" w:eastAsia="en-US"/>
        </w:rPr>
        <w:t xml:space="preserve">μέσω </w:t>
      </w:r>
      <w:r w:rsidR="0058787D">
        <w:rPr>
          <w:rFonts w:ascii="Arial" w:eastAsia="Batang" w:hAnsi="Arial" w:cs="Arial"/>
          <w:sz w:val="18"/>
          <w:szCs w:val="18"/>
          <w:lang w:val="el-GR" w:eastAsia="en-US"/>
        </w:rPr>
        <w:t xml:space="preserve">της συμμετοχής </w:t>
      </w:r>
      <w:r w:rsidR="009C01DB" w:rsidRPr="006A1797">
        <w:rPr>
          <w:rFonts w:ascii="Arial" w:eastAsia="Batang" w:hAnsi="Arial" w:cs="Arial"/>
          <w:sz w:val="18"/>
          <w:szCs w:val="18"/>
          <w:lang w:val="el-GR" w:eastAsia="en-US"/>
        </w:rPr>
        <w:t>σε συμφωνίες ανταλλαγής επιτοκίων</w:t>
      </w:r>
      <w:r w:rsidR="0058787D">
        <w:rPr>
          <w:rFonts w:ascii="Arial" w:eastAsia="Batang" w:hAnsi="Arial" w:cs="Arial"/>
          <w:sz w:val="18"/>
          <w:szCs w:val="18"/>
          <w:lang w:val="el-GR" w:eastAsia="en-US"/>
        </w:rPr>
        <w:t>,</w:t>
      </w:r>
      <w:r w:rsidR="009C01DB" w:rsidRPr="006A1797">
        <w:rPr>
          <w:rFonts w:ascii="Arial" w:eastAsia="Batang" w:hAnsi="Arial" w:cs="Arial"/>
          <w:sz w:val="18"/>
          <w:szCs w:val="18"/>
          <w:lang w:val="el-GR" w:eastAsia="en-US"/>
        </w:rPr>
        <w:t xml:space="preserve"> </w:t>
      </w:r>
      <w:r w:rsidR="00030F82" w:rsidRPr="006A1797">
        <w:rPr>
          <w:rFonts w:ascii="Arial" w:eastAsia="Batang" w:hAnsi="Arial" w:cs="Arial"/>
          <w:sz w:val="18"/>
          <w:szCs w:val="18"/>
          <w:lang w:val="el-GR" w:eastAsia="en-US"/>
        </w:rPr>
        <w:t xml:space="preserve">μέσω της επένδυσης σε ομόλογα σταθερών επιτοκίων, </w:t>
      </w:r>
      <w:r w:rsidR="009C01DB" w:rsidRPr="006A1797">
        <w:rPr>
          <w:rFonts w:ascii="Arial" w:eastAsia="Batang" w:hAnsi="Arial" w:cs="Arial"/>
          <w:sz w:val="18"/>
          <w:szCs w:val="18"/>
          <w:lang w:val="el-GR" w:eastAsia="en-US"/>
        </w:rPr>
        <w:t xml:space="preserve">μέσω της συμμέτοχης σε </w:t>
      </w:r>
      <w:r w:rsidR="009A3909" w:rsidRPr="006A1797">
        <w:rPr>
          <w:rFonts w:ascii="Arial" w:eastAsia="Batang" w:hAnsi="Arial" w:cs="Arial"/>
          <w:sz w:val="18"/>
          <w:szCs w:val="18"/>
          <w:lang w:val="el-GR" w:eastAsia="en-US"/>
        </w:rPr>
        <w:t xml:space="preserve">συμφωνίες επαναπώλησης </w:t>
      </w:r>
      <w:r w:rsidR="009C01DB" w:rsidRPr="006A1797">
        <w:rPr>
          <w:rFonts w:ascii="Arial" w:eastAsia="Batang" w:hAnsi="Arial" w:cs="Arial"/>
          <w:sz w:val="18"/>
          <w:szCs w:val="18"/>
          <w:lang w:val="el-GR" w:eastAsia="en-US"/>
        </w:rPr>
        <w:t>(</w:t>
      </w:r>
      <w:r w:rsidR="00565DE9" w:rsidRPr="006A1797">
        <w:rPr>
          <w:rFonts w:ascii="Arial" w:eastAsia="Batang" w:hAnsi="Arial" w:cs="Arial"/>
          <w:sz w:val="18"/>
          <w:szCs w:val="18"/>
          <w:lang w:val="el-GR" w:eastAsia="en-US"/>
        </w:rPr>
        <w:t>‘</w:t>
      </w:r>
      <w:r w:rsidR="009C01DB" w:rsidRPr="006A1797">
        <w:rPr>
          <w:rFonts w:ascii="Arial" w:eastAsia="Batang" w:hAnsi="Arial" w:cs="Arial"/>
          <w:sz w:val="18"/>
          <w:szCs w:val="18"/>
          <w:lang w:val="el-GR" w:eastAsia="en-US"/>
        </w:rPr>
        <w:t>reverse repos</w:t>
      </w:r>
      <w:r w:rsidR="00565DE9" w:rsidRPr="006A1797">
        <w:rPr>
          <w:rFonts w:ascii="Arial" w:eastAsia="Batang" w:hAnsi="Arial" w:cs="Arial"/>
          <w:sz w:val="18"/>
          <w:szCs w:val="18"/>
          <w:lang w:val="el-GR" w:eastAsia="en-US"/>
        </w:rPr>
        <w:t>’</w:t>
      </w:r>
      <w:r w:rsidR="009C01DB" w:rsidRPr="006A1797">
        <w:rPr>
          <w:rFonts w:ascii="Arial" w:eastAsia="Batang" w:hAnsi="Arial" w:cs="Arial"/>
          <w:sz w:val="18"/>
          <w:szCs w:val="18"/>
          <w:lang w:val="el-GR" w:eastAsia="en-US"/>
        </w:rPr>
        <w:t xml:space="preserve">) και μέσω </w:t>
      </w:r>
      <w:r w:rsidR="00383354" w:rsidRPr="006A1797">
        <w:rPr>
          <w:rFonts w:ascii="Arial" w:eastAsia="Batang" w:hAnsi="Arial" w:cs="Arial"/>
          <w:sz w:val="18"/>
          <w:szCs w:val="18"/>
          <w:lang w:val="el-GR" w:eastAsia="en-US"/>
        </w:rPr>
        <w:t xml:space="preserve">της </w:t>
      </w:r>
      <w:r w:rsidR="00CD3E10" w:rsidRPr="006A1797">
        <w:rPr>
          <w:rFonts w:ascii="Arial" w:eastAsia="Batang" w:hAnsi="Arial" w:cs="Arial"/>
          <w:sz w:val="18"/>
          <w:szCs w:val="18"/>
          <w:lang w:val="el-GR" w:eastAsia="en-US"/>
        </w:rPr>
        <w:t>παροχής δανεισμού με σταθερά επιτόκια</w:t>
      </w:r>
      <w:r w:rsidR="00F37919" w:rsidRPr="006A1797">
        <w:rPr>
          <w:rFonts w:ascii="Arial" w:eastAsia="Batang" w:hAnsi="Arial" w:cs="Arial"/>
          <w:sz w:val="18"/>
          <w:szCs w:val="18"/>
          <w:lang w:val="el-GR" w:eastAsia="en-US"/>
        </w:rPr>
        <w:t xml:space="preserve">. Ταυτόχρονα, περίπου το ένα </w:t>
      </w:r>
      <w:r w:rsidR="002628A6" w:rsidRPr="006A1797">
        <w:rPr>
          <w:rFonts w:ascii="Arial" w:eastAsia="Batang" w:hAnsi="Arial" w:cs="Arial"/>
          <w:sz w:val="18"/>
          <w:szCs w:val="18"/>
          <w:lang w:val="el-GR" w:eastAsia="en-US"/>
        </w:rPr>
        <w:t>τέταρτο</w:t>
      </w:r>
      <w:r w:rsidR="00F37919" w:rsidRPr="006A1797">
        <w:rPr>
          <w:rFonts w:ascii="Arial" w:eastAsia="Batang" w:hAnsi="Arial" w:cs="Arial"/>
          <w:sz w:val="18"/>
          <w:szCs w:val="18"/>
          <w:lang w:val="el-GR" w:eastAsia="en-US"/>
        </w:rPr>
        <w:t xml:space="preserve"> του δανειακού χαρτοφυλακίου του Συγκροτήματος συνδέεται με το βασικό επιτόκιο της Τράπεζας, το οποίο αποτελεί φυσική αντιστάθμιση (‘natural hedge’) του κόστους καταθέσεων. Συνολικά, οι πιο πάνω ενέργειες οδήγησαν στη μείωση της μεταβολής των καθαρών εσόδων από τόκους λόγω της διακύμανσης των επιτοκίων (‘sensitivity’) (σε παράλληλη μεταβολή κατά 100 μ.β. των επιτοκίων) κατά €</w:t>
      </w:r>
      <w:r w:rsidR="00434D58" w:rsidRPr="006A1797">
        <w:rPr>
          <w:rFonts w:ascii="Arial" w:eastAsia="Batang" w:hAnsi="Arial" w:cs="Arial"/>
          <w:sz w:val="18"/>
          <w:szCs w:val="18"/>
          <w:lang w:val="el-GR" w:eastAsia="en-US"/>
        </w:rPr>
        <w:t xml:space="preserve">27 </w:t>
      </w:r>
      <w:r w:rsidR="00F37919" w:rsidRPr="006A1797">
        <w:rPr>
          <w:rFonts w:ascii="Arial" w:eastAsia="Batang" w:hAnsi="Arial" w:cs="Arial"/>
          <w:sz w:val="18"/>
          <w:szCs w:val="18"/>
          <w:lang w:val="el-GR" w:eastAsia="en-US"/>
        </w:rPr>
        <w:t>εκατ.</w:t>
      </w:r>
      <w:r w:rsidR="00434D58" w:rsidRPr="006A1797">
        <w:rPr>
          <w:rFonts w:ascii="Arial" w:eastAsia="Batang" w:hAnsi="Arial" w:cs="Arial"/>
          <w:sz w:val="18"/>
          <w:szCs w:val="18"/>
          <w:lang w:val="el-GR" w:eastAsia="en-US"/>
        </w:rPr>
        <w:t xml:space="preserve"> από την αρχή του έτους. </w:t>
      </w:r>
    </w:p>
    <w:p w14:paraId="1B6F3603" w14:textId="6BF327E7" w:rsidR="00CE36EC" w:rsidRPr="006A1797" w:rsidRDefault="00AC4CFE" w:rsidP="00CE36EC">
      <w:pPr>
        <w:spacing w:after="0" w:line="360" w:lineRule="auto"/>
        <w:jc w:val="both"/>
        <w:rPr>
          <w:rFonts w:ascii="Arial" w:hAnsi="Arial" w:cs="Arial"/>
          <w:b/>
          <w:i/>
          <w:color w:val="FF9900"/>
          <w:sz w:val="20"/>
          <w:lang w:val="el-GR"/>
        </w:rPr>
      </w:pPr>
      <w:r w:rsidRPr="006A1797">
        <w:rPr>
          <w:rFonts w:ascii="Arial" w:hAnsi="Arial" w:cs="Arial"/>
          <w:sz w:val="18"/>
          <w:szCs w:val="18"/>
          <w:lang w:val="el-GR"/>
        </w:rPr>
        <w:br/>
      </w:r>
      <w:r w:rsidR="00CE36EC" w:rsidRPr="006A1797">
        <w:rPr>
          <w:rFonts w:ascii="Arial" w:hAnsi="Arial" w:cs="Arial"/>
          <w:b/>
          <w:i/>
          <w:color w:val="FF9900"/>
          <w:sz w:val="20"/>
          <w:lang w:val="el-GR"/>
        </w:rPr>
        <w:t>Ενίσχυση εσόδων με βέλτιστη διαχείριση κεφαλαίων</w:t>
      </w:r>
    </w:p>
    <w:p w14:paraId="1477DE7E" w14:textId="1505EB83" w:rsidR="00CE36EC" w:rsidRPr="006A1797" w:rsidRDefault="00CE36EC" w:rsidP="00CE36EC">
      <w:pPr>
        <w:spacing w:after="0" w:line="240" w:lineRule="auto"/>
        <w:jc w:val="both"/>
        <w:rPr>
          <w:rFonts w:ascii="Arial" w:hAnsi="Arial" w:cs="Arial"/>
          <w:sz w:val="18"/>
          <w:lang w:val="el-GR"/>
        </w:rPr>
      </w:pPr>
      <w:r w:rsidRPr="006A1797">
        <w:rPr>
          <w:rFonts w:ascii="Arial" w:hAnsi="Arial" w:cs="Arial"/>
          <w:sz w:val="18"/>
          <w:lang w:val="el-GR"/>
        </w:rPr>
        <w:t>Το Συγκρότημα παραμένει επικεντρωμένο στην ενίσχυση εσόδων με βέλτιστη διαχείριση κεφαλαίων</w:t>
      </w:r>
      <w:r w:rsidR="009D7F85" w:rsidRPr="006A1797">
        <w:rPr>
          <w:rFonts w:ascii="Arial" w:hAnsi="Arial" w:cs="Arial"/>
          <w:sz w:val="18"/>
          <w:lang w:val="el-GR"/>
        </w:rPr>
        <w:t xml:space="preserve"> μέσω</w:t>
      </w:r>
      <w:r w:rsidRPr="006A1797">
        <w:rPr>
          <w:rFonts w:ascii="Arial" w:hAnsi="Arial" w:cs="Arial"/>
          <w:sz w:val="18"/>
          <w:lang w:val="el-GR"/>
        </w:rPr>
        <w:t xml:space="preserve"> τη</w:t>
      </w:r>
      <w:r w:rsidR="009D7F85" w:rsidRPr="006A1797">
        <w:rPr>
          <w:rFonts w:ascii="Arial" w:hAnsi="Arial" w:cs="Arial"/>
          <w:sz w:val="18"/>
          <w:lang w:val="el-GR"/>
        </w:rPr>
        <w:t>ς</w:t>
      </w:r>
      <w:r w:rsidRPr="006A1797">
        <w:rPr>
          <w:rFonts w:ascii="Arial" w:hAnsi="Arial" w:cs="Arial"/>
          <w:sz w:val="18"/>
          <w:lang w:val="el-GR"/>
        </w:rPr>
        <w:t xml:space="preserve"> αύξηση</w:t>
      </w:r>
      <w:r w:rsidR="009D7F85" w:rsidRPr="006A1797">
        <w:rPr>
          <w:rFonts w:ascii="Arial" w:hAnsi="Arial" w:cs="Arial"/>
          <w:sz w:val="18"/>
          <w:lang w:val="el-GR"/>
        </w:rPr>
        <w:t>ς</w:t>
      </w:r>
      <w:r w:rsidRPr="006A1797">
        <w:rPr>
          <w:rFonts w:ascii="Arial" w:hAnsi="Arial" w:cs="Arial"/>
          <w:sz w:val="18"/>
          <w:lang w:val="el-GR"/>
        </w:rPr>
        <w:t xml:space="preserve"> ποιοτικού νέου δανεισμού, τη</w:t>
      </w:r>
      <w:r w:rsidR="009D7F85" w:rsidRPr="006A1797">
        <w:rPr>
          <w:rFonts w:ascii="Arial" w:hAnsi="Arial" w:cs="Arial"/>
          <w:sz w:val="18"/>
          <w:lang w:val="el-GR"/>
        </w:rPr>
        <w:t>ς</w:t>
      </w:r>
      <w:r w:rsidRPr="006A1797">
        <w:rPr>
          <w:rFonts w:ascii="Arial" w:hAnsi="Arial" w:cs="Arial"/>
          <w:sz w:val="18"/>
          <w:lang w:val="el-GR"/>
        </w:rPr>
        <w:t xml:space="preserve"> ανάπτυξη</w:t>
      </w:r>
      <w:r w:rsidR="009D7F85" w:rsidRPr="006A1797">
        <w:rPr>
          <w:rFonts w:ascii="Arial" w:hAnsi="Arial" w:cs="Arial"/>
          <w:sz w:val="18"/>
          <w:lang w:val="el-GR"/>
        </w:rPr>
        <w:t>ς</w:t>
      </w:r>
      <w:r w:rsidRPr="006A1797">
        <w:rPr>
          <w:rFonts w:ascii="Arial" w:hAnsi="Arial" w:cs="Arial"/>
          <w:sz w:val="18"/>
          <w:lang w:val="el-GR"/>
        </w:rPr>
        <w:t xml:space="preserve"> σε εξειδικευμένους τομείς της αγοράς</w:t>
      </w:r>
      <w:r w:rsidR="009D7F85" w:rsidRPr="006A1797">
        <w:rPr>
          <w:rFonts w:ascii="Arial" w:hAnsi="Arial" w:cs="Arial"/>
          <w:sz w:val="18"/>
          <w:lang w:val="el-GR"/>
        </w:rPr>
        <w:t xml:space="preserve"> όπως ασφαλιστικές εργασίες και ψηφιακά προϊόντα,</w:t>
      </w:r>
      <w:r w:rsidRPr="006A1797">
        <w:rPr>
          <w:rFonts w:ascii="Arial" w:hAnsi="Arial" w:cs="Arial"/>
          <w:sz w:val="18"/>
          <w:lang w:val="el-GR"/>
        </w:rPr>
        <w:t xml:space="preserve"> για περαιτέρω διείσδυση στην αγορά και διαφοροποίηση των εσόδων μέσω μη τραπεζικών υπηρεσιών.</w:t>
      </w:r>
    </w:p>
    <w:p w14:paraId="1A999594" w14:textId="77777777" w:rsidR="00B205EF" w:rsidRPr="006A1797" w:rsidRDefault="00B205EF" w:rsidP="00CE36EC">
      <w:pPr>
        <w:spacing w:after="0" w:line="240" w:lineRule="auto"/>
        <w:jc w:val="both"/>
        <w:rPr>
          <w:rFonts w:ascii="Arial" w:hAnsi="Arial" w:cs="Arial"/>
          <w:sz w:val="18"/>
          <w:lang w:val="el-GR"/>
        </w:rPr>
      </w:pPr>
    </w:p>
    <w:p w14:paraId="42E1AF78" w14:textId="77777777" w:rsidR="009F2D99" w:rsidRDefault="009F2D99" w:rsidP="009C531A">
      <w:pPr>
        <w:spacing w:after="0" w:line="240" w:lineRule="auto"/>
        <w:jc w:val="both"/>
        <w:rPr>
          <w:rFonts w:ascii="Arial" w:hAnsi="Arial" w:cs="Arial"/>
          <w:sz w:val="18"/>
          <w:lang w:val="el-GR"/>
        </w:rPr>
      </w:pPr>
    </w:p>
    <w:p w14:paraId="5D051ABD" w14:textId="77777777" w:rsidR="0058787D" w:rsidRDefault="0058787D" w:rsidP="009C531A">
      <w:pPr>
        <w:spacing w:after="0" w:line="240" w:lineRule="auto"/>
        <w:jc w:val="both"/>
        <w:rPr>
          <w:rFonts w:ascii="Arial" w:hAnsi="Arial" w:cs="Arial"/>
          <w:sz w:val="18"/>
          <w:lang w:val="el-GR"/>
        </w:rPr>
      </w:pPr>
    </w:p>
    <w:p w14:paraId="05FB8CCF" w14:textId="1E5587A4" w:rsidR="00D022B5" w:rsidRDefault="009F2D99" w:rsidP="006A1797">
      <w:pPr>
        <w:spacing w:after="0" w:line="360" w:lineRule="auto"/>
        <w:rPr>
          <w:rFonts w:ascii="Arial" w:hAnsi="Arial" w:cs="Arial"/>
          <w:bCs/>
          <w:i/>
          <w:color w:val="FF9900"/>
          <w:sz w:val="20"/>
          <w:lang w:val="el-GR"/>
        </w:rPr>
      </w:pPr>
      <w:r>
        <w:rPr>
          <w:rFonts w:ascii="Arial" w:hAnsi="Arial" w:cs="Arial"/>
          <w:b/>
          <w:color w:val="FF9900"/>
          <w:sz w:val="24"/>
          <w:szCs w:val="24"/>
          <w:lang w:val="el-GR"/>
        </w:rPr>
        <w:lastRenderedPageBreak/>
        <w:t>Δ</w:t>
      </w:r>
      <w:r w:rsidRPr="00CB38F0">
        <w:rPr>
          <w:rFonts w:ascii="Arial" w:hAnsi="Arial" w:cs="Arial"/>
          <w:b/>
          <w:color w:val="FF9900"/>
          <w:sz w:val="24"/>
          <w:szCs w:val="24"/>
          <w:lang w:val="el-GR"/>
        </w:rPr>
        <w:t xml:space="preserve">. Επισκόπηση επιχειρηματικής δραστηριότητας </w:t>
      </w:r>
      <w:r w:rsidRPr="006A1797">
        <w:rPr>
          <w:rFonts w:ascii="Arial" w:hAnsi="Arial" w:cs="Arial"/>
          <w:bCs/>
          <w:color w:val="FF9900"/>
          <w:sz w:val="24"/>
          <w:szCs w:val="24"/>
          <w:lang w:val="el-GR"/>
        </w:rPr>
        <w:t>(συνέχεια)</w:t>
      </w:r>
      <w:r w:rsidRPr="002D6DE8">
        <w:rPr>
          <w:rFonts w:ascii="Arial" w:hAnsi="Arial" w:cs="Arial"/>
          <w:sz w:val="18"/>
          <w:szCs w:val="18"/>
          <w:lang w:val="el-GR"/>
        </w:rPr>
        <w:br/>
      </w:r>
      <w:r w:rsidRPr="002D6DE8">
        <w:rPr>
          <w:rFonts w:ascii="Arial" w:hAnsi="Arial" w:cs="Arial"/>
          <w:b/>
          <w:i/>
          <w:color w:val="FF9900"/>
          <w:sz w:val="20"/>
          <w:lang w:val="el-GR"/>
        </w:rPr>
        <w:t>Ενίσχυση εσόδων με βέλτιστη διαχείριση κεφαλαίων</w:t>
      </w:r>
      <w:r>
        <w:rPr>
          <w:rFonts w:ascii="Arial" w:hAnsi="Arial" w:cs="Arial"/>
          <w:b/>
          <w:i/>
          <w:color w:val="FF9900"/>
          <w:sz w:val="20"/>
          <w:lang w:val="el-GR"/>
        </w:rPr>
        <w:t xml:space="preserve"> </w:t>
      </w:r>
      <w:r w:rsidRPr="006A1797">
        <w:rPr>
          <w:rFonts w:ascii="Arial" w:hAnsi="Arial" w:cs="Arial"/>
          <w:bCs/>
          <w:i/>
          <w:color w:val="FF9900"/>
          <w:sz w:val="20"/>
          <w:lang w:val="el-GR"/>
        </w:rPr>
        <w:t>(συνέχεια)</w:t>
      </w:r>
    </w:p>
    <w:p w14:paraId="7ED9364E" w14:textId="4CFC99E4" w:rsidR="00D022B5" w:rsidRDefault="00D022B5" w:rsidP="00D022B5">
      <w:pPr>
        <w:spacing w:after="0" w:line="240" w:lineRule="auto"/>
        <w:jc w:val="both"/>
        <w:rPr>
          <w:rFonts w:ascii="Arial" w:hAnsi="Arial" w:cs="Arial"/>
          <w:sz w:val="18"/>
          <w:lang w:val="el-GR"/>
        </w:rPr>
      </w:pPr>
      <w:r w:rsidRPr="007C2558">
        <w:rPr>
          <w:rFonts w:ascii="Arial" w:hAnsi="Arial" w:cs="Arial"/>
          <w:sz w:val="18"/>
          <w:lang w:val="el-GR"/>
        </w:rPr>
        <w:t>Το Συγκρότημα συνέχισε να παρέχει ποιοτικό νέο δανεισμό κατά το α’ εξάμηνο 2024</w:t>
      </w:r>
      <w:r w:rsidRPr="007C2558">
        <w:rPr>
          <w:rFonts w:ascii="Arial" w:hAnsi="Arial" w:cs="Arial"/>
          <w:sz w:val="18"/>
          <w:szCs w:val="18"/>
          <w:lang w:val="el-GR" w:eastAsia="en-US"/>
        </w:rPr>
        <w:t xml:space="preserve"> </w:t>
      </w:r>
      <w:r w:rsidRPr="007C2558">
        <w:rPr>
          <w:rFonts w:ascii="Arial" w:hAnsi="Arial" w:cs="Arial"/>
          <w:sz w:val="18"/>
          <w:lang w:val="el-GR"/>
        </w:rPr>
        <w:t>μέσω συνετών πρακτικών. Ο νέος δανεισμός στη Κύπρο επικεντρώνεται σε επιλεγμένους κλάδους της οικονομίας οι οποίοι είναι συμβατοί με το προφίλ κινδύνου της Τράπεζας. Κατά το α’ εξάμηνο</w:t>
      </w:r>
      <w:r w:rsidRPr="007C2558">
        <w:rPr>
          <w:rFonts w:ascii="Arial" w:hAnsi="Arial" w:cs="Arial"/>
          <w:sz w:val="18"/>
          <w:szCs w:val="18"/>
          <w:lang w:val="el-GR"/>
        </w:rPr>
        <w:t xml:space="preserve"> </w:t>
      </w:r>
      <w:r w:rsidRPr="007C2558">
        <w:rPr>
          <w:rFonts w:ascii="Arial" w:hAnsi="Arial" w:cs="Arial"/>
          <w:sz w:val="18"/>
          <w:szCs w:val="18"/>
          <w:lang w:val="el-GR" w:eastAsia="en-US"/>
        </w:rPr>
        <w:t>2024</w:t>
      </w:r>
      <w:r w:rsidRPr="007C2558">
        <w:rPr>
          <w:rFonts w:ascii="Arial" w:hAnsi="Arial" w:cs="Arial"/>
          <w:sz w:val="18"/>
          <w:lang w:val="el-GR"/>
        </w:rPr>
        <w:t xml:space="preserve">, ο νέος δανεισμός παρέμεινε ισχυρός και ανήλθε σε €1.2 </w:t>
      </w:r>
      <w:r w:rsidR="00366668">
        <w:rPr>
          <w:rFonts w:ascii="Arial" w:hAnsi="Arial" w:cs="Arial"/>
          <w:sz w:val="18"/>
          <w:lang w:val="el-GR"/>
        </w:rPr>
        <w:t>δις</w:t>
      </w:r>
      <w:r w:rsidRPr="007C2558">
        <w:rPr>
          <w:rFonts w:ascii="Arial" w:hAnsi="Arial" w:cs="Arial"/>
          <w:sz w:val="18"/>
          <w:lang w:val="el-GR"/>
        </w:rPr>
        <w:t xml:space="preserve">, </w:t>
      </w:r>
      <w:r w:rsidRPr="007C2558">
        <w:rPr>
          <w:rFonts w:ascii="Arial" w:hAnsi="Arial" w:cs="Arial"/>
          <w:sz w:val="18"/>
          <w:szCs w:val="18"/>
          <w:lang w:val="el-GR"/>
        </w:rPr>
        <w:t xml:space="preserve">αυξημένος κατά 10% σε ετήσια βάση, </w:t>
      </w:r>
      <w:r w:rsidRPr="007C2558">
        <w:rPr>
          <w:rFonts w:ascii="Arial" w:hAnsi="Arial" w:cs="Arial"/>
          <w:sz w:val="18"/>
          <w:szCs w:val="18"/>
          <w:lang w:val="el-GR" w:eastAsia="el-GR"/>
        </w:rPr>
        <w:t xml:space="preserve">κυρίως λόγω της αυξημένης ζήτησης για δάνεια σε επιχειρήσεις. </w:t>
      </w:r>
      <w:r w:rsidRPr="007C2558">
        <w:rPr>
          <w:rFonts w:ascii="Arial" w:hAnsi="Arial" w:cs="Arial"/>
          <w:sz w:val="18"/>
          <w:lang w:val="el-GR"/>
        </w:rPr>
        <w:t xml:space="preserve">Το χαρτοφυλάκιο εξυπηρετούμενων δανείων </w:t>
      </w:r>
      <w:r w:rsidRPr="007C2558">
        <w:rPr>
          <w:rFonts w:ascii="Arial" w:hAnsi="Arial" w:cs="Arial"/>
          <w:sz w:val="18"/>
          <w:szCs w:val="18"/>
          <w:lang w:val="el-GR"/>
        </w:rPr>
        <w:t>αυξήθηκε κατά 3% από την αρχή του έτους, σε περίπου €10.1 δις. Η αύξηση του δανειακού χαρτοφυλακίου περιορίζεται από τις αποπληρωμές.</w:t>
      </w:r>
    </w:p>
    <w:p w14:paraId="6726DFB7" w14:textId="77777777" w:rsidR="00D022B5" w:rsidRPr="00D022B5" w:rsidRDefault="00D022B5" w:rsidP="00D022B5">
      <w:pPr>
        <w:spacing w:after="0" w:line="240" w:lineRule="auto"/>
        <w:jc w:val="both"/>
        <w:rPr>
          <w:rFonts w:ascii="Arial" w:hAnsi="Arial" w:cs="Arial"/>
          <w:sz w:val="18"/>
          <w:lang w:val="el-GR"/>
        </w:rPr>
      </w:pPr>
    </w:p>
    <w:p w14:paraId="79A3CB53" w14:textId="199B23C3" w:rsidR="006041B9" w:rsidRPr="006A1797" w:rsidRDefault="00CE36EC" w:rsidP="006041B9">
      <w:pPr>
        <w:tabs>
          <w:tab w:val="left" w:pos="0"/>
          <w:tab w:val="left" w:pos="3251"/>
        </w:tabs>
        <w:suppressAutoHyphens/>
        <w:spacing w:after="0" w:line="240" w:lineRule="auto"/>
        <w:jc w:val="both"/>
        <w:rPr>
          <w:rFonts w:ascii="Arial" w:hAnsi="Arial" w:cs="Arial"/>
          <w:sz w:val="18"/>
          <w:szCs w:val="18"/>
          <w:lang w:val="el-GR"/>
        </w:rPr>
      </w:pPr>
      <w:r w:rsidRPr="006A1797">
        <w:rPr>
          <w:rFonts w:ascii="Arial" w:hAnsi="Arial" w:cs="Arial"/>
          <w:sz w:val="18"/>
          <w:szCs w:val="18"/>
          <w:lang w:val="el-GR"/>
        </w:rPr>
        <w:t>Το χαρτοφυλάκιο ομολόγων</w:t>
      </w:r>
      <w:r w:rsidR="00160F0A" w:rsidRPr="006A1797">
        <w:rPr>
          <w:rFonts w:ascii="Arial" w:hAnsi="Arial" w:cs="Arial"/>
          <w:sz w:val="18"/>
          <w:szCs w:val="18"/>
          <w:lang w:val="el-GR"/>
        </w:rPr>
        <w:t xml:space="preserve"> συνέχισε να αυξάνεται κατά</w:t>
      </w:r>
      <w:r w:rsidR="00276E99">
        <w:rPr>
          <w:rFonts w:ascii="Arial" w:hAnsi="Arial" w:cs="Arial"/>
          <w:sz w:val="18"/>
          <w:szCs w:val="18"/>
          <w:lang w:val="el-GR"/>
        </w:rPr>
        <w:t xml:space="preserve"> το</w:t>
      </w:r>
      <w:r w:rsidR="00160F0A" w:rsidRPr="006A1797">
        <w:rPr>
          <w:rFonts w:ascii="Arial" w:hAnsi="Arial" w:cs="Arial"/>
          <w:sz w:val="18"/>
          <w:szCs w:val="18"/>
          <w:lang w:val="el-GR"/>
        </w:rPr>
        <w:t xml:space="preserve"> </w:t>
      </w:r>
      <w:r w:rsidR="006041B9" w:rsidRPr="006A1797">
        <w:rPr>
          <w:rFonts w:ascii="Arial" w:hAnsi="Arial" w:cs="Arial"/>
          <w:sz w:val="18"/>
          <w:szCs w:val="18"/>
          <w:lang w:val="el-GR"/>
        </w:rPr>
        <w:t xml:space="preserve">α΄ </w:t>
      </w:r>
      <w:r w:rsidR="009027BD" w:rsidRPr="006A1797">
        <w:rPr>
          <w:rFonts w:ascii="Arial" w:hAnsi="Arial" w:cs="Arial"/>
          <w:sz w:val="18"/>
          <w:szCs w:val="18"/>
          <w:lang w:val="el-GR"/>
        </w:rPr>
        <w:t xml:space="preserve">εξάμηνο </w:t>
      </w:r>
      <w:r w:rsidR="006041B9" w:rsidRPr="006A1797">
        <w:rPr>
          <w:rFonts w:ascii="Arial" w:hAnsi="Arial" w:cs="Arial"/>
          <w:sz w:val="18"/>
          <w:szCs w:val="18"/>
          <w:lang w:val="el-GR"/>
        </w:rPr>
        <w:t>2024</w:t>
      </w:r>
      <w:r w:rsidR="00160F0A" w:rsidRPr="006A1797">
        <w:rPr>
          <w:rFonts w:ascii="Arial" w:hAnsi="Arial" w:cs="Arial"/>
          <w:sz w:val="18"/>
          <w:szCs w:val="18"/>
          <w:lang w:val="el-GR"/>
        </w:rPr>
        <w:t xml:space="preserve"> και</w:t>
      </w:r>
      <w:r w:rsidRPr="006A1797">
        <w:rPr>
          <w:rFonts w:ascii="Arial" w:hAnsi="Arial" w:cs="Arial"/>
          <w:sz w:val="18"/>
          <w:szCs w:val="18"/>
          <w:lang w:val="el-GR"/>
        </w:rPr>
        <w:t xml:space="preserve"> </w:t>
      </w:r>
      <w:r w:rsidR="00160F0A" w:rsidRPr="006A1797">
        <w:rPr>
          <w:rFonts w:ascii="Arial" w:hAnsi="Arial" w:cs="Arial"/>
          <w:sz w:val="18"/>
          <w:szCs w:val="18"/>
          <w:lang w:val="el-GR"/>
        </w:rPr>
        <w:t>ανήλθε</w:t>
      </w:r>
      <w:r w:rsidRPr="006A1797">
        <w:rPr>
          <w:rFonts w:ascii="Arial" w:hAnsi="Arial" w:cs="Arial"/>
          <w:sz w:val="18"/>
          <w:szCs w:val="18"/>
          <w:lang w:val="el-GR"/>
        </w:rPr>
        <w:t xml:space="preserve"> σε €</w:t>
      </w:r>
      <w:r w:rsidR="009027BD" w:rsidRPr="006A1797">
        <w:rPr>
          <w:rFonts w:ascii="Arial" w:hAnsi="Arial" w:cs="Arial"/>
          <w:sz w:val="18"/>
          <w:szCs w:val="18"/>
          <w:lang w:val="el-GR"/>
        </w:rPr>
        <w:t>3,828</w:t>
      </w:r>
      <w:r w:rsidR="009027BD" w:rsidRPr="00560312">
        <w:rPr>
          <w:rFonts w:ascii="Arial" w:hAnsi="Arial" w:cs="Arial"/>
          <w:sz w:val="18"/>
          <w:szCs w:val="18"/>
          <w:lang w:val="el-GR"/>
        </w:rPr>
        <w:t xml:space="preserve"> </w:t>
      </w:r>
      <w:r w:rsidRPr="006A1797">
        <w:rPr>
          <w:rFonts w:ascii="Arial" w:hAnsi="Arial" w:cs="Arial"/>
          <w:sz w:val="18"/>
          <w:szCs w:val="18"/>
          <w:lang w:val="el-GR"/>
        </w:rPr>
        <w:t>εκατ.</w:t>
      </w:r>
      <w:r w:rsidR="00160F0A" w:rsidRPr="006A1797">
        <w:rPr>
          <w:rFonts w:ascii="Arial" w:hAnsi="Arial" w:cs="Arial"/>
          <w:sz w:val="18"/>
          <w:szCs w:val="18"/>
          <w:lang w:val="el-GR"/>
        </w:rPr>
        <w:t>, αντιπροσωπεύοντας</w:t>
      </w:r>
      <w:r w:rsidRPr="006A1797">
        <w:rPr>
          <w:rFonts w:ascii="Arial" w:hAnsi="Arial" w:cs="Arial"/>
          <w:sz w:val="18"/>
          <w:szCs w:val="18"/>
          <w:lang w:val="el-GR"/>
        </w:rPr>
        <w:t xml:space="preserve"> το </w:t>
      </w:r>
      <w:r w:rsidR="006041B9" w:rsidRPr="006A1797">
        <w:rPr>
          <w:rFonts w:ascii="Arial" w:hAnsi="Arial" w:cs="Arial"/>
          <w:sz w:val="18"/>
          <w:szCs w:val="18"/>
          <w:lang w:val="el-GR"/>
        </w:rPr>
        <w:t>15</w:t>
      </w:r>
      <w:r w:rsidRPr="006A1797">
        <w:rPr>
          <w:rFonts w:ascii="Arial" w:hAnsi="Arial" w:cs="Arial"/>
          <w:sz w:val="18"/>
          <w:szCs w:val="18"/>
          <w:lang w:val="el-GR"/>
        </w:rPr>
        <w:t>% του συνόλου των περιουσιακών στοιχείων</w:t>
      </w:r>
      <w:r w:rsidR="009027BD" w:rsidRPr="006A1797">
        <w:rPr>
          <w:rFonts w:ascii="Arial" w:hAnsi="Arial" w:cs="Arial"/>
          <w:sz w:val="18"/>
          <w:szCs w:val="18"/>
          <w:lang w:val="el-GR"/>
        </w:rPr>
        <w:t xml:space="preserve">. </w:t>
      </w:r>
      <w:r w:rsidRPr="006A1797">
        <w:rPr>
          <w:rFonts w:ascii="Arial" w:hAnsi="Arial" w:cs="Arial"/>
          <w:sz w:val="18"/>
          <w:szCs w:val="18"/>
          <w:lang w:val="el-GR"/>
        </w:rPr>
        <w:t xml:space="preserve">Το </w:t>
      </w:r>
      <w:r w:rsidR="003528B0" w:rsidRPr="006A1797">
        <w:rPr>
          <w:rFonts w:ascii="Arial" w:hAnsi="Arial" w:cs="Arial"/>
          <w:sz w:val="18"/>
          <w:szCs w:val="18"/>
          <w:lang w:val="el-GR"/>
        </w:rPr>
        <w:t xml:space="preserve">μεγαλύτερο ποσοστό του </w:t>
      </w:r>
      <w:r w:rsidRPr="006A1797">
        <w:rPr>
          <w:rFonts w:ascii="Arial" w:hAnsi="Arial" w:cs="Arial"/>
          <w:sz w:val="18"/>
          <w:szCs w:val="18"/>
          <w:lang w:val="el-GR"/>
        </w:rPr>
        <w:t>χαρτοφυλάκιο ομολόγων επιμετρείται</w:t>
      </w:r>
      <w:r w:rsidR="003528B0" w:rsidRPr="006A1797">
        <w:rPr>
          <w:rFonts w:ascii="Arial" w:hAnsi="Arial" w:cs="Arial"/>
          <w:sz w:val="18"/>
          <w:szCs w:val="18"/>
          <w:lang w:val="el-GR"/>
        </w:rPr>
        <w:t xml:space="preserve"> </w:t>
      </w:r>
      <w:r w:rsidRPr="006A1797">
        <w:rPr>
          <w:rFonts w:ascii="Arial" w:hAnsi="Arial" w:cs="Arial"/>
          <w:sz w:val="18"/>
          <w:szCs w:val="18"/>
          <w:lang w:val="el-GR"/>
        </w:rPr>
        <w:t>σε αποσβεσμένο κόστος</w:t>
      </w:r>
      <w:r w:rsidR="00160F0A" w:rsidRPr="006A1797">
        <w:rPr>
          <w:rFonts w:ascii="Arial" w:hAnsi="Arial" w:cs="Arial"/>
          <w:sz w:val="18"/>
          <w:szCs w:val="18"/>
          <w:lang w:val="el-GR"/>
        </w:rPr>
        <w:t xml:space="preserve"> και κατέχει </w:t>
      </w:r>
      <w:r w:rsidRPr="006A1797">
        <w:rPr>
          <w:rFonts w:ascii="Arial" w:hAnsi="Arial" w:cs="Arial"/>
          <w:sz w:val="18"/>
          <w:szCs w:val="18"/>
          <w:lang w:val="el-GR"/>
        </w:rPr>
        <w:t xml:space="preserve">υψηλή μέση πιστοληπτική αξιολόγηση </w:t>
      </w:r>
      <w:r w:rsidR="00160F0A" w:rsidRPr="006A1797">
        <w:rPr>
          <w:rFonts w:ascii="Arial" w:hAnsi="Arial" w:cs="Arial"/>
          <w:sz w:val="18"/>
          <w:szCs w:val="18"/>
          <w:lang w:val="el-GR"/>
        </w:rPr>
        <w:t>ύψους</w:t>
      </w:r>
      <w:r w:rsidRPr="006A1797">
        <w:rPr>
          <w:rFonts w:ascii="Arial" w:hAnsi="Arial" w:cs="Arial"/>
          <w:sz w:val="18"/>
          <w:szCs w:val="18"/>
          <w:lang w:val="el-GR"/>
        </w:rPr>
        <w:t xml:space="preserve"> </w:t>
      </w:r>
      <w:r w:rsidR="00160F0A" w:rsidRPr="006A1797">
        <w:rPr>
          <w:rFonts w:ascii="Arial" w:hAnsi="Arial" w:cs="Arial"/>
          <w:sz w:val="18"/>
          <w:szCs w:val="18"/>
          <w:lang w:val="en-US"/>
        </w:rPr>
        <w:t>Aa</w:t>
      </w:r>
      <w:r w:rsidR="00160F0A" w:rsidRPr="006A1797">
        <w:rPr>
          <w:rFonts w:ascii="Arial" w:hAnsi="Arial" w:cs="Arial"/>
          <w:sz w:val="18"/>
          <w:szCs w:val="18"/>
          <w:lang w:val="el-GR"/>
        </w:rPr>
        <w:t>3</w:t>
      </w:r>
      <w:r w:rsidR="003528B0" w:rsidRPr="006A1797">
        <w:rPr>
          <w:rFonts w:ascii="Arial" w:hAnsi="Arial" w:cs="Arial"/>
          <w:sz w:val="18"/>
          <w:szCs w:val="18"/>
          <w:lang w:val="el-GR"/>
        </w:rPr>
        <w:t xml:space="preserve">. </w:t>
      </w:r>
      <w:r w:rsidR="006041B9" w:rsidRPr="006A1797">
        <w:rPr>
          <w:rFonts w:ascii="Arial" w:hAnsi="Arial" w:cs="Arial"/>
          <w:sz w:val="18"/>
          <w:szCs w:val="18"/>
          <w:lang w:val="el-GR"/>
        </w:rPr>
        <w:t xml:space="preserve">Το χαρτοφυλάκιο ομολόγων που επιμετρείται σε αποσβεσμένο κόστος στις </w:t>
      </w:r>
      <w:r w:rsidR="009027BD" w:rsidRPr="006A1797">
        <w:rPr>
          <w:rFonts w:ascii="Arial" w:hAnsi="Arial" w:cs="Arial"/>
          <w:sz w:val="18"/>
          <w:szCs w:val="18"/>
          <w:lang w:val="el-GR"/>
        </w:rPr>
        <w:t xml:space="preserve">30 Ιουνίου </w:t>
      </w:r>
      <w:r w:rsidR="006041B9" w:rsidRPr="006A1797">
        <w:rPr>
          <w:rFonts w:ascii="Arial" w:hAnsi="Arial" w:cs="Arial"/>
          <w:sz w:val="18"/>
          <w:szCs w:val="18"/>
          <w:lang w:val="el-GR"/>
        </w:rPr>
        <w:t>2024 δημιουργεί μη πραγματοποιηθείσα ζημία εύλογης αξίας ύψους €</w:t>
      </w:r>
      <w:r w:rsidR="009027BD" w:rsidRPr="006A1797">
        <w:rPr>
          <w:rFonts w:ascii="Arial" w:hAnsi="Arial" w:cs="Arial"/>
          <w:sz w:val="18"/>
          <w:szCs w:val="18"/>
          <w:lang w:val="el-GR"/>
        </w:rPr>
        <w:t xml:space="preserve">29 </w:t>
      </w:r>
      <w:r w:rsidR="006041B9" w:rsidRPr="006A1797">
        <w:rPr>
          <w:rFonts w:ascii="Arial" w:hAnsi="Arial" w:cs="Arial"/>
          <w:sz w:val="18"/>
          <w:szCs w:val="18"/>
          <w:lang w:val="el-GR"/>
        </w:rPr>
        <w:t xml:space="preserve">εκατ., που ισοδυναμεί με περίπου </w:t>
      </w:r>
      <w:r w:rsidR="009027BD" w:rsidRPr="006A1797">
        <w:rPr>
          <w:rFonts w:ascii="Arial" w:hAnsi="Arial" w:cs="Arial"/>
          <w:sz w:val="18"/>
          <w:szCs w:val="18"/>
          <w:lang w:val="el-GR"/>
        </w:rPr>
        <w:t xml:space="preserve">30 </w:t>
      </w:r>
      <w:r w:rsidR="006041B9" w:rsidRPr="006A1797">
        <w:rPr>
          <w:rFonts w:ascii="Arial" w:hAnsi="Arial" w:cs="Arial"/>
          <w:sz w:val="18"/>
          <w:szCs w:val="18"/>
          <w:lang w:val="el-GR"/>
        </w:rPr>
        <w:t xml:space="preserve">μ.β. του δείκτη </w:t>
      </w:r>
      <w:r w:rsidR="006041B9" w:rsidRPr="006A1797">
        <w:rPr>
          <w:rFonts w:ascii="Arial" w:hAnsi="Arial" w:cs="Arial"/>
          <w:sz w:val="18"/>
          <w:szCs w:val="18"/>
          <w:lang w:val="en-US"/>
        </w:rPr>
        <w:t>CET</w:t>
      </w:r>
      <w:r w:rsidR="006041B9" w:rsidRPr="006A1797">
        <w:rPr>
          <w:rFonts w:ascii="Arial" w:hAnsi="Arial" w:cs="Arial"/>
          <w:sz w:val="18"/>
          <w:szCs w:val="18"/>
          <w:lang w:val="el-GR"/>
        </w:rPr>
        <w:t>1  (σε σύγκριση με μη πραγματοποιηθέν κέρδος</w:t>
      </w:r>
      <w:r w:rsidR="006041B9" w:rsidRPr="006A1797" w:rsidDel="00BD10F8">
        <w:rPr>
          <w:rFonts w:ascii="Arial" w:hAnsi="Arial" w:cs="Arial"/>
          <w:sz w:val="18"/>
          <w:szCs w:val="18"/>
          <w:lang w:val="el-GR"/>
        </w:rPr>
        <w:t xml:space="preserve"> </w:t>
      </w:r>
      <w:r w:rsidR="006041B9" w:rsidRPr="006A1797">
        <w:rPr>
          <w:rFonts w:ascii="Arial" w:hAnsi="Arial" w:cs="Arial"/>
          <w:sz w:val="18"/>
          <w:szCs w:val="18"/>
          <w:lang w:val="el-GR"/>
        </w:rPr>
        <w:t>εύλογης αξίας ύψους €</w:t>
      </w:r>
      <w:r w:rsidR="006041B9" w:rsidRPr="006A1797">
        <w:rPr>
          <w:rFonts w:ascii="Arial" w:eastAsia="Times New Roman" w:hAnsi="Arial" w:cs="Arial"/>
          <w:sz w:val="18"/>
          <w:szCs w:val="18"/>
          <w:lang w:val="el-GR" w:eastAsia="el-GR"/>
        </w:rPr>
        <w:t xml:space="preserve">3 </w:t>
      </w:r>
      <w:r w:rsidR="006041B9" w:rsidRPr="006A1797">
        <w:rPr>
          <w:rFonts w:ascii="Arial" w:hAnsi="Arial" w:cs="Arial"/>
          <w:sz w:val="18"/>
          <w:szCs w:val="18"/>
          <w:lang w:val="el-GR"/>
        </w:rPr>
        <w:t>εκατ. στις 31 Δεκεμβρίου 2023), λόγω της αύξησης των αποδόσεων στα ομόλογα.</w:t>
      </w:r>
    </w:p>
    <w:p w14:paraId="16F02641" w14:textId="77777777" w:rsidR="00862F17" w:rsidRPr="006A1797" w:rsidRDefault="00862F17" w:rsidP="00CE36EC">
      <w:pPr>
        <w:spacing w:after="0" w:line="240" w:lineRule="auto"/>
        <w:jc w:val="both"/>
        <w:rPr>
          <w:rFonts w:ascii="Arial" w:hAnsi="Arial" w:cs="Arial"/>
          <w:sz w:val="18"/>
          <w:szCs w:val="20"/>
          <w:lang w:val="el-GR"/>
        </w:rPr>
      </w:pPr>
    </w:p>
    <w:p w14:paraId="217629A0" w14:textId="540C9C58" w:rsidR="0058787D" w:rsidRPr="006B5511" w:rsidRDefault="00CE36EC" w:rsidP="00CA4D34">
      <w:pPr>
        <w:pStyle w:val="CommentText"/>
        <w:spacing w:after="0"/>
        <w:jc w:val="both"/>
        <w:rPr>
          <w:rFonts w:ascii="Arial" w:hAnsi="Arial" w:cs="Arial"/>
          <w:color w:val="000000"/>
          <w:sz w:val="18"/>
          <w:szCs w:val="24"/>
          <w:highlight w:val="yellow"/>
          <w:lang w:val="el-GR"/>
        </w:rPr>
      </w:pPr>
      <w:r w:rsidRPr="006A1797">
        <w:rPr>
          <w:rFonts w:ascii="Arial" w:hAnsi="Arial" w:cs="Arial"/>
          <w:color w:val="000000"/>
          <w:sz w:val="18"/>
          <w:szCs w:val="24"/>
          <w:lang w:val="el-GR"/>
        </w:rPr>
        <w:t xml:space="preserve">Επίσης, το Συγκρότημα </w:t>
      </w:r>
      <w:r w:rsidR="006041B9" w:rsidRPr="006A1797">
        <w:rPr>
          <w:rFonts w:ascii="Arial" w:hAnsi="Arial" w:cs="Arial"/>
          <w:color w:val="000000"/>
          <w:sz w:val="18"/>
          <w:szCs w:val="24"/>
          <w:lang w:val="el-GR"/>
        </w:rPr>
        <w:t>συνεχί</w:t>
      </w:r>
      <w:r w:rsidR="00AA6C3C" w:rsidRPr="006A1797">
        <w:rPr>
          <w:rFonts w:ascii="Arial" w:hAnsi="Arial" w:cs="Arial"/>
          <w:color w:val="000000"/>
          <w:sz w:val="18"/>
          <w:szCs w:val="24"/>
          <w:lang w:val="el-GR"/>
        </w:rPr>
        <w:t>ζ</w:t>
      </w:r>
      <w:r w:rsidR="006041B9" w:rsidRPr="006A1797">
        <w:rPr>
          <w:rFonts w:ascii="Arial" w:hAnsi="Arial" w:cs="Arial"/>
          <w:color w:val="000000"/>
          <w:sz w:val="18"/>
          <w:szCs w:val="24"/>
          <w:lang w:val="el-GR"/>
        </w:rPr>
        <w:t xml:space="preserve">ει να </w:t>
      </w:r>
      <w:r w:rsidRPr="006A1797">
        <w:rPr>
          <w:rFonts w:ascii="Arial" w:hAnsi="Arial" w:cs="Arial"/>
          <w:color w:val="000000"/>
          <w:sz w:val="18"/>
          <w:szCs w:val="18"/>
          <w:lang w:val="el-GR"/>
        </w:rPr>
        <w:t>επικεντρώνεται</w:t>
      </w:r>
      <w:r w:rsidRPr="006A1797">
        <w:rPr>
          <w:rFonts w:ascii="Arial" w:hAnsi="Arial" w:cs="Arial"/>
          <w:color w:val="000000"/>
          <w:sz w:val="18"/>
          <w:szCs w:val="24"/>
          <w:lang w:val="el-GR"/>
        </w:rPr>
        <w:t xml:space="preserve"> στη </w:t>
      </w:r>
      <w:r w:rsidRPr="006A1797">
        <w:rPr>
          <w:rFonts w:ascii="Arial" w:hAnsi="Arial" w:cs="Arial"/>
          <w:color w:val="000000"/>
          <w:sz w:val="18"/>
          <w:szCs w:val="18"/>
          <w:lang w:val="el-GR"/>
        </w:rPr>
        <w:t>συνεχή βελτίωση</w:t>
      </w:r>
      <w:r w:rsidRPr="006A1797">
        <w:rPr>
          <w:rFonts w:ascii="Arial" w:hAnsi="Arial" w:cs="Arial"/>
          <w:color w:val="000000"/>
          <w:sz w:val="18"/>
          <w:szCs w:val="24"/>
          <w:lang w:val="el-GR"/>
        </w:rPr>
        <w:t xml:space="preserve"> των εσόδων, μέσω πολλαπλών πρωτοβουλιών με χαμηλότερες κεφαλαιακές απαιτήσεις, με έμφαση στα έσοδα από αμοιβές και προμήθειες, ασφαλιστικές και άλλες μη τραπεζικές υπηρεσίες, αξιοποιώντας τις ψηφιακές δυνατότητες του Συγκροτήματος.</w:t>
      </w:r>
      <w:r w:rsidR="009027BD" w:rsidRPr="00560312">
        <w:rPr>
          <w:lang w:val="el-GR"/>
        </w:rPr>
        <w:t xml:space="preserve"> </w:t>
      </w:r>
      <w:r w:rsidRPr="006A1797">
        <w:rPr>
          <w:rFonts w:ascii="Arial" w:hAnsi="Arial" w:cs="Arial"/>
          <w:color w:val="000000"/>
          <w:sz w:val="18"/>
          <w:szCs w:val="18"/>
          <w:lang w:val="el-GR" w:eastAsia="el-GR"/>
        </w:rPr>
        <w:t xml:space="preserve">Τα μη επιτοκιακά έσοδα για </w:t>
      </w:r>
      <w:r w:rsidRPr="006A1797">
        <w:rPr>
          <w:rFonts w:ascii="Arial" w:hAnsi="Arial" w:cs="Arial"/>
          <w:color w:val="000000"/>
          <w:sz w:val="18"/>
          <w:szCs w:val="24"/>
          <w:lang w:val="el-GR"/>
        </w:rPr>
        <w:t>το</w:t>
      </w:r>
      <w:r w:rsidRPr="006A1797">
        <w:rPr>
          <w:rFonts w:ascii="Arial" w:hAnsi="Arial" w:cs="Arial"/>
          <w:color w:val="000000"/>
          <w:sz w:val="18"/>
          <w:szCs w:val="18"/>
          <w:lang w:val="el-GR"/>
        </w:rPr>
        <w:t xml:space="preserve"> </w:t>
      </w:r>
      <w:r w:rsidR="006041B9" w:rsidRPr="006A1797">
        <w:rPr>
          <w:rFonts w:ascii="Arial" w:hAnsi="Arial" w:cs="Arial"/>
          <w:color w:val="000000"/>
          <w:sz w:val="18"/>
          <w:szCs w:val="18"/>
          <w:lang w:val="el-GR"/>
        </w:rPr>
        <w:t xml:space="preserve">α’ </w:t>
      </w:r>
      <w:r w:rsidR="009027BD" w:rsidRPr="006A1797">
        <w:rPr>
          <w:rFonts w:ascii="Arial" w:hAnsi="Arial" w:cs="Arial"/>
          <w:color w:val="000000"/>
          <w:sz w:val="18"/>
          <w:szCs w:val="18"/>
          <w:lang w:val="el-GR"/>
        </w:rPr>
        <w:t xml:space="preserve">εξάμηνο </w:t>
      </w:r>
      <w:r w:rsidR="006041B9" w:rsidRPr="006A1797">
        <w:rPr>
          <w:rFonts w:ascii="Arial" w:hAnsi="Arial" w:cs="Arial"/>
          <w:color w:val="000000"/>
          <w:sz w:val="18"/>
          <w:szCs w:val="18"/>
          <w:lang w:val="el-GR"/>
        </w:rPr>
        <w:t>2024</w:t>
      </w:r>
      <w:r w:rsidR="00371F69" w:rsidRPr="006A1797">
        <w:rPr>
          <w:rFonts w:ascii="Arial" w:hAnsi="Arial" w:cs="Arial"/>
          <w:color w:val="000000"/>
          <w:sz w:val="18"/>
          <w:szCs w:val="18"/>
          <w:lang w:val="el-GR" w:eastAsia="en-US"/>
        </w:rPr>
        <w:t xml:space="preserve"> </w:t>
      </w:r>
      <w:r w:rsidRPr="006A1797">
        <w:rPr>
          <w:rFonts w:ascii="Arial" w:hAnsi="Arial" w:cs="Arial"/>
          <w:color w:val="000000"/>
          <w:sz w:val="18"/>
          <w:szCs w:val="18"/>
          <w:lang w:val="el-GR" w:eastAsia="el-GR"/>
        </w:rPr>
        <w:t>ανήλθαν σε €</w:t>
      </w:r>
      <w:r w:rsidR="009027BD" w:rsidRPr="006A1797">
        <w:rPr>
          <w:rFonts w:ascii="Arial" w:hAnsi="Arial" w:cs="Arial"/>
          <w:color w:val="000000"/>
          <w:sz w:val="18"/>
          <w:szCs w:val="18"/>
          <w:lang w:val="el-GR"/>
        </w:rPr>
        <w:t xml:space="preserve">129 </w:t>
      </w:r>
      <w:r w:rsidRPr="006A1797">
        <w:rPr>
          <w:rFonts w:ascii="Arial" w:hAnsi="Arial" w:cs="Arial"/>
          <w:color w:val="000000"/>
          <w:sz w:val="18"/>
          <w:szCs w:val="18"/>
          <w:lang w:val="el-GR" w:eastAsia="el-GR"/>
        </w:rPr>
        <w:t>εκατ.</w:t>
      </w:r>
      <w:r w:rsidR="003528B0" w:rsidRPr="006A1797">
        <w:rPr>
          <w:rFonts w:ascii="Arial" w:hAnsi="Arial" w:cs="Arial"/>
          <w:color w:val="000000"/>
          <w:sz w:val="18"/>
          <w:szCs w:val="18"/>
          <w:lang w:val="el-GR" w:eastAsia="el-GR"/>
        </w:rPr>
        <w:t>,</w:t>
      </w:r>
      <w:r w:rsidR="006041B9" w:rsidRPr="006A1797">
        <w:rPr>
          <w:rFonts w:ascii="Arial" w:hAnsi="Arial" w:cs="Arial"/>
          <w:color w:val="000000"/>
          <w:sz w:val="18"/>
          <w:szCs w:val="18"/>
          <w:lang w:val="el-GR" w:eastAsia="el-GR"/>
        </w:rPr>
        <w:t xml:space="preserve"> </w:t>
      </w:r>
      <w:r w:rsidRPr="006A1797">
        <w:rPr>
          <w:rFonts w:ascii="Arial" w:hAnsi="Arial" w:cs="Arial"/>
          <w:color w:val="000000"/>
          <w:sz w:val="18"/>
          <w:szCs w:val="18"/>
          <w:lang w:val="el-GR"/>
        </w:rPr>
        <w:t xml:space="preserve">καλύπτοντας </w:t>
      </w:r>
      <w:r w:rsidR="006041B9" w:rsidRPr="006A1797">
        <w:rPr>
          <w:rFonts w:ascii="Arial" w:hAnsi="Arial" w:cs="Arial"/>
          <w:color w:val="000000"/>
          <w:sz w:val="18"/>
          <w:szCs w:val="18"/>
          <w:lang w:val="el-GR"/>
        </w:rPr>
        <w:t xml:space="preserve">σχεδόν το </w:t>
      </w:r>
      <w:r w:rsidR="009027BD" w:rsidRPr="006A1797">
        <w:rPr>
          <w:rFonts w:ascii="Arial" w:hAnsi="Arial" w:cs="Arial"/>
          <w:color w:val="000000"/>
          <w:sz w:val="18"/>
          <w:szCs w:val="18"/>
          <w:lang w:val="el-GR"/>
        </w:rPr>
        <w:t>77</w:t>
      </w:r>
      <w:r w:rsidRPr="006A1797">
        <w:rPr>
          <w:rFonts w:ascii="Arial" w:hAnsi="Arial" w:cs="Arial"/>
          <w:color w:val="000000"/>
          <w:sz w:val="18"/>
          <w:szCs w:val="24"/>
          <w:lang w:val="el-GR"/>
        </w:rPr>
        <w:t>% των συνολικών λειτουργικών εξόδων του.</w:t>
      </w:r>
      <w:r w:rsidR="003528B0" w:rsidRPr="006A1797">
        <w:rPr>
          <w:rFonts w:ascii="Arial" w:hAnsi="Arial" w:cs="Arial"/>
          <w:color w:val="000000"/>
          <w:sz w:val="18"/>
          <w:szCs w:val="24"/>
          <w:lang w:val="el-GR"/>
        </w:rPr>
        <w:t xml:space="preserve"> </w:t>
      </w:r>
    </w:p>
    <w:p w14:paraId="6B4863A3" w14:textId="77777777" w:rsidR="00400383" w:rsidRPr="006A1797" w:rsidRDefault="00400383" w:rsidP="006A1797">
      <w:pPr>
        <w:pStyle w:val="Default"/>
        <w:jc w:val="both"/>
        <w:rPr>
          <w:lang w:val="el-GR"/>
        </w:rPr>
      </w:pPr>
    </w:p>
    <w:p w14:paraId="542E2F24" w14:textId="347A15E6" w:rsidR="00CE36EC" w:rsidRPr="00E86FC0" w:rsidRDefault="006041B9" w:rsidP="00CE36EC">
      <w:pPr>
        <w:spacing w:after="0" w:line="240" w:lineRule="auto"/>
        <w:jc w:val="both"/>
        <w:rPr>
          <w:rFonts w:ascii="Arial" w:hAnsi="Arial" w:cs="Arial"/>
          <w:sz w:val="18"/>
          <w:highlight w:val="yellow"/>
          <w:lang w:val="el-GR"/>
        </w:rPr>
      </w:pPr>
      <w:r w:rsidRPr="006A1797">
        <w:rPr>
          <w:rFonts w:ascii="Arial" w:hAnsi="Arial" w:cs="Arial"/>
          <w:sz w:val="18"/>
          <w:szCs w:val="18"/>
          <w:lang w:val="el-GR" w:eastAsia="el-GR"/>
        </w:rPr>
        <w:t xml:space="preserve">Κατά το α΄ </w:t>
      </w:r>
      <w:r w:rsidR="007B3935">
        <w:rPr>
          <w:rFonts w:ascii="Arial" w:hAnsi="Arial" w:cs="Arial"/>
          <w:sz w:val="18"/>
          <w:szCs w:val="18"/>
          <w:lang w:val="el-GR" w:eastAsia="el-GR"/>
        </w:rPr>
        <w:t xml:space="preserve">εξάμηνο </w:t>
      </w:r>
      <w:r w:rsidRPr="006A1797">
        <w:rPr>
          <w:rFonts w:ascii="Arial" w:hAnsi="Arial" w:cs="Arial"/>
          <w:sz w:val="18"/>
          <w:szCs w:val="18"/>
          <w:lang w:val="el-GR" w:eastAsia="el-GR"/>
        </w:rPr>
        <w:t>2024, τα καθαρά έσοδα από αμοιβές και προμήθειες ανήλθαν σε €</w:t>
      </w:r>
      <w:r w:rsidR="00400383" w:rsidRPr="006A1797">
        <w:rPr>
          <w:rFonts w:ascii="Arial" w:hAnsi="Arial" w:cs="Arial"/>
          <w:sz w:val="18"/>
          <w:lang w:val="el-GR"/>
        </w:rPr>
        <w:t xml:space="preserve">86 </w:t>
      </w:r>
      <w:r w:rsidRPr="006A1797">
        <w:rPr>
          <w:rFonts w:ascii="Arial" w:hAnsi="Arial" w:cs="Arial"/>
          <w:sz w:val="18"/>
          <w:szCs w:val="18"/>
          <w:lang w:val="el-GR" w:eastAsia="el-GR"/>
        </w:rPr>
        <w:t xml:space="preserve">εκατ., μειωμένα κατά </w:t>
      </w:r>
      <w:r w:rsidR="00400383" w:rsidRPr="006A1797">
        <w:rPr>
          <w:rFonts w:ascii="Arial" w:hAnsi="Arial" w:cs="Arial"/>
          <w:sz w:val="18"/>
          <w:lang w:val="el-GR"/>
        </w:rPr>
        <w:t>4</w:t>
      </w:r>
      <w:r w:rsidRPr="006A1797">
        <w:rPr>
          <w:rFonts w:ascii="Arial" w:hAnsi="Arial" w:cs="Arial"/>
          <w:sz w:val="18"/>
          <w:szCs w:val="18"/>
          <w:lang w:val="el-GR" w:eastAsia="el-GR"/>
        </w:rPr>
        <w:t xml:space="preserve">% σε </w:t>
      </w:r>
      <w:r w:rsidR="00400383" w:rsidRPr="006A1797">
        <w:rPr>
          <w:rFonts w:ascii="Arial" w:hAnsi="Arial" w:cs="Arial"/>
          <w:sz w:val="18"/>
          <w:szCs w:val="18"/>
          <w:lang w:val="el-GR" w:eastAsia="el-GR"/>
        </w:rPr>
        <w:t xml:space="preserve">ετήσια </w:t>
      </w:r>
      <w:r w:rsidRPr="006A1797">
        <w:rPr>
          <w:rFonts w:ascii="Arial" w:hAnsi="Arial" w:cs="Arial"/>
          <w:sz w:val="18"/>
          <w:szCs w:val="18"/>
          <w:lang w:val="el-GR" w:eastAsia="el-GR"/>
        </w:rPr>
        <w:t>βάση, λόγω της μείωσης στις αμοιβές από εργασίες πο</w:t>
      </w:r>
      <w:r w:rsidR="00400383" w:rsidRPr="006A1797">
        <w:rPr>
          <w:rFonts w:ascii="Arial" w:hAnsi="Arial" w:cs="Arial"/>
          <w:sz w:val="18"/>
          <w:szCs w:val="18"/>
          <w:lang w:val="el-GR" w:eastAsia="el-GR"/>
        </w:rPr>
        <w:t xml:space="preserve">υ </w:t>
      </w:r>
      <w:r w:rsidRPr="006A1797">
        <w:rPr>
          <w:rFonts w:ascii="Arial" w:hAnsi="Arial" w:cs="Arial"/>
          <w:sz w:val="18"/>
          <w:szCs w:val="18"/>
          <w:lang w:val="el-GR" w:eastAsia="el-GR"/>
        </w:rPr>
        <w:t>αφορούν συναλλαγές</w:t>
      </w:r>
      <w:r w:rsidR="00400383" w:rsidRPr="00560312">
        <w:rPr>
          <w:rFonts w:ascii="Arial" w:hAnsi="Arial" w:cs="Arial"/>
          <w:sz w:val="18"/>
          <w:szCs w:val="18"/>
          <w:lang w:val="el-GR" w:eastAsia="el-GR"/>
        </w:rPr>
        <w:t xml:space="preserve">. </w:t>
      </w:r>
      <w:r w:rsidR="00CE36EC" w:rsidRPr="006A1797">
        <w:rPr>
          <w:rFonts w:ascii="Arial" w:hAnsi="Arial" w:cs="Arial"/>
          <w:sz w:val="18"/>
          <w:lang w:val="el-GR"/>
        </w:rPr>
        <w:t xml:space="preserve">Τα καθαρά έσοδα από αμοιβές και προμήθειες ενισχύονται από τις προμήθειες συναλλαγών από τη θυγατρική του Συγκροτήματος, </w:t>
      </w:r>
      <w:r w:rsidR="00CE36EC" w:rsidRPr="006A1797">
        <w:rPr>
          <w:rFonts w:ascii="Arial" w:hAnsi="Arial" w:cs="Arial"/>
          <w:b/>
          <w:sz w:val="18"/>
          <w:lang w:val="el-GR"/>
        </w:rPr>
        <w:t>JCC Payment Systems Ltd</w:t>
      </w:r>
      <w:r w:rsidR="00CE36EC" w:rsidRPr="006A1797">
        <w:rPr>
          <w:rFonts w:ascii="Arial" w:hAnsi="Arial" w:cs="Arial"/>
          <w:sz w:val="18"/>
          <w:lang w:val="el-GR"/>
        </w:rPr>
        <w:t xml:space="preserve"> (JCC) που κατέχει ηγετική θέση στον κλάδο της επεξεργασίας καρτών και στις μεθόδους πληρωμών, η οποία ανήκει κατά 75% στην Τράπεζα.</w:t>
      </w:r>
      <w:r w:rsidRPr="006A1797">
        <w:rPr>
          <w:rFonts w:ascii="Arial" w:hAnsi="Arial" w:cs="Arial"/>
          <w:sz w:val="18"/>
          <w:lang w:val="el-GR"/>
        </w:rPr>
        <w:t xml:space="preserve"> </w:t>
      </w:r>
      <w:r w:rsidR="00CE36EC" w:rsidRPr="006A1797">
        <w:rPr>
          <w:rFonts w:ascii="Arial" w:hAnsi="Arial" w:cs="Arial"/>
          <w:sz w:val="18"/>
          <w:lang w:val="el-GR"/>
        </w:rPr>
        <w:t xml:space="preserve">Τα καθαρά έσοδα από αμοιβές και προμήθειες από την </w:t>
      </w:r>
      <w:r w:rsidR="00CE36EC" w:rsidRPr="006A1797">
        <w:rPr>
          <w:rFonts w:ascii="Arial" w:hAnsi="Arial" w:cs="Arial"/>
          <w:sz w:val="18"/>
          <w:lang w:val="en-US"/>
        </w:rPr>
        <w:t>JCC</w:t>
      </w:r>
      <w:r w:rsidR="00CE36EC" w:rsidRPr="006A1797">
        <w:rPr>
          <w:rFonts w:ascii="Arial" w:hAnsi="Arial" w:cs="Arial"/>
          <w:sz w:val="18"/>
          <w:lang w:val="el-GR"/>
        </w:rPr>
        <w:t xml:space="preserve"> κατά </w:t>
      </w:r>
      <w:r w:rsidRPr="006A1797">
        <w:rPr>
          <w:rFonts w:ascii="Arial" w:hAnsi="Arial" w:cs="Arial"/>
          <w:sz w:val="18"/>
          <w:lang w:val="el-GR"/>
        </w:rPr>
        <w:t xml:space="preserve">το α΄ </w:t>
      </w:r>
      <w:r w:rsidR="00400383" w:rsidRPr="006A1797">
        <w:rPr>
          <w:rFonts w:ascii="Arial" w:hAnsi="Arial" w:cs="Arial"/>
          <w:sz w:val="18"/>
          <w:lang w:val="el-GR"/>
        </w:rPr>
        <w:t xml:space="preserve">εξάμηνο </w:t>
      </w:r>
      <w:r w:rsidRPr="006A1797">
        <w:rPr>
          <w:rFonts w:ascii="Arial" w:hAnsi="Arial" w:cs="Arial"/>
          <w:sz w:val="18"/>
          <w:lang w:val="el-GR"/>
        </w:rPr>
        <w:t>2024</w:t>
      </w:r>
      <w:r w:rsidR="00CE36EC" w:rsidRPr="006A1797">
        <w:rPr>
          <w:rFonts w:ascii="Arial" w:hAnsi="Arial" w:cs="Arial"/>
          <w:sz w:val="18"/>
          <w:lang w:val="el-GR"/>
        </w:rPr>
        <w:t xml:space="preserve"> αποτελούν το </w:t>
      </w:r>
      <w:r w:rsidRPr="006A1797">
        <w:rPr>
          <w:rFonts w:ascii="Arial" w:hAnsi="Arial" w:cs="Arial"/>
          <w:sz w:val="18"/>
          <w:lang w:val="el-GR"/>
        </w:rPr>
        <w:t>11</w:t>
      </w:r>
      <w:r w:rsidR="00CE36EC" w:rsidRPr="006A1797">
        <w:rPr>
          <w:rFonts w:ascii="Arial" w:hAnsi="Arial" w:cs="Arial"/>
          <w:sz w:val="18"/>
          <w:lang w:val="el-GR"/>
        </w:rPr>
        <w:t>% των μη επιτοκιακών εσόδων του</w:t>
      </w:r>
      <w:r w:rsidR="00E33227" w:rsidRPr="006A1797">
        <w:rPr>
          <w:rFonts w:ascii="Arial" w:hAnsi="Arial" w:cs="Arial"/>
          <w:b/>
          <w:color w:val="FF9900"/>
          <w:sz w:val="24"/>
          <w:szCs w:val="24"/>
          <w:lang w:val="el-GR"/>
        </w:rPr>
        <w:t xml:space="preserve"> </w:t>
      </w:r>
      <w:r w:rsidR="00CE36EC" w:rsidRPr="006A1797">
        <w:rPr>
          <w:rFonts w:ascii="Arial" w:hAnsi="Arial" w:cs="Arial"/>
          <w:sz w:val="18"/>
          <w:lang w:val="el-GR"/>
        </w:rPr>
        <w:t>Συγκροτήματος</w:t>
      </w:r>
      <w:r w:rsidR="00CE36EC" w:rsidRPr="006A1797" w:rsidDel="00D36CAF">
        <w:rPr>
          <w:rFonts w:ascii="Arial" w:hAnsi="Arial" w:cs="Arial"/>
          <w:sz w:val="18"/>
          <w:lang w:val="el-GR"/>
        </w:rPr>
        <w:t xml:space="preserve"> </w:t>
      </w:r>
      <w:r w:rsidR="00CE36EC" w:rsidRPr="006A1797">
        <w:rPr>
          <w:rFonts w:ascii="Arial" w:hAnsi="Arial" w:cs="Arial"/>
          <w:sz w:val="18"/>
          <w:lang w:val="el-GR"/>
        </w:rPr>
        <w:t xml:space="preserve">και ανέρχονται σε </w:t>
      </w:r>
      <w:r w:rsidRPr="006A1797">
        <w:rPr>
          <w:rFonts w:ascii="Arial" w:hAnsi="Arial" w:cs="Arial"/>
          <w:sz w:val="18"/>
          <w:lang w:val="el-GR"/>
        </w:rPr>
        <w:t xml:space="preserve">περίπου </w:t>
      </w:r>
      <w:r w:rsidR="00CE36EC" w:rsidRPr="006A1797">
        <w:rPr>
          <w:rFonts w:ascii="Arial" w:hAnsi="Arial" w:cs="Arial"/>
          <w:sz w:val="18"/>
          <w:lang w:val="el-GR"/>
        </w:rPr>
        <w:t>€</w:t>
      </w:r>
      <w:r w:rsidR="00400383" w:rsidRPr="006A1797">
        <w:rPr>
          <w:rFonts w:ascii="Arial" w:hAnsi="Arial" w:cs="Arial"/>
          <w:sz w:val="18"/>
          <w:lang w:val="el-GR"/>
        </w:rPr>
        <w:t xml:space="preserve">14 </w:t>
      </w:r>
      <w:r w:rsidR="00CE36EC" w:rsidRPr="006A1797">
        <w:rPr>
          <w:rFonts w:ascii="Arial" w:hAnsi="Arial" w:cs="Arial"/>
          <w:sz w:val="18"/>
          <w:lang w:val="el-GR"/>
        </w:rPr>
        <w:t>εκατ.,</w:t>
      </w:r>
      <w:r w:rsidR="00400383">
        <w:rPr>
          <w:rFonts w:ascii="Arial" w:hAnsi="Arial" w:cs="Arial"/>
          <w:sz w:val="18"/>
          <w:lang w:val="el-GR"/>
        </w:rPr>
        <w:t xml:space="preserve"> </w:t>
      </w:r>
      <w:r w:rsidR="00CE36EC" w:rsidRPr="006A1797">
        <w:rPr>
          <w:rFonts w:ascii="Arial" w:hAnsi="Arial" w:cs="Arial"/>
          <w:sz w:val="18"/>
          <w:lang w:val="el-GR"/>
        </w:rPr>
        <w:t xml:space="preserve">αυξημένα κατά </w:t>
      </w:r>
      <w:r w:rsidR="00400383" w:rsidRPr="006A1797">
        <w:rPr>
          <w:rFonts w:ascii="Arial" w:hAnsi="Arial" w:cs="Arial"/>
          <w:sz w:val="18"/>
          <w:lang w:val="el-GR"/>
        </w:rPr>
        <w:t>3</w:t>
      </w:r>
      <w:r w:rsidR="00CE36EC" w:rsidRPr="006A1797">
        <w:rPr>
          <w:rFonts w:ascii="Arial" w:hAnsi="Arial" w:cs="Arial"/>
          <w:sz w:val="18"/>
          <w:lang w:val="el-GR"/>
        </w:rPr>
        <w:t>% σε ετήσια βάση, υποστηριζόμενα από ισχυρό όγκο συναλλαγών.</w:t>
      </w:r>
      <w:r w:rsidR="00400383">
        <w:rPr>
          <w:rFonts w:ascii="Arial" w:hAnsi="Arial" w:cs="Arial"/>
          <w:sz w:val="18"/>
          <w:lang w:val="el-GR"/>
        </w:rPr>
        <w:t xml:space="preserve"> </w:t>
      </w:r>
      <w:r w:rsidR="0058787D" w:rsidRPr="0058787D">
        <w:rPr>
          <w:rFonts w:ascii="Arial" w:hAnsi="Arial" w:cs="Arial"/>
          <w:sz w:val="18"/>
          <w:lang w:val="el-GR"/>
        </w:rPr>
        <w:t xml:space="preserve">Στο πλαίσιο της ευρύτερης στρατηγικής αξιολόγησής του, </w:t>
      </w:r>
      <w:r w:rsidR="007B3935">
        <w:rPr>
          <w:rFonts w:ascii="Arial" w:hAnsi="Arial" w:cs="Arial"/>
          <w:sz w:val="18"/>
          <w:lang w:val="el-GR"/>
        </w:rPr>
        <w:t>τ</w:t>
      </w:r>
      <w:r w:rsidR="0058787D" w:rsidRPr="0058787D">
        <w:rPr>
          <w:rFonts w:ascii="Arial" w:hAnsi="Arial" w:cs="Arial"/>
          <w:sz w:val="18"/>
          <w:lang w:val="el-GR"/>
        </w:rPr>
        <w:t xml:space="preserve">ο Συγκρότημα προβαίνει σε στρατηγική επανεξέταση η οποία μπορεί να οδηγήσει σε πιθανή πώληση μέρους ή του συνόλου του μεριδίου του στην JCC, αν και δεν έχει ληφθεί </w:t>
      </w:r>
      <w:r w:rsidR="0058787D">
        <w:rPr>
          <w:rFonts w:ascii="Arial" w:hAnsi="Arial" w:cs="Arial"/>
          <w:sz w:val="18"/>
          <w:lang w:val="el-GR"/>
        </w:rPr>
        <w:t xml:space="preserve">οποιαδήποτε </w:t>
      </w:r>
      <w:r w:rsidR="0058787D" w:rsidRPr="0058787D">
        <w:rPr>
          <w:rFonts w:ascii="Arial" w:hAnsi="Arial" w:cs="Arial"/>
          <w:sz w:val="18"/>
          <w:lang w:val="el-GR"/>
        </w:rPr>
        <w:t>απόφαση σε αυτό το στάδιο.</w:t>
      </w:r>
    </w:p>
    <w:p w14:paraId="0AD35C69" w14:textId="77777777" w:rsidR="00CE36EC" w:rsidRPr="006A1797" w:rsidRDefault="00CE36EC" w:rsidP="00CE36EC">
      <w:pPr>
        <w:spacing w:after="0" w:line="240" w:lineRule="auto"/>
        <w:jc w:val="both"/>
        <w:rPr>
          <w:rFonts w:ascii="Arial" w:hAnsi="Arial" w:cs="Arial"/>
          <w:sz w:val="18"/>
          <w:lang w:val="el-GR"/>
        </w:rPr>
      </w:pPr>
    </w:p>
    <w:p w14:paraId="22E30347" w14:textId="4AA6F9D0" w:rsidR="004C763A" w:rsidRPr="006A1797" w:rsidRDefault="00CE36EC" w:rsidP="00862F17">
      <w:pPr>
        <w:pStyle w:val="Default"/>
        <w:jc w:val="both"/>
        <w:rPr>
          <w:color w:val="auto"/>
          <w:sz w:val="18"/>
          <w:szCs w:val="18"/>
          <w:lang w:val="el-GR"/>
        </w:rPr>
      </w:pPr>
      <w:r w:rsidRPr="006A1797">
        <w:rPr>
          <w:color w:val="auto"/>
          <w:sz w:val="18"/>
          <w:lang w:val="el-GR"/>
        </w:rPr>
        <w:t xml:space="preserve">Οι </w:t>
      </w:r>
      <w:r w:rsidRPr="006A1797">
        <w:rPr>
          <w:b/>
          <w:color w:val="auto"/>
          <w:sz w:val="18"/>
          <w:lang w:val="el-GR"/>
        </w:rPr>
        <w:t>ασφαλιστικές εταιρείες</w:t>
      </w:r>
      <w:r w:rsidRPr="006A1797">
        <w:rPr>
          <w:color w:val="auto"/>
          <w:sz w:val="18"/>
          <w:lang w:val="el-GR"/>
        </w:rPr>
        <w:t xml:space="preserve"> του Συγκροτήματος, EuroLife και </w:t>
      </w:r>
      <w:r w:rsidRPr="006A1797">
        <w:rPr>
          <w:color w:val="auto"/>
          <w:sz w:val="18"/>
          <w:lang w:val="en-US"/>
        </w:rPr>
        <w:t>GI</w:t>
      </w:r>
      <w:r w:rsidRPr="006A1797">
        <w:rPr>
          <w:color w:val="auto"/>
          <w:sz w:val="18"/>
          <w:lang w:val="el-GR"/>
        </w:rPr>
        <w:t>, κατέχουν ηγετική θέση στο κλάδο ζωής και στον γενικό ασφαλιστικό κλάδο αντίστοιχα στην Κύπρο, και παρέχουν επαναλαμβανόμενα</w:t>
      </w:r>
      <w:r w:rsidRPr="006A1797">
        <w:rPr>
          <w:bCs/>
          <w:color w:val="auto"/>
          <w:sz w:val="18"/>
          <w:szCs w:val="28"/>
          <w:lang w:val="el-GR"/>
        </w:rPr>
        <w:t xml:space="preserve"> και βελτιωμένα</w:t>
      </w:r>
      <w:r w:rsidRPr="006A1797">
        <w:rPr>
          <w:color w:val="auto"/>
          <w:sz w:val="18"/>
          <w:lang w:val="el-GR"/>
        </w:rPr>
        <w:t xml:space="preserve"> έσοδα, διαφοροποιώντας περαιτέρω τις ροές εισοδημάτων του Συγκροτήματος. Τα καθαρά αποτελέσματα από ασφαλιστικές εργασίες</w:t>
      </w:r>
      <w:r w:rsidR="003C7615" w:rsidRPr="006A1797">
        <w:rPr>
          <w:color w:val="auto"/>
          <w:sz w:val="18"/>
          <w:lang w:val="el-GR"/>
        </w:rPr>
        <w:t xml:space="preserve"> για το</w:t>
      </w:r>
      <w:r w:rsidRPr="006A1797">
        <w:rPr>
          <w:color w:val="auto"/>
          <w:sz w:val="18"/>
          <w:lang w:val="el-GR"/>
        </w:rPr>
        <w:t xml:space="preserve"> </w:t>
      </w:r>
      <w:r w:rsidR="003C7615" w:rsidRPr="006A1797">
        <w:rPr>
          <w:color w:val="auto"/>
          <w:sz w:val="18"/>
          <w:lang w:val="el-GR"/>
        </w:rPr>
        <w:t>α’</w:t>
      </w:r>
      <w:r w:rsidR="00B44F06" w:rsidRPr="006A1797">
        <w:rPr>
          <w:color w:val="auto"/>
          <w:sz w:val="18"/>
          <w:lang w:val="el-GR"/>
        </w:rPr>
        <w:t xml:space="preserve"> εξάμηνο </w:t>
      </w:r>
      <w:r w:rsidR="003C7615" w:rsidRPr="006A1797">
        <w:rPr>
          <w:color w:val="auto"/>
          <w:sz w:val="18"/>
          <w:lang w:val="el-GR"/>
        </w:rPr>
        <w:t>2024</w:t>
      </w:r>
      <w:r w:rsidRPr="006A1797">
        <w:rPr>
          <w:color w:val="auto"/>
          <w:sz w:val="18"/>
          <w:lang w:val="el-GR"/>
        </w:rPr>
        <w:t xml:space="preserve"> αποτελούν </w:t>
      </w:r>
      <w:r w:rsidR="003C7615" w:rsidRPr="006A1797">
        <w:rPr>
          <w:color w:val="auto"/>
          <w:sz w:val="18"/>
          <w:lang w:val="el-GR"/>
        </w:rPr>
        <w:t xml:space="preserve">περίπου </w:t>
      </w:r>
      <w:r w:rsidRPr="006A1797">
        <w:rPr>
          <w:color w:val="auto"/>
          <w:sz w:val="18"/>
          <w:lang w:val="el-GR"/>
        </w:rPr>
        <w:t xml:space="preserve">το </w:t>
      </w:r>
      <w:r w:rsidR="00B44F06" w:rsidRPr="006A1797">
        <w:rPr>
          <w:sz w:val="18"/>
          <w:lang w:val="el-GR"/>
        </w:rPr>
        <w:t>18</w:t>
      </w:r>
      <w:r w:rsidRPr="006A1797">
        <w:rPr>
          <w:color w:val="auto"/>
          <w:sz w:val="18"/>
          <w:lang w:val="el-GR"/>
        </w:rPr>
        <w:t>% των μη επιτοκιακών εσόδων του Συγκροτήματος και</w:t>
      </w:r>
      <w:r w:rsidR="00CA4D34" w:rsidRPr="006A1797">
        <w:rPr>
          <w:color w:val="auto"/>
          <w:sz w:val="18"/>
          <w:lang w:val="el-GR"/>
        </w:rPr>
        <w:t xml:space="preserve"> </w:t>
      </w:r>
      <w:r w:rsidRPr="006A1797">
        <w:rPr>
          <w:sz w:val="18"/>
          <w:lang w:val="el-GR"/>
        </w:rPr>
        <w:t>ανέρχονται σε €</w:t>
      </w:r>
      <w:r w:rsidR="00B44F06" w:rsidRPr="006A1797">
        <w:rPr>
          <w:sz w:val="18"/>
          <w:lang w:val="el-GR"/>
        </w:rPr>
        <w:t xml:space="preserve">23 </w:t>
      </w:r>
      <w:r w:rsidRPr="006A1797">
        <w:rPr>
          <w:sz w:val="18"/>
          <w:lang w:val="el-GR"/>
        </w:rPr>
        <w:t>εκατ.</w:t>
      </w:r>
      <w:r w:rsidR="00B44F06" w:rsidRPr="006A1797">
        <w:rPr>
          <w:sz w:val="18"/>
          <w:lang w:val="el-GR"/>
        </w:rPr>
        <w:t xml:space="preserve"> </w:t>
      </w:r>
      <w:r w:rsidR="00D21AE2" w:rsidRPr="006A1797">
        <w:rPr>
          <w:color w:val="auto"/>
          <w:sz w:val="18"/>
          <w:lang w:val="el-GR"/>
        </w:rPr>
        <w:t xml:space="preserve">Οι ασφαλιστικές εταιρείες παραμένουν σημαντικοί και σταθεροί παράγοντες στην κερδοφορία του Συγκροτήματος. </w:t>
      </w:r>
    </w:p>
    <w:p w14:paraId="6C9FB2BD" w14:textId="77777777" w:rsidR="00D21AE2" w:rsidRPr="006A1797" w:rsidRDefault="00D21AE2" w:rsidP="00CE36EC">
      <w:pPr>
        <w:spacing w:after="0" w:line="240" w:lineRule="auto"/>
        <w:jc w:val="both"/>
        <w:rPr>
          <w:rFonts w:ascii="Arial" w:hAnsi="Arial" w:cs="Arial"/>
          <w:sz w:val="18"/>
          <w:lang w:val="el-GR"/>
        </w:rPr>
      </w:pPr>
    </w:p>
    <w:p w14:paraId="39CAF15E" w14:textId="04FB5BD4" w:rsidR="003C7615" w:rsidRPr="006A1797" w:rsidRDefault="00CE36EC" w:rsidP="00CE36EC">
      <w:pPr>
        <w:spacing w:after="0" w:line="240" w:lineRule="auto"/>
        <w:jc w:val="both"/>
        <w:rPr>
          <w:rFonts w:ascii="Arial" w:hAnsi="Arial" w:cs="Arial"/>
          <w:sz w:val="18"/>
          <w:lang w:val="el-GR"/>
        </w:rPr>
      </w:pPr>
      <w:r w:rsidRPr="006A1797">
        <w:rPr>
          <w:rFonts w:ascii="Arial" w:hAnsi="Arial" w:cs="Arial"/>
          <w:sz w:val="18"/>
          <w:lang w:val="el-GR"/>
        </w:rPr>
        <w:t xml:space="preserve">Τέλος, το Συγκρότημα με την εισαγωγή της </w:t>
      </w:r>
      <w:r w:rsidRPr="006A1797">
        <w:rPr>
          <w:rFonts w:ascii="Arial" w:hAnsi="Arial" w:cs="Arial"/>
          <w:b/>
          <w:bCs/>
          <w:sz w:val="18"/>
          <w:lang w:val="el-GR"/>
        </w:rPr>
        <w:t>Πλατφόρμας Ψηφιακής Οικονομίας (</w:t>
      </w:r>
      <w:r w:rsidRPr="006A1797">
        <w:rPr>
          <w:rFonts w:ascii="Arial" w:hAnsi="Arial" w:cs="Arial"/>
          <w:b/>
          <w:bCs/>
          <w:sz w:val="18"/>
          <w:lang w:val="en-US"/>
        </w:rPr>
        <w:t>Jinius</w:t>
      </w:r>
      <w:r w:rsidRPr="006A1797">
        <w:rPr>
          <w:rFonts w:ascii="Arial" w:hAnsi="Arial" w:cs="Arial"/>
          <w:b/>
          <w:bCs/>
          <w:sz w:val="18"/>
          <w:lang w:val="el-GR"/>
        </w:rPr>
        <w:t>)</w:t>
      </w:r>
      <w:r w:rsidRPr="006A1797">
        <w:rPr>
          <w:rFonts w:ascii="Arial" w:hAnsi="Arial" w:cs="Arial"/>
          <w:sz w:val="18"/>
          <w:lang w:val="el-GR"/>
        </w:rPr>
        <w:t xml:space="preserve"> (‘η Πλατφόρμα’) στοχεύει να υποστηρίξει την ψηφιακή οικονομία της χώρας βελτιστοποιώντας τις συναλλαγές και διαδικασίες με ένα αποδοτικότερο τρόπο, να ενδυναμώσει τις σχέσεις της Τράπεζας με τους πελάτες της, να δημιουργήσει ευκαιρίες διασταυρωμένων πωλήσεων καθώς επίσης και να δημιουργήσει νέες πηγές εισοδημάτων μεσοπρόθεσμα, αξιοποιώντας το ισχυρό μερίδιο αγοράς, την τεχνογνωσία και την</w:t>
      </w:r>
      <w:r w:rsidRPr="006A1797">
        <w:rPr>
          <w:rFonts w:ascii="Arial" w:hAnsi="Arial" w:cs="Arial"/>
          <w:b/>
          <w:bCs/>
          <w:sz w:val="18"/>
          <w:lang w:val="el-GR"/>
        </w:rPr>
        <w:t xml:space="preserve"> </w:t>
      </w:r>
      <w:r w:rsidRPr="006A1797">
        <w:rPr>
          <w:rFonts w:ascii="Arial" w:hAnsi="Arial" w:cs="Arial"/>
          <w:sz w:val="18"/>
          <w:lang w:val="el-GR"/>
        </w:rPr>
        <w:t xml:space="preserve">ψηφιακή υποδομή της Τράπεζας. Οι πρώτες υπηρεσίες οι οποίες αφορούν συναλλαγές </w:t>
      </w:r>
      <w:r w:rsidR="005B0668" w:rsidRPr="006A1797">
        <w:rPr>
          <w:rFonts w:ascii="Arial" w:hAnsi="Arial" w:cs="Arial"/>
          <w:sz w:val="18"/>
          <w:lang w:val="el-GR"/>
        </w:rPr>
        <w:t>‘</w:t>
      </w:r>
      <w:r w:rsidRPr="006A1797">
        <w:rPr>
          <w:rFonts w:ascii="Arial" w:hAnsi="Arial" w:cs="Arial"/>
          <w:sz w:val="18"/>
          <w:lang w:val="el-GR"/>
        </w:rPr>
        <w:t>από επιχείρηση σε επιχείρηση</w:t>
      </w:r>
      <w:r w:rsidR="005B0668" w:rsidRPr="006A1797">
        <w:rPr>
          <w:rFonts w:ascii="Arial" w:hAnsi="Arial" w:cs="Arial"/>
          <w:sz w:val="18"/>
          <w:lang w:val="el-GR"/>
        </w:rPr>
        <w:t>’</w:t>
      </w:r>
      <w:r w:rsidRPr="006A1797">
        <w:rPr>
          <w:rFonts w:ascii="Arial" w:hAnsi="Arial" w:cs="Arial"/>
          <w:sz w:val="18"/>
          <w:lang w:val="el-GR"/>
        </w:rPr>
        <w:t>, ήδη χρησιμοποιούνται από πελάτες, και περιλαμβάνουν την ηλεκτρονική τιμολόγηση, διαχείριση εμβασμάτων, διαχείριση προσφορών καθώς και τη δυνατότητα εύρεσης υφιστάμενων αλλά και νέων συνεργατών</w:t>
      </w:r>
      <w:r w:rsidR="00271E89" w:rsidRPr="006A1797">
        <w:rPr>
          <w:rFonts w:ascii="Arial" w:hAnsi="Arial" w:cs="Arial"/>
          <w:sz w:val="18"/>
          <w:lang w:val="el-GR"/>
        </w:rPr>
        <w:t>. Επί του παρόντος, π</w:t>
      </w:r>
      <w:r w:rsidR="003C7615" w:rsidRPr="006A1797">
        <w:rPr>
          <w:rFonts w:ascii="Arial" w:hAnsi="Arial" w:cs="Arial"/>
          <w:sz w:val="18"/>
          <w:lang w:val="el-GR"/>
        </w:rPr>
        <w:t xml:space="preserve">ερίπου </w:t>
      </w:r>
      <w:r w:rsidR="004C0AE7" w:rsidRPr="006A1797">
        <w:rPr>
          <w:rFonts w:ascii="Arial" w:hAnsi="Arial" w:cs="Arial"/>
          <w:sz w:val="18"/>
          <w:lang w:val="el-GR"/>
        </w:rPr>
        <w:t xml:space="preserve">2,200 </w:t>
      </w:r>
      <w:r w:rsidR="00271E89" w:rsidRPr="006A1797">
        <w:rPr>
          <w:rFonts w:ascii="Arial" w:hAnsi="Arial" w:cs="Arial"/>
          <w:sz w:val="18"/>
          <w:lang w:val="el-GR"/>
        </w:rPr>
        <w:t>εταιρείες έχουν εγγραφεί στην πλατφόρμα και πάνω από €</w:t>
      </w:r>
      <w:r w:rsidR="004C0AE7" w:rsidRPr="006A1797">
        <w:rPr>
          <w:rFonts w:ascii="Arial" w:hAnsi="Arial" w:cs="Arial"/>
          <w:sz w:val="18"/>
          <w:lang w:val="el-GR"/>
        </w:rPr>
        <w:t xml:space="preserve">600 </w:t>
      </w:r>
      <w:r w:rsidR="00271E89" w:rsidRPr="006A1797">
        <w:rPr>
          <w:rFonts w:ascii="Arial" w:hAnsi="Arial" w:cs="Arial"/>
          <w:sz w:val="18"/>
          <w:lang w:val="el-GR"/>
        </w:rPr>
        <w:t xml:space="preserve">εκατ. μετρητά ανταλλάχθηκαν μέσω της πλατφόρμας </w:t>
      </w:r>
      <w:r w:rsidR="003C7615" w:rsidRPr="006A1797">
        <w:rPr>
          <w:rFonts w:ascii="Arial" w:hAnsi="Arial" w:cs="Arial"/>
          <w:sz w:val="18"/>
          <w:lang w:val="el-GR"/>
        </w:rPr>
        <w:t>από το</w:t>
      </w:r>
      <w:r w:rsidR="00271E89" w:rsidRPr="006A1797">
        <w:rPr>
          <w:rFonts w:ascii="Arial" w:hAnsi="Arial" w:cs="Arial"/>
          <w:sz w:val="18"/>
          <w:lang w:val="el-GR"/>
        </w:rPr>
        <w:t xml:space="preserve"> 2023</w:t>
      </w:r>
      <w:r w:rsidR="003C7615" w:rsidRPr="006A1797">
        <w:rPr>
          <w:rFonts w:ascii="Arial" w:hAnsi="Arial" w:cs="Arial"/>
          <w:sz w:val="18"/>
          <w:lang w:val="el-GR"/>
        </w:rPr>
        <w:t xml:space="preserve"> </w:t>
      </w:r>
      <w:r w:rsidR="00271E89" w:rsidRPr="006A1797">
        <w:rPr>
          <w:rFonts w:ascii="Arial" w:hAnsi="Arial" w:cs="Arial"/>
          <w:sz w:val="18"/>
          <w:lang w:val="el-GR"/>
        </w:rPr>
        <w:t xml:space="preserve">μέσω των υπηρεσιών ηλεκτρονικής τιμολόγησης και διαχείρισης εμβασμάτων. </w:t>
      </w:r>
    </w:p>
    <w:p w14:paraId="75DF5CDF" w14:textId="77777777" w:rsidR="003C7615" w:rsidRPr="006A1797" w:rsidRDefault="003C7615" w:rsidP="00CE36EC">
      <w:pPr>
        <w:spacing w:after="0" w:line="240" w:lineRule="auto"/>
        <w:jc w:val="both"/>
        <w:rPr>
          <w:rFonts w:ascii="Arial" w:hAnsi="Arial" w:cs="Arial"/>
          <w:sz w:val="18"/>
          <w:lang w:val="el-GR"/>
        </w:rPr>
      </w:pPr>
    </w:p>
    <w:p w14:paraId="2646AC2A" w14:textId="1A16F8D7" w:rsidR="00271E89" w:rsidRPr="006A1797" w:rsidRDefault="00271E89" w:rsidP="00CE36EC">
      <w:pPr>
        <w:spacing w:after="0" w:line="240" w:lineRule="auto"/>
        <w:jc w:val="both"/>
        <w:rPr>
          <w:rFonts w:ascii="Arial" w:hAnsi="Arial" w:cs="Arial"/>
          <w:sz w:val="18"/>
          <w:lang w:val="el-GR"/>
        </w:rPr>
      </w:pPr>
      <w:r w:rsidRPr="006A1797">
        <w:rPr>
          <w:rFonts w:ascii="Arial" w:hAnsi="Arial" w:cs="Arial"/>
          <w:sz w:val="18"/>
          <w:lang w:val="el-GR"/>
        </w:rPr>
        <w:t>Τον Φεβρουάριο 2024,</w:t>
      </w:r>
      <w:r w:rsidR="001A6731" w:rsidRPr="006A1797">
        <w:rPr>
          <w:rFonts w:ascii="Arial" w:hAnsi="Arial" w:cs="Arial"/>
          <w:sz w:val="18"/>
          <w:lang w:val="el-GR"/>
        </w:rPr>
        <w:t xml:space="preserve"> </w:t>
      </w:r>
      <w:r w:rsidRPr="006A1797">
        <w:rPr>
          <w:rFonts w:ascii="Arial" w:hAnsi="Arial" w:cs="Arial"/>
          <w:sz w:val="18"/>
          <w:lang w:val="el-GR"/>
        </w:rPr>
        <w:t>τέθηκαν σε εφαρμογή οι</w:t>
      </w:r>
      <w:r w:rsidR="00CE36EC" w:rsidRPr="006A1797">
        <w:rPr>
          <w:rFonts w:ascii="Arial" w:hAnsi="Arial" w:cs="Arial"/>
          <w:sz w:val="18"/>
          <w:lang w:val="el-GR"/>
        </w:rPr>
        <w:t xml:space="preserve"> υπηρεσίες οι οποίες αφορούν και τον καταναλωτή,</w:t>
      </w:r>
      <w:r w:rsidRPr="006A1797">
        <w:rPr>
          <w:rFonts w:ascii="Arial" w:hAnsi="Arial" w:cs="Arial"/>
          <w:sz w:val="18"/>
          <w:lang w:val="el-GR"/>
        </w:rPr>
        <w:t xml:space="preserve"> </w:t>
      </w:r>
      <w:r w:rsidR="00CE36EC" w:rsidRPr="006A1797">
        <w:rPr>
          <w:rFonts w:ascii="Arial" w:hAnsi="Arial" w:cs="Arial"/>
          <w:sz w:val="18"/>
          <w:lang w:val="el-GR"/>
        </w:rPr>
        <w:t>μια πλατφόρμα αγοράς προϊόντων, με στόχο τη</w:t>
      </w:r>
      <w:r w:rsidRPr="006A1797">
        <w:rPr>
          <w:rFonts w:ascii="Arial" w:hAnsi="Arial" w:cs="Arial"/>
          <w:sz w:val="18"/>
          <w:lang w:val="el-GR"/>
        </w:rPr>
        <w:t xml:space="preserve">ν ενίσχυση </w:t>
      </w:r>
      <w:r w:rsidR="001A6731" w:rsidRPr="006A1797">
        <w:rPr>
          <w:rFonts w:ascii="Arial" w:hAnsi="Arial" w:cs="Arial"/>
          <w:sz w:val="18"/>
          <w:lang w:val="el-GR"/>
        </w:rPr>
        <w:t>της επαφής</w:t>
      </w:r>
      <w:r w:rsidRPr="006A1797">
        <w:rPr>
          <w:rFonts w:ascii="Arial" w:hAnsi="Arial" w:cs="Arial"/>
          <w:sz w:val="18"/>
          <w:lang w:val="el-GR"/>
        </w:rPr>
        <w:t xml:space="preserve"> </w:t>
      </w:r>
      <w:r w:rsidR="001A6731" w:rsidRPr="006A1797">
        <w:rPr>
          <w:rFonts w:ascii="Arial" w:hAnsi="Arial" w:cs="Arial"/>
          <w:sz w:val="18"/>
          <w:lang w:val="el-GR"/>
        </w:rPr>
        <w:t>με</w:t>
      </w:r>
      <w:r w:rsidRPr="006A1797">
        <w:rPr>
          <w:rFonts w:ascii="Arial" w:hAnsi="Arial" w:cs="Arial"/>
          <w:sz w:val="18"/>
          <w:lang w:val="el-GR"/>
        </w:rPr>
        <w:t xml:space="preserve"> τους πελάτες. </w:t>
      </w:r>
      <w:r w:rsidR="001A6731" w:rsidRPr="006A1797">
        <w:rPr>
          <w:rFonts w:ascii="Arial" w:hAnsi="Arial" w:cs="Arial"/>
          <w:sz w:val="18"/>
          <w:lang w:val="el-GR"/>
        </w:rPr>
        <w:t xml:space="preserve">Επι του παρόντος, </w:t>
      </w:r>
      <w:r w:rsidR="00A57BD7" w:rsidRPr="006A1797">
        <w:rPr>
          <w:rFonts w:ascii="Arial" w:hAnsi="Arial" w:cs="Arial"/>
          <w:sz w:val="18"/>
          <w:lang w:val="el-GR"/>
        </w:rPr>
        <w:t xml:space="preserve">περίπου </w:t>
      </w:r>
      <w:r w:rsidR="004C0AE7" w:rsidRPr="006A1797">
        <w:rPr>
          <w:rFonts w:ascii="Arial" w:hAnsi="Arial" w:cs="Arial"/>
          <w:sz w:val="18"/>
          <w:lang w:val="el-GR"/>
        </w:rPr>
        <w:t xml:space="preserve">130 </w:t>
      </w:r>
      <w:r w:rsidR="001A6731" w:rsidRPr="006A1797">
        <w:rPr>
          <w:rFonts w:ascii="Arial" w:hAnsi="Arial" w:cs="Arial"/>
          <w:sz w:val="18"/>
          <w:lang w:val="el-GR"/>
        </w:rPr>
        <w:t>πωλητές του λιανικού τομέα στους τομείς της μόδας</w:t>
      </w:r>
      <w:r w:rsidR="00A57BD7" w:rsidRPr="006A1797">
        <w:rPr>
          <w:rFonts w:ascii="Arial" w:hAnsi="Arial" w:cs="Arial"/>
          <w:sz w:val="18"/>
          <w:lang w:val="el-GR"/>
        </w:rPr>
        <w:t xml:space="preserve">, </w:t>
      </w:r>
      <w:r w:rsidR="001A6731" w:rsidRPr="006A1797">
        <w:rPr>
          <w:rFonts w:ascii="Arial" w:hAnsi="Arial" w:cs="Arial"/>
          <w:sz w:val="18"/>
          <w:lang w:val="el-GR"/>
        </w:rPr>
        <w:t>τεχνολογίας</w:t>
      </w:r>
      <w:r w:rsidR="004C0AE7" w:rsidRPr="006A1797">
        <w:rPr>
          <w:rFonts w:ascii="Arial" w:hAnsi="Arial" w:cs="Arial"/>
          <w:sz w:val="18"/>
          <w:lang w:val="el-GR"/>
        </w:rPr>
        <w:t xml:space="preserve">, </w:t>
      </w:r>
      <w:r w:rsidR="00A57BD7" w:rsidRPr="006A1797">
        <w:rPr>
          <w:rFonts w:ascii="Arial" w:hAnsi="Arial" w:cs="Arial"/>
          <w:sz w:val="18"/>
          <w:lang w:val="el-GR"/>
        </w:rPr>
        <w:t>ομορφιάς</w:t>
      </w:r>
      <w:r w:rsidR="004C0AE7" w:rsidRPr="006A1797">
        <w:rPr>
          <w:rFonts w:ascii="Arial" w:hAnsi="Arial" w:cs="Arial"/>
          <w:sz w:val="18"/>
          <w:lang w:val="el-GR"/>
        </w:rPr>
        <w:t xml:space="preserve">, μικροσυσκευών, παιχνιδιών </w:t>
      </w:r>
      <w:r w:rsidR="004C0AE7">
        <w:rPr>
          <w:rFonts w:ascii="Arial" w:hAnsi="Arial" w:cs="Arial"/>
          <w:sz w:val="18"/>
          <w:lang w:val="el-GR"/>
        </w:rPr>
        <w:t>και συσκευών προσωπικής φροντίδας</w:t>
      </w:r>
      <w:r w:rsidR="004C0AE7" w:rsidRPr="006A1797">
        <w:rPr>
          <w:rFonts w:ascii="Arial" w:hAnsi="Arial" w:cs="Arial"/>
          <w:sz w:val="18"/>
          <w:lang w:val="el-GR"/>
        </w:rPr>
        <w:t xml:space="preserve"> </w:t>
      </w:r>
      <w:r w:rsidR="001A6731" w:rsidRPr="006A1797">
        <w:rPr>
          <w:rFonts w:ascii="Arial" w:hAnsi="Arial" w:cs="Arial"/>
          <w:sz w:val="18"/>
          <w:lang w:val="el-GR"/>
        </w:rPr>
        <w:t>εντάχθηκαν στην πλατφόρμα και περ</w:t>
      </w:r>
      <w:r w:rsidR="00A57BD7" w:rsidRPr="006A1797">
        <w:rPr>
          <w:rFonts w:ascii="Arial" w:hAnsi="Arial" w:cs="Arial"/>
          <w:sz w:val="18"/>
          <w:lang w:val="el-GR"/>
        </w:rPr>
        <w:t xml:space="preserve">ίπου </w:t>
      </w:r>
      <w:r w:rsidR="004C0AE7" w:rsidRPr="006A1797">
        <w:rPr>
          <w:rFonts w:ascii="Arial" w:hAnsi="Arial" w:cs="Arial"/>
          <w:sz w:val="18"/>
          <w:lang w:val="el-GR"/>
        </w:rPr>
        <w:t xml:space="preserve">160 </w:t>
      </w:r>
      <w:r w:rsidR="001A6731" w:rsidRPr="006A1797">
        <w:rPr>
          <w:rFonts w:ascii="Arial" w:hAnsi="Arial" w:cs="Arial"/>
          <w:sz w:val="18"/>
          <w:lang w:val="el-GR"/>
        </w:rPr>
        <w:t>χιλιάδες προϊόντα καταχωρήθηκαν</w:t>
      </w:r>
      <w:r w:rsidR="00A57BD7" w:rsidRPr="006A1797">
        <w:rPr>
          <w:rFonts w:ascii="Arial" w:hAnsi="Arial" w:cs="Arial"/>
          <w:sz w:val="18"/>
          <w:lang w:val="el-GR"/>
        </w:rPr>
        <w:t xml:space="preserve"> στην πλατφόρμα. </w:t>
      </w:r>
      <w:r w:rsidR="001A6731" w:rsidRPr="006A1797">
        <w:rPr>
          <w:rFonts w:ascii="Arial" w:hAnsi="Arial" w:cs="Arial"/>
          <w:sz w:val="18"/>
          <w:lang w:val="el-GR"/>
        </w:rPr>
        <w:t xml:space="preserve">  </w:t>
      </w:r>
    </w:p>
    <w:p w14:paraId="331DA484" w14:textId="77777777" w:rsidR="00B205EF" w:rsidRPr="006B5511" w:rsidRDefault="00B205EF" w:rsidP="00CE36EC">
      <w:pPr>
        <w:spacing w:after="0" w:line="240" w:lineRule="auto"/>
        <w:jc w:val="both"/>
        <w:rPr>
          <w:rFonts w:ascii="Arial" w:hAnsi="Arial" w:cs="Arial"/>
          <w:sz w:val="18"/>
          <w:highlight w:val="yellow"/>
          <w:lang w:val="el-GR"/>
        </w:rPr>
      </w:pPr>
    </w:p>
    <w:p w14:paraId="3ABF537A" w14:textId="77777777" w:rsidR="00AD70ED" w:rsidRPr="006A1797" w:rsidRDefault="00AD70ED" w:rsidP="00AD70ED">
      <w:pPr>
        <w:spacing w:after="0" w:line="360" w:lineRule="auto"/>
        <w:jc w:val="both"/>
        <w:rPr>
          <w:rFonts w:ascii="Arial" w:hAnsi="Arial" w:cs="Arial"/>
          <w:b/>
          <w:i/>
          <w:color w:val="FF9900"/>
          <w:sz w:val="20"/>
          <w:lang w:val="el-GR"/>
        </w:rPr>
      </w:pPr>
      <w:r w:rsidRPr="006A1797">
        <w:rPr>
          <w:rFonts w:ascii="Arial" w:hAnsi="Arial" w:cs="Arial"/>
          <w:b/>
          <w:i/>
          <w:color w:val="FF9900"/>
          <w:sz w:val="20"/>
          <w:lang w:val="el-GR"/>
        </w:rPr>
        <w:t>Ορθολογιστικό μοντέλο λειτουργίας</w:t>
      </w:r>
    </w:p>
    <w:p w14:paraId="5E4615BA" w14:textId="3BAEE653" w:rsidR="00B205EF" w:rsidRPr="006A1797" w:rsidRDefault="00AD70ED" w:rsidP="00CE36EC">
      <w:pPr>
        <w:spacing w:after="0" w:line="240" w:lineRule="auto"/>
        <w:jc w:val="both"/>
        <w:rPr>
          <w:rFonts w:ascii="Arial" w:hAnsi="Arial" w:cs="Arial"/>
          <w:sz w:val="18"/>
          <w:lang w:val="el-GR"/>
        </w:rPr>
      </w:pPr>
      <w:r w:rsidRPr="006A1797">
        <w:rPr>
          <w:rFonts w:ascii="Arial" w:hAnsi="Arial" w:cs="Arial"/>
          <w:sz w:val="18"/>
          <w:lang w:val="el-GR"/>
        </w:rPr>
        <w:t xml:space="preserve">Η προσπάθεια για ένα </w:t>
      </w:r>
      <w:r w:rsidRPr="006A1797">
        <w:rPr>
          <w:rFonts w:ascii="Arial" w:hAnsi="Arial" w:cs="Arial"/>
          <w:b/>
          <w:sz w:val="18"/>
          <w:lang w:val="el-GR"/>
        </w:rPr>
        <w:t>πιο αποδοτικό λειτουργικό μοντέλο</w:t>
      </w:r>
      <w:r w:rsidRPr="006A1797">
        <w:rPr>
          <w:rFonts w:ascii="Arial" w:hAnsi="Arial" w:cs="Arial"/>
          <w:sz w:val="18"/>
          <w:lang w:val="el-GR"/>
        </w:rPr>
        <w:t xml:space="preserve"> αποτελεί βασικό στρατηγικό πυλώνα για το Συγκρότημα προκειμένου να προσφέρει αξία στους μετόχους, χωρίς να περιορίζει τη χρηματοδότηση στη ψηφιακή μεταμόρφωση και στο λειτουργικό μοντέλο του Συγκροτήματος.</w:t>
      </w:r>
    </w:p>
    <w:p w14:paraId="5A6C596A" w14:textId="77777777" w:rsidR="00AD70ED" w:rsidRPr="006A1797" w:rsidRDefault="00AD70ED" w:rsidP="00CE36EC">
      <w:pPr>
        <w:spacing w:after="0" w:line="240" w:lineRule="auto"/>
        <w:jc w:val="both"/>
        <w:rPr>
          <w:rFonts w:ascii="Arial" w:hAnsi="Arial" w:cs="Arial"/>
          <w:sz w:val="18"/>
          <w:lang w:val="el-GR"/>
        </w:rPr>
      </w:pPr>
    </w:p>
    <w:p w14:paraId="7382E0B0" w14:textId="5D030FD5" w:rsidR="009C184D" w:rsidRPr="006A1797" w:rsidRDefault="009C184D" w:rsidP="009C184D">
      <w:pPr>
        <w:spacing w:after="0" w:line="240" w:lineRule="auto"/>
        <w:jc w:val="both"/>
        <w:rPr>
          <w:rFonts w:ascii="Arial" w:hAnsi="Arial" w:cs="Arial"/>
          <w:sz w:val="18"/>
          <w:szCs w:val="18"/>
          <w:lang w:val="el-GR" w:eastAsia="el-GR"/>
        </w:rPr>
      </w:pPr>
      <w:r w:rsidRPr="006A1797">
        <w:rPr>
          <w:rFonts w:ascii="Arial" w:hAnsi="Arial" w:cs="Arial"/>
          <w:sz w:val="18"/>
          <w:szCs w:val="18"/>
          <w:lang w:val="el-GR" w:eastAsia="el-GR"/>
        </w:rPr>
        <w:t xml:space="preserve">Κατά τη διάρκεια του 2023 ολοκληρώθηκε στοχευμένο Σχέδιο Εθελούσιας Αποχώρησης (‘ΣΕΑ’) μικρής κλίμακας, όπου 50 υπάλληλοι πλήρους απασχόλησης εγκρίθηκαν για αποχώρηση από το Συγκρότημα, με το συνολικό κόστος να ανέρχεται σε περίπου €7.5 εκατ., το οποίο αναγνωρίστηκε στο κόστος προσωπικού για το έτος που έληξε στις 31 Δεκεμβρίου 2023. </w:t>
      </w:r>
      <w:r w:rsidR="004C0AE7" w:rsidRPr="006A1797">
        <w:rPr>
          <w:rFonts w:ascii="Arial" w:hAnsi="Arial" w:cs="Arial"/>
          <w:sz w:val="18"/>
          <w:szCs w:val="18"/>
          <w:lang w:val="el-GR" w:eastAsia="el-GR"/>
        </w:rPr>
        <w:t>Από την αρχή του έτους</w:t>
      </w:r>
      <w:r w:rsidRPr="006A1797">
        <w:rPr>
          <w:rFonts w:ascii="Arial" w:hAnsi="Arial" w:cs="Arial"/>
          <w:sz w:val="18"/>
          <w:szCs w:val="18"/>
          <w:lang w:val="el-GR" w:eastAsia="el-GR"/>
        </w:rPr>
        <w:t xml:space="preserve">, σημειώθηκε περεταίρω βελτιστοποίηση του αριθμού των καταστημάτων του Συγκροτήματος, με τα καταστήματα να μειώνονται κατά 5, σε 55, μια μείωση ύψους 8%. </w:t>
      </w:r>
    </w:p>
    <w:p w14:paraId="5AAEC24D" w14:textId="77777777" w:rsidR="009C184D" w:rsidRPr="006A1797" w:rsidRDefault="009C184D" w:rsidP="009C184D">
      <w:pPr>
        <w:spacing w:after="0" w:line="240" w:lineRule="auto"/>
        <w:jc w:val="both"/>
        <w:rPr>
          <w:rFonts w:ascii="Arial" w:hAnsi="Arial" w:cs="Arial"/>
          <w:sz w:val="18"/>
          <w:szCs w:val="18"/>
          <w:lang w:val="el-GR" w:eastAsia="el-GR"/>
        </w:rPr>
      </w:pPr>
    </w:p>
    <w:p w14:paraId="75D1E8BA" w14:textId="77777777" w:rsidR="00D022B5" w:rsidRDefault="00D022B5" w:rsidP="0094426A">
      <w:pPr>
        <w:spacing w:after="0" w:line="360" w:lineRule="auto"/>
        <w:rPr>
          <w:rFonts w:ascii="Arial" w:hAnsi="Arial" w:cs="Arial"/>
          <w:b/>
          <w:color w:val="FF9900"/>
          <w:sz w:val="24"/>
          <w:szCs w:val="24"/>
          <w:lang w:val="el-GR"/>
        </w:rPr>
      </w:pPr>
    </w:p>
    <w:p w14:paraId="1CC18244" w14:textId="0242965A" w:rsidR="00D022B5" w:rsidRPr="006A1797" w:rsidRDefault="0094426A" w:rsidP="0094426A">
      <w:pPr>
        <w:spacing w:after="0" w:line="360" w:lineRule="auto"/>
        <w:rPr>
          <w:rFonts w:ascii="Arial" w:hAnsi="Arial" w:cs="Arial"/>
          <w:bCs/>
          <w:color w:val="FF9900"/>
          <w:sz w:val="24"/>
          <w:szCs w:val="24"/>
          <w:lang w:val="el-GR"/>
        </w:rPr>
      </w:pPr>
      <w:r w:rsidRPr="006A1797">
        <w:rPr>
          <w:rFonts w:ascii="Arial" w:hAnsi="Arial" w:cs="Arial"/>
          <w:b/>
          <w:color w:val="FF9900"/>
          <w:sz w:val="24"/>
          <w:szCs w:val="24"/>
          <w:lang w:val="el-GR"/>
        </w:rPr>
        <w:lastRenderedPageBreak/>
        <w:t xml:space="preserve">Δ. Επισκόπηση επιχειρηματικής δραστηριότητας </w:t>
      </w:r>
      <w:r w:rsidRPr="006A1797">
        <w:rPr>
          <w:rFonts w:ascii="Arial" w:hAnsi="Arial" w:cs="Arial"/>
          <w:bCs/>
          <w:color w:val="FF9900"/>
          <w:sz w:val="24"/>
          <w:szCs w:val="24"/>
          <w:lang w:val="el-GR"/>
        </w:rPr>
        <w:t>(συνέχεια)</w:t>
      </w:r>
    </w:p>
    <w:p w14:paraId="7B077C12" w14:textId="0E23C537" w:rsidR="00F95B57" w:rsidRDefault="0094426A" w:rsidP="006A1797">
      <w:pPr>
        <w:spacing w:after="0" w:line="360" w:lineRule="auto"/>
        <w:jc w:val="both"/>
        <w:rPr>
          <w:rFonts w:ascii="Arial" w:hAnsi="Arial" w:cs="Arial"/>
          <w:bCs/>
          <w:i/>
          <w:iCs/>
          <w:color w:val="FF9900"/>
          <w:sz w:val="20"/>
          <w:szCs w:val="20"/>
          <w:lang w:val="el-GR"/>
        </w:rPr>
      </w:pPr>
      <w:r w:rsidRPr="006A1797">
        <w:rPr>
          <w:rFonts w:ascii="Arial" w:hAnsi="Arial" w:cs="Arial"/>
          <w:b/>
          <w:i/>
          <w:color w:val="FF9900"/>
          <w:sz w:val="20"/>
          <w:lang w:val="el-GR"/>
        </w:rPr>
        <w:t xml:space="preserve">Ορθολογιστικό μοντέλο λειτουργίας </w:t>
      </w:r>
      <w:r w:rsidRPr="006A1797">
        <w:rPr>
          <w:rFonts w:ascii="Arial" w:hAnsi="Arial" w:cs="Arial"/>
          <w:bCs/>
          <w:i/>
          <w:iCs/>
          <w:color w:val="FF9900"/>
          <w:sz w:val="20"/>
          <w:szCs w:val="20"/>
          <w:lang w:val="el-GR"/>
        </w:rPr>
        <w:t>(συνέχεια)</w:t>
      </w:r>
    </w:p>
    <w:p w14:paraId="16B9D4A3" w14:textId="77777777" w:rsidR="00D022B5" w:rsidRDefault="00D022B5" w:rsidP="00D022B5">
      <w:pPr>
        <w:spacing w:after="0" w:line="240" w:lineRule="auto"/>
        <w:jc w:val="both"/>
        <w:rPr>
          <w:rFonts w:ascii="Arial" w:hAnsi="Arial" w:cs="Arial"/>
          <w:sz w:val="18"/>
          <w:szCs w:val="18"/>
          <w:lang w:val="el-GR"/>
        </w:rPr>
      </w:pPr>
    </w:p>
    <w:p w14:paraId="0D1EF2CD" w14:textId="3927D53C" w:rsidR="009D7A00" w:rsidRPr="00F77A51" w:rsidRDefault="00D022B5" w:rsidP="00F77A51">
      <w:pPr>
        <w:spacing w:after="0" w:line="240" w:lineRule="auto"/>
        <w:jc w:val="both"/>
        <w:rPr>
          <w:rFonts w:ascii="Arial" w:hAnsi="Arial" w:cs="Arial"/>
          <w:sz w:val="18"/>
          <w:szCs w:val="18"/>
          <w:lang w:val="el-GR"/>
        </w:rPr>
      </w:pPr>
      <w:r w:rsidRPr="006A1797">
        <w:rPr>
          <w:rFonts w:ascii="Arial" w:hAnsi="Arial" w:cs="Arial"/>
          <w:sz w:val="18"/>
          <w:szCs w:val="18"/>
          <w:lang w:val="el-GR"/>
        </w:rPr>
        <w:t>Το σύνολο λειτουργικών εξόδων του Συγκροτήματος για το α΄ εξάμηνο 2024 ανήλθε σε €</w:t>
      </w:r>
      <w:r w:rsidRPr="006A1797">
        <w:rPr>
          <w:rFonts w:ascii="Arial" w:hAnsi="Arial" w:cs="Arial"/>
          <w:sz w:val="18"/>
          <w:lang w:val="el-GR"/>
        </w:rPr>
        <w:t>167</w:t>
      </w:r>
      <w:r w:rsidRPr="00560312">
        <w:rPr>
          <w:rFonts w:ascii="Arial" w:hAnsi="Arial" w:cs="Arial"/>
          <w:sz w:val="18"/>
          <w:lang w:val="el-GR"/>
        </w:rPr>
        <w:t xml:space="preserve"> </w:t>
      </w:r>
      <w:r w:rsidRPr="006A1797">
        <w:rPr>
          <w:rFonts w:ascii="Arial" w:hAnsi="Arial" w:cs="Arial"/>
          <w:sz w:val="18"/>
          <w:szCs w:val="18"/>
          <w:lang w:val="el-GR"/>
        </w:rPr>
        <w:t>εκατ., αυξημένο κατά 4% σε ετήσια βάση, επηρεασμένο</w:t>
      </w:r>
      <w:r w:rsidR="00347AC8">
        <w:rPr>
          <w:rFonts w:ascii="Arial" w:hAnsi="Arial" w:cs="Arial"/>
          <w:sz w:val="18"/>
          <w:szCs w:val="18"/>
          <w:lang w:val="el-GR"/>
        </w:rPr>
        <w:t xml:space="preserve"> κυρίως</w:t>
      </w:r>
      <w:r w:rsidRPr="006A1797">
        <w:rPr>
          <w:rFonts w:ascii="Arial" w:hAnsi="Arial" w:cs="Arial"/>
          <w:sz w:val="18"/>
          <w:szCs w:val="18"/>
          <w:lang w:val="el-GR"/>
        </w:rPr>
        <w:t xml:space="preserve"> από πληθωριστικές πιέσεις στο κόστος προσωπικού.</w:t>
      </w:r>
      <w:r w:rsidRPr="00560312">
        <w:rPr>
          <w:rFonts w:ascii="Arial" w:hAnsi="Arial" w:cs="Arial"/>
          <w:sz w:val="18"/>
          <w:szCs w:val="18"/>
          <w:lang w:val="el-GR"/>
        </w:rPr>
        <w:t xml:space="preserve"> </w:t>
      </w:r>
      <w:r w:rsidRPr="006A1797">
        <w:rPr>
          <w:rFonts w:ascii="Arial" w:hAnsi="Arial" w:cs="Arial"/>
          <w:sz w:val="18"/>
          <w:szCs w:val="18"/>
          <w:lang w:val="el-GR"/>
        </w:rPr>
        <w:t>Ο δείκτης κόστος προς έσοδα αναπροσαρμοσμένος για τον ειδικό φόρο επί των καταθέσεων και άλλα τέλη/εισφορές για το α’ εξάμηνο 2024 ανήλθε σε 30%, μειωμένος κατά 2 ε.μ. σε σύγκριση με το προηγούμενο έτος, επωφελούμενος από τα ισχυρά έσοδα.</w:t>
      </w:r>
      <w:r w:rsidR="009D7A00">
        <w:rPr>
          <w:rFonts w:ascii="Arial" w:hAnsi="Arial" w:cs="Arial"/>
          <w:sz w:val="18"/>
          <w:szCs w:val="18"/>
          <w:lang w:val="el-GR"/>
        </w:rPr>
        <w:t xml:space="preserve"> Η εισαγωγή ενός </w:t>
      </w:r>
      <w:r w:rsidR="009D7A00" w:rsidRPr="009D7A00">
        <w:rPr>
          <w:rFonts w:ascii="Arial" w:hAnsi="Arial" w:cs="Arial"/>
          <w:sz w:val="18"/>
          <w:szCs w:val="18"/>
          <w:lang w:val="el-GR"/>
        </w:rPr>
        <w:t>προγράμματος</w:t>
      </w:r>
      <w:r w:rsidR="009D7A00">
        <w:rPr>
          <w:rFonts w:ascii="Arial" w:hAnsi="Arial" w:cs="Arial"/>
          <w:sz w:val="18"/>
          <w:szCs w:val="18"/>
          <w:lang w:val="el-GR"/>
        </w:rPr>
        <w:t xml:space="preserve"> επιβράβευσης</w:t>
      </w:r>
      <w:r w:rsidR="00F77A51">
        <w:rPr>
          <w:rFonts w:ascii="Arial" w:hAnsi="Arial" w:cs="Arial"/>
          <w:sz w:val="18"/>
          <w:szCs w:val="18"/>
          <w:lang w:val="el-GR"/>
        </w:rPr>
        <w:t xml:space="preserve"> </w:t>
      </w:r>
      <w:r w:rsidR="00F77A51" w:rsidRPr="009D7A00">
        <w:rPr>
          <w:rFonts w:ascii="Arial" w:hAnsi="Arial" w:cs="Arial"/>
          <w:sz w:val="18"/>
          <w:szCs w:val="18"/>
          <w:lang w:val="el-GR"/>
        </w:rPr>
        <w:t>των</w:t>
      </w:r>
      <w:r w:rsidR="00F77A51">
        <w:rPr>
          <w:rFonts w:ascii="Arial" w:hAnsi="Arial" w:cs="Arial"/>
          <w:sz w:val="18"/>
          <w:szCs w:val="18"/>
          <w:lang w:val="el-GR"/>
        </w:rPr>
        <w:t xml:space="preserve"> </w:t>
      </w:r>
      <w:r w:rsidR="00F77A51" w:rsidRPr="009D7A00">
        <w:rPr>
          <w:rFonts w:ascii="Arial" w:hAnsi="Arial" w:cs="Arial"/>
          <w:sz w:val="18"/>
          <w:szCs w:val="18"/>
          <w:lang w:val="el-GR"/>
        </w:rPr>
        <w:t>εξυπηρετούμενων δανειοληπτών</w:t>
      </w:r>
      <w:r w:rsidR="00F77A51" w:rsidRPr="00F77A51">
        <w:rPr>
          <w:rFonts w:ascii="Arial" w:hAnsi="Arial" w:cs="Arial"/>
          <w:sz w:val="18"/>
          <w:szCs w:val="18"/>
          <w:lang w:val="el-GR"/>
        </w:rPr>
        <w:t xml:space="preserve"> </w:t>
      </w:r>
      <w:r w:rsidR="00F77A51">
        <w:rPr>
          <w:rFonts w:ascii="Arial" w:hAnsi="Arial" w:cs="Arial"/>
          <w:sz w:val="18"/>
          <w:szCs w:val="18"/>
          <w:lang w:val="el-GR"/>
        </w:rPr>
        <w:t>του Συγκροτήματος</w:t>
      </w:r>
      <w:r w:rsidR="000060BC" w:rsidRPr="000060BC">
        <w:rPr>
          <w:rFonts w:ascii="Arial" w:hAnsi="Arial" w:cs="Arial"/>
          <w:sz w:val="18"/>
          <w:szCs w:val="18"/>
          <w:lang w:val="el-GR"/>
        </w:rPr>
        <w:t xml:space="preserve"> </w:t>
      </w:r>
      <w:r w:rsidR="000060BC">
        <w:rPr>
          <w:rFonts w:ascii="Arial" w:hAnsi="Arial" w:cs="Arial"/>
          <w:sz w:val="18"/>
          <w:szCs w:val="18"/>
          <w:lang w:val="el-GR"/>
        </w:rPr>
        <w:t>τον Αύγουστο 2024</w:t>
      </w:r>
      <w:r w:rsidR="00F77A51">
        <w:rPr>
          <w:rFonts w:ascii="Arial" w:hAnsi="Arial" w:cs="Arial"/>
          <w:sz w:val="18"/>
          <w:szCs w:val="18"/>
          <w:lang w:val="el-GR"/>
        </w:rPr>
        <w:t xml:space="preserve"> μέσω του προγράμματος ‘</w:t>
      </w:r>
      <w:r w:rsidR="009D7A00" w:rsidRPr="009D7A00">
        <w:rPr>
          <w:rFonts w:ascii="Arial" w:hAnsi="Arial" w:cs="Arial"/>
          <w:sz w:val="18"/>
          <w:szCs w:val="18"/>
          <w:lang w:val="el-GR"/>
        </w:rPr>
        <w:t>Ανταμοιβή</w:t>
      </w:r>
      <w:r w:rsidR="00F77A51">
        <w:rPr>
          <w:rFonts w:ascii="Arial" w:hAnsi="Arial" w:cs="Arial"/>
          <w:sz w:val="18"/>
          <w:szCs w:val="18"/>
          <w:lang w:val="el-GR"/>
        </w:rPr>
        <w:t>’</w:t>
      </w:r>
      <w:r w:rsidR="009D7A00" w:rsidRPr="009D7A00">
        <w:rPr>
          <w:rFonts w:ascii="Arial" w:hAnsi="Arial" w:cs="Arial"/>
          <w:sz w:val="18"/>
          <w:szCs w:val="18"/>
          <w:lang w:val="el-GR"/>
        </w:rPr>
        <w:t>,</w:t>
      </w:r>
      <w:r w:rsidR="00F77A51">
        <w:rPr>
          <w:rFonts w:ascii="Arial" w:hAnsi="Arial" w:cs="Arial"/>
          <w:sz w:val="18"/>
          <w:szCs w:val="18"/>
          <w:lang w:val="el-GR"/>
        </w:rPr>
        <w:t xml:space="preserve"> στο πλαίσιο του νέου σχεδίου ‘</w:t>
      </w:r>
      <w:r w:rsidR="00F77A51" w:rsidRPr="00F77A51">
        <w:rPr>
          <w:rFonts w:ascii="Arial" w:hAnsi="Arial" w:cs="Arial"/>
          <w:sz w:val="18"/>
          <w:szCs w:val="18"/>
        </w:rPr>
        <w:t>Pronomia</w:t>
      </w:r>
      <w:r w:rsidR="00F77A51">
        <w:rPr>
          <w:rFonts w:ascii="Arial" w:hAnsi="Arial" w:cs="Arial"/>
          <w:sz w:val="18"/>
          <w:szCs w:val="18"/>
          <w:lang w:val="el-GR"/>
        </w:rPr>
        <w:t xml:space="preserve">’, αναμένεται να επηρεάσει </w:t>
      </w:r>
      <w:r w:rsidR="006E4B26">
        <w:rPr>
          <w:rFonts w:ascii="Arial" w:hAnsi="Arial" w:cs="Arial"/>
          <w:sz w:val="18"/>
          <w:szCs w:val="18"/>
          <w:lang w:val="el-GR"/>
        </w:rPr>
        <w:t xml:space="preserve">αρνητικά </w:t>
      </w:r>
      <w:r w:rsidR="00F77A51">
        <w:rPr>
          <w:rFonts w:ascii="Arial" w:hAnsi="Arial" w:cs="Arial"/>
          <w:sz w:val="18"/>
          <w:szCs w:val="18"/>
          <w:lang w:val="el-GR"/>
        </w:rPr>
        <w:t xml:space="preserve">το σύνολο λειτουργικών εξόδων </w:t>
      </w:r>
      <w:r w:rsidR="00347AC8">
        <w:rPr>
          <w:rFonts w:ascii="Arial" w:hAnsi="Arial" w:cs="Arial"/>
          <w:sz w:val="18"/>
          <w:szCs w:val="18"/>
          <w:lang w:val="el-GR"/>
        </w:rPr>
        <w:t xml:space="preserve">κατά </w:t>
      </w:r>
      <w:r w:rsidR="00B8068C">
        <w:rPr>
          <w:rFonts w:ascii="Arial" w:hAnsi="Arial" w:cs="Arial"/>
          <w:sz w:val="18"/>
          <w:szCs w:val="18"/>
          <w:lang w:val="el-GR"/>
        </w:rPr>
        <w:t>περίπου</w:t>
      </w:r>
      <w:r w:rsidR="00F77A51">
        <w:rPr>
          <w:rFonts w:ascii="Arial" w:hAnsi="Arial" w:cs="Arial"/>
          <w:sz w:val="18"/>
          <w:szCs w:val="18"/>
          <w:lang w:val="el-GR"/>
        </w:rPr>
        <w:t xml:space="preserve"> €3 εκατ. κατά το β’ </w:t>
      </w:r>
      <w:r w:rsidR="006E4B26">
        <w:rPr>
          <w:rFonts w:ascii="Arial" w:hAnsi="Arial" w:cs="Arial"/>
          <w:sz w:val="18"/>
          <w:szCs w:val="18"/>
          <w:lang w:val="el-GR"/>
        </w:rPr>
        <w:t xml:space="preserve">εξάμηνο </w:t>
      </w:r>
      <w:r w:rsidR="00F77A51">
        <w:rPr>
          <w:rFonts w:ascii="Arial" w:hAnsi="Arial" w:cs="Arial"/>
          <w:sz w:val="18"/>
          <w:szCs w:val="18"/>
          <w:lang w:val="el-GR"/>
        </w:rPr>
        <w:t xml:space="preserve">2024. </w:t>
      </w:r>
    </w:p>
    <w:p w14:paraId="41594152" w14:textId="77777777" w:rsidR="00D022B5" w:rsidRPr="00D022B5" w:rsidRDefault="00D022B5" w:rsidP="00D022B5">
      <w:pPr>
        <w:spacing w:after="0" w:line="240" w:lineRule="auto"/>
        <w:jc w:val="both"/>
        <w:rPr>
          <w:rFonts w:ascii="Arial" w:hAnsi="Arial" w:cs="Arial"/>
          <w:sz w:val="18"/>
          <w:szCs w:val="18"/>
          <w:highlight w:val="yellow"/>
          <w:lang w:val="el-GR" w:eastAsia="el-GR"/>
        </w:rPr>
      </w:pPr>
    </w:p>
    <w:p w14:paraId="134BD07C" w14:textId="4B6F3787" w:rsidR="005F1EF8" w:rsidRPr="006A1797" w:rsidRDefault="004F639C" w:rsidP="004F639C">
      <w:pPr>
        <w:pStyle w:val="Footer"/>
        <w:tabs>
          <w:tab w:val="left" w:pos="709"/>
        </w:tabs>
        <w:ind w:right="57"/>
        <w:jc w:val="both"/>
        <w:rPr>
          <w:rFonts w:ascii="Arial" w:eastAsiaTheme="minorEastAsia" w:hAnsi="Arial" w:cs="Arial"/>
          <w:sz w:val="18"/>
          <w:szCs w:val="22"/>
          <w:lang w:val="el-GR"/>
        </w:rPr>
      </w:pPr>
      <w:r w:rsidRPr="006A1797">
        <w:rPr>
          <w:rFonts w:ascii="Arial" w:hAnsi="Arial" w:cs="Arial"/>
          <w:i/>
          <w:sz w:val="18"/>
          <w:lang w:val="el-GR"/>
        </w:rPr>
        <w:t>Πρόγραμμα Μετασχηματισμού</w:t>
      </w:r>
    </w:p>
    <w:p w14:paraId="282BE2D6" w14:textId="77777777" w:rsidR="004F639C" w:rsidRPr="006A1797" w:rsidRDefault="004F639C" w:rsidP="005C4C9A">
      <w:pPr>
        <w:pStyle w:val="Footer"/>
        <w:tabs>
          <w:tab w:val="left" w:pos="709"/>
        </w:tabs>
        <w:ind w:right="57"/>
        <w:jc w:val="both"/>
        <w:rPr>
          <w:sz w:val="18"/>
          <w:szCs w:val="18"/>
          <w:lang w:val="el-GR"/>
        </w:rPr>
      </w:pPr>
    </w:p>
    <w:p w14:paraId="6CD33791" w14:textId="6D09491C" w:rsidR="0094426A" w:rsidRPr="006B5511" w:rsidRDefault="004F639C" w:rsidP="0018322C">
      <w:pPr>
        <w:spacing w:after="0" w:line="240" w:lineRule="auto"/>
        <w:jc w:val="both"/>
        <w:rPr>
          <w:rFonts w:ascii="Arial" w:hAnsi="Arial" w:cs="Arial"/>
          <w:color w:val="FF0000"/>
          <w:sz w:val="18"/>
          <w:highlight w:val="yellow"/>
          <w:lang w:val="el-GR"/>
        </w:rPr>
      </w:pPr>
      <w:r w:rsidRPr="006A1797">
        <w:rPr>
          <w:rFonts w:ascii="Arial" w:hAnsi="Arial" w:cs="Arial"/>
          <w:sz w:val="18"/>
          <w:lang w:val="el-GR"/>
        </w:rPr>
        <w:t xml:space="preserve">Το Συγκρότημα συνεχίζει να παραμένει επικεντρωμένο </w:t>
      </w:r>
      <w:r w:rsidR="0018322C" w:rsidRPr="006A1797">
        <w:rPr>
          <w:rFonts w:ascii="Arial" w:hAnsi="Arial" w:cs="Arial"/>
          <w:sz w:val="18"/>
          <w:lang w:val="el-GR"/>
        </w:rPr>
        <w:t>και να</w:t>
      </w:r>
      <w:r w:rsidRPr="006A1797">
        <w:rPr>
          <w:rFonts w:ascii="Arial" w:hAnsi="Arial" w:cs="Arial"/>
          <w:sz w:val="18"/>
          <w:lang w:val="el-GR"/>
        </w:rPr>
        <w:t xml:space="preserve"> εστιάζει στην ενδυνάμωση της σχέσης με τους πελάτες του ως ένας πελατοκεντρικός οργανισμός. </w:t>
      </w:r>
      <w:r w:rsidRPr="006A1797">
        <w:rPr>
          <w:rFonts w:ascii="Arial" w:hAnsi="Arial" w:cs="Arial"/>
          <w:b/>
          <w:sz w:val="18"/>
          <w:lang w:val="el-GR"/>
        </w:rPr>
        <w:t>Το</w:t>
      </w:r>
      <w:r w:rsidR="0094426A">
        <w:rPr>
          <w:rFonts w:ascii="Arial" w:hAnsi="Arial" w:cs="Arial"/>
          <w:b/>
          <w:sz w:val="18"/>
          <w:lang w:val="el-GR"/>
        </w:rPr>
        <w:t xml:space="preserve"> </w:t>
      </w:r>
      <w:r w:rsidRPr="006A1797">
        <w:rPr>
          <w:rFonts w:ascii="Arial" w:hAnsi="Arial" w:cs="Arial"/>
          <w:b/>
          <w:sz w:val="18"/>
          <w:lang w:val="el-GR"/>
        </w:rPr>
        <w:t>πρόγραμμα μετασχηματισμού έχει ως στόχο να επιτρέψει τη μετάβαση σε ένα πιο σύγχρονο τρόπο διεξαγωγής τραπεζικών εργασιών, ενισχύοντας την ψηφιοποίηση της εξυπηρέτησης των πελατών, καθώς και των εσωτερικών λειτουργιών</w:t>
      </w:r>
      <w:r w:rsidRPr="006A1797">
        <w:rPr>
          <w:rFonts w:ascii="Arial" w:hAnsi="Arial" w:cs="Arial"/>
          <w:sz w:val="18"/>
          <w:lang w:val="el-GR"/>
        </w:rPr>
        <w:t>.</w:t>
      </w:r>
      <w:r w:rsidR="00F95B57" w:rsidRPr="006A1797">
        <w:rPr>
          <w:rFonts w:ascii="Arial" w:hAnsi="Arial" w:cs="Arial"/>
          <w:sz w:val="18"/>
          <w:lang w:val="el-GR"/>
        </w:rPr>
        <w:t xml:space="preserve"> </w:t>
      </w:r>
      <w:r w:rsidRPr="006A1797">
        <w:rPr>
          <w:rFonts w:ascii="Arial" w:hAnsi="Arial" w:cs="Arial"/>
          <w:sz w:val="18"/>
          <w:lang w:val="el-GR"/>
        </w:rPr>
        <w:t>Ο</w:t>
      </w:r>
      <w:r w:rsidR="00F95B57" w:rsidRPr="006A1797">
        <w:rPr>
          <w:rFonts w:ascii="Arial" w:hAnsi="Arial" w:cs="Arial"/>
          <w:sz w:val="18"/>
          <w:lang w:val="el-GR"/>
        </w:rPr>
        <w:t xml:space="preserve"> </w:t>
      </w:r>
      <w:r w:rsidRPr="006A1797">
        <w:rPr>
          <w:rFonts w:ascii="Arial" w:hAnsi="Arial" w:cs="Arial"/>
          <w:sz w:val="18"/>
          <w:lang w:val="el-GR"/>
        </w:rPr>
        <w:t>συνολικός μετασχηματισμός έχει ως στόχο (</w:t>
      </w:r>
      <w:r w:rsidRPr="006A1797">
        <w:rPr>
          <w:rFonts w:ascii="Arial" w:hAnsi="Arial" w:cs="Arial"/>
          <w:sz w:val="18"/>
          <w:lang w:val="en-US"/>
        </w:rPr>
        <w:t>i</w:t>
      </w:r>
      <w:r w:rsidRPr="006A1797">
        <w:rPr>
          <w:rFonts w:ascii="Arial" w:hAnsi="Arial" w:cs="Arial"/>
          <w:sz w:val="18"/>
          <w:lang w:val="el-GR"/>
        </w:rPr>
        <w:t>) να μεταβεί σε ένα πιο πελατοκεντρικό λειτουργικό μοντέλο με τον καθορισμό στρατηγικών ανά τομέα πελατών, (</w:t>
      </w:r>
      <w:r w:rsidRPr="006A1797">
        <w:rPr>
          <w:rFonts w:ascii="Arial" w:hAnsi="Arial" w:cs="Arial"/>
          <w:sz w:val="18"/>
          <w:lang w:val="en-US"/>
        </w:rPr>
        <w:t>ii</w:t>
      </w:r>
      <w:r w:rsidRPr="006A1797">
        <w:rPr>
          <w:rFonts w:ascii="Arial" w:hAnsi="Arial" w:cs="Arial"/>
          <w:sz w:val="18"/>
          <w:lang w:val="el-GR"/>
        </w:rPr>
        <w:t>) να επαναπροσδιορίσει το μοντέλο διανομής σε υπάρχοντα και νέα κανάλια, (</w:t>
      </w:r>
      <w:r w:rsidRPr="006A1797">
        <w:rPr>
          <w:rFonts w:ascii="Arial" w:hAnsi="Arial" w:cs="Arial"/>
          <w:sz w:val="18"/>
          <w:lang w:val="en-US"/>
        </w:rPr>
        <w:t>iii</w:t>
      </w:r>
      <w:r w:rsidRPr="006A1797">
        <w:rPr>
          <w:rFonts w:ascii="Arial" w:hAnsi="Arial" w:cs="Arial"/>
          <w:sz w:val="18"/>
          <w:lang w:val="el-GR"/>
        </w:rPr>
        <w:t xml:space="preserve">) να μεταμορφώσει ψηφιακά τον τρόπο εξυπηρέτησης των πελατών και </w:t>
      </w:r>
      <w:r w:rsidR="0018322C" w:rsidRPr="006A1797">
        <w:rPr>
          <w:rFonts w:ascii="Arial" w:hAnsi="Arial" w:cs="Arial"/>
          <w:sz w:val="18"/>
          <w:lang w:val="el-GR"/>
        </w:rPr>
        <w:t xml:space="preserve">την </w:t>
      </w:r>
      <w:r w:rsidRPr="006A1797">
        <w:rPr>
          <w:rFonts w:ascii="Arial" w:hAnsi="Arial" w:cs="Arial"/>
          <w:sz w:val="18"/>
          <w:lang w:val="el-GR"/>
        </w:rPr>
        <w:t>εσωτερική λειτουργία του Συγκροτήματος, και (</w:t>
      </w:r>
      <w:r w:rsidRPr="006A1797">
        <w:rPr>
          <w:rFonts w:ascii="Arial" w:hAnsi="Arial" w:cs="Arial"/>
          <w:sz w:val="18"/>
          <w:lang w:val="en-US"/>
        </w:rPr>
        <w:t>iv</w:t>
      </w:r>
      <w:r w:rsidRPr="006A1797">
        <w:rPr>
          <w:rFonts w:ascii="Arial" w:hAnsi="Arial" w:cs="Arial"/>
          <w:sz w:val="18"/>
          <w:lang w:val="el-GR"/>
        </w:rPr>
        <w:t>) να βελτιώσει τη συμμετοχή των εργαζομένων μέσω ενός ισχυρού συνόλου οργανωσιακών πρωτοβουλιών.</w:t>
      </w:r>
    </w:p>
    <w:p w14:paraId="7D5B0E73" w14:textId="77777777" w:rsidR="0094426A" w:rsidRPr="006B5511" w:rsidRDefault="0094426A" w:rsidP="006A1797">
      <w:pPr>
        <w:spacing w:after="0" w:line="240" w:lineRule="auto"/>
        <w:jc w:val="both"/>
        <w:rPr>
          <w:rFonts w:ascii="Arial" w:hAnsi="Arial" w:cs="Arial"/>
          <w:b/>
          <w:color w:val="FF9900"/>
          <w:sz w:val="24"/>
          <w:szCs w:val="24"/>
          <w:highlight w:val="yellow"/>
          <w:lang w:val="el-GR"/>
        </w:rPr>
      </w:pPr>
      <w:bookmarkStart w:id="32" w:name="_Hlk155178528"/>
    </w:p>
    <w:p w14:paraId="39F4562F" w14:textId="4237AD09" w:rsidR="004F639C" w:rsidRPr="006A1797" w:rsidRDefault="004F639C" w:rsidP="004F639C">
      <w:pPr>
        <w:pStyle w:val="Footer"/>
        <w:tabs>
          <w:tab w:val="left" w:pos="709"/>
        </w:tabs>
        <w:ind w:right="57"/>
        <w:jc w:val="both"/>
        <w:rPr>
          <w:rFonts w:ascii="Arial" w:hAnsi="Arial" w:cs="Arial"/>
          <w:i/>
          <w:sz w:val="18"/>
          <w:lang w:val="el-GR"/>
        </w:rPr>
      </w:pPr>
      <w:r w:rsidRPr="006A1797">
        <w:rPr>
          <w:rFonts w:ascii="Arial" w:hAnsi="Arial" w:cs="Arial"/>
          <w:i/>
          <w:sz w:val="18"/>
          <w:lang w:val="el-GR"/>
        </w:rPr>
        <w:t xml:space="preserve">Ψηφιακή Μεταμόρφωση </w:t>
      </w:r>
    </w:p>
    <w:bookmarkEnd w:id="32"/>
    <w:p w14:paraId="38DD6FA8" w14:textId="77777777" w:rsidR="004F639C" w:rsidRPr="006A1797" w:rsidRDefault="004F639C" w:rsidP="004F639C">
      <w:pPr>
        <w:pStyle w:val="Footer"/>
        <w:tabs>
          <w:tab w:val="left" w:pos="709"/>
        </w:tabs>
        <w:ind w:right="57"/>
        <w:jc w:val="both"/>
        <w:rPr>
          <w:rFonts w:ascii="Arial" w:eastAsiaTheme="minorEastAsia" w:hAnsi="Arial" w:cs="Arial"/>
          <w:sz w:val="18"/>
          <w:szCs w:val="22"/>
          <w:lang w:val="el-GR"/>
        </w:rPr>
      </w:pPr>
    </w:p>
    <w:p w14:paraId="03896B86" w14:textId="77777777" w:rsidR="00560312" w:rsidRPr="006A1797" w:rsidRDefault="00560312" w:rsidP="006A1797">
      <w:pPr>
        <w:pStyle w:val="Footer"/>
        <w:jc w:val="both"/>
        <w:rPr>
          <w:rFonts w:ascii="Arial" w:hAnsi="Arial" w:cs="Arial"/>
          <w:sz w:val="18"/>
          <w:lang w:val="el-GR"/>
        </w:rPr>
      </w:pPr>
      <w:r w:rsidRPr="006A1797">
        <w:rPr>
          <w:rFonts w:ascii="Arial" w:eastAsiaTheme="minorEastAsia" w:hAnsi="Arial" w:cs="Arial"/>
          <w:sz w:val="18"/>
          <w:lang w:val="el-GR"/>
        </w:rPr>
        <w:t>Στον δυναμικό κόσμο των τραπεζών, το Συγκρότημα, πρωτοπόρος στην ψηφιακή καινοτομία στην Κύπρο, αναδιαμορφώνει την τραπεζική εμπειρία βασισμένο στις σύγχρονες ανάγκες των πελατών του, συνεχίζοντας να διευρύνει τα όρια του, ούτως ώστε να προσφέρει απαράμιλλες τραπεζικές υπηρεσίες. Στόχος του Συγκροτήματος είναι να συνεχίσει να καινοτομεί και να απλοποιεί το τραπεζικό ταξίδι, παρέχοντας μια μοναδική εμπειρία προσαρμοσμένη στις ανάγκες των πελατών.</w:t>
      </w:r>
    </w:p>
    <w:p w14:paraId="49EEAA14" w14:textId="77777777" w:rsidR="00560312" w:rsidRPr="006A1797" w:rsidRDefault="00560312" w:rsidP="006A1797">
      <w:pPr>
        <w:pStyle w:val="Footer"/>
        <w:jc w:val="both"/>
        <w:rPr>
          <w:rFonts w:ascii="Arial" w:eastAsiaTheme="minorEastAsia" w:hAnsi="Arial" w:cs="Arial"/>
          <w:sz w:val="18"/>
          <w:lang w:val="el-GR"/>
        </w:rPr>
      </w:pPr>
    </w:p>
    <w:p w14:paraId="63FF9628" w14:textId="4529892A" w:rsidR="00560312" w:rsidRPr="00560312" w:rsidRDefault="00560312" w:rsidP="006A1797">
      <w:pPr>
        <w:pStyle w:val="Footer"/>
        <w:jc w:val="both"/>
        <w:rPr>
          <w:rFonts w:ascii="Arial" w:eastAsiaTheme="minorEastAsia" w:hAnsi="Arial" w:cs="Arial"/>
          <w:sz w:val="18"/>
          <w:highlight w:val="yellow"/>
          <w:lang w:val="el-GR"/>
        </w:rPr>
      </w:pPr>
      <w:r w:rsidRPr="006A1797">
        <w:rPr>
          <w:rFonts w:ascii="Arial" w:eastAsiaTheme="minorEastAsia" w:hAnsi="Arial" w:cs="Arial"/>
          <w:sz w:val="18"/>
          <w:lang w:val="el-GR"/>
        </w:rPr>
        <w:t xml:space="preserve">Η χρήση των ψηφιακών καναλιών του Συγκροτήματος συνεχίζει να αυξάνεται. Μέχρι τις 30 Ιουνίου 2024, η ψηφιακή κοινότητα του Συγκροτήματος αυξήθηκε </w:t>
      </w:r>
      <w:r w:rsidR="00DA5265">
        <w:rPr>
          <w:rFonts w:ascii="Arial" w:eastAsiaTheme="minorEastAsia" w:hAnsi="Arial" w:cs="Arial"/>
          <w:sz w:val="18"/>
          <w:lang w:val="el-GR"/>
        </w:rPr>
        <w:t>σε</w:t>
      </w:r>
      <w:r w:rsidRPr="006A1797">
        <w:rPr>
          <w:rFonts w:ascii="Arial" w:eastAsiaTheme="minorEastAsia" w:hAnsi="Arial" w:cs="Arial"/>
          <w:sz w:val="18"/>
          <w:lang w:val="el-GR"/>
        </w:rPr>
        <w:t xml:space="preserve"> 467 χιλιάδες ενεργούς συνδρομητές, τόσο στο Internet Banking όσο και στην εφαρμογή BoC Mobile App, σημειώνοντας ετήσια αύξηση ύψους 7%. </w:t>
      </w:r>
      <w:r w:rsidR="003339CB" w:rsidRPr="006A1797">
        <w:rPr>
          <w:rFonts w:ascii="Arial" w:eastAsiaTheme="minorEastAsia" w:hAnsi="Arial" w:cs="Arial"/>
          <w:sz w:val="18"/>
          <w:lang w:val="el-GR"/>
        </w:rPr>
        <w:t>Ομοίως</w:t>
      </w:r>
      <w:r w:rsidRPr="006A1797">
        <w:rPr>
          <w:rFonts w:ascii="Arial" w:eastAsiaTheme="minorEastAsia" w:hAnsi="Arial" w:cs="Arial"/>
          <w:sz w:val="18"/>
          <w:lang w:val="el-GR"/>
        </w:rPr>
        <w:t>, στις 30 Ιουνίου 2024, η εφαρμογή BoC Mobile App καταμέτρησε συνολικά 429</w:t>
      </w:r>
      <w:r w:rsidR="00DA5265">
        <w:rPr>
          <w:rFonts w:ascii="Arial" w:eastAsiaTheme="minorEastAsia" w:hAnsi="Arial" w:cs="Arial"/>
          <w:sz w:val="18"/>
          <w:lang w:val="el-GR"/>
        </w:rPr>
        <w:t xml:space="preserve"> χιλιάδες</w:t>
      </w:r>
      <w:r w:rsidRPr="006A1797">
        <w:rPr>
          <w:rFonts w:ascii="Arial" w:eastAsiaTheme="minorEastAsia" w:hAnsi="Arial" w:cs="Arial"/>
          <w:sz w:val="18"/>
          <w:lang w:val="el-GR"/>
        </w:rPr>
        <w:t xml:space="preserve"> ενεργ</w:t>
      </w:r>
      <w:r w:rsidR="00DA5265">
        <w:rPr>
          <w:rFonts w:ascii="Arial" w:eastAsiaTheme="minorEastAsia" w:hAnsi="Arial" w:cs="Arial"/>
          <w:sz w:val="18"/>
          <w:lang w:val="el-GR"/>
        </w:rPr>
        <w:t>ούς</w:t>
      </w:r>
      <w:r w:rsidRPr="006A1797">
        <w:rPr>
          <w:rFonts w:ascii="Arial" w:eastAsiaTheme="minorEastAsia" w:hAnsi="Arial" w:cs="Arial"/>
          <w:sz w:val="18"/>
          <w:lang w:val="el-GR"/>
        </w:rPr>
        <w:t xml:space="preserve"> συνδρομητ</w:t>
      </w:r>
      <w:r w:rsidR="00DA5265">
        <w:rPr>
          <w:rFonts w:ascii="Arial" w:eastAsiaTheme="minorEastAsia" w:hAnsi="Arial" w:cs="Arial"/>
          <w:sz w:val="18"/>
          <w:lang w:val="el-GR"/>
        </w:rPr>
        <w:t>ές</w:t>
      </w:r>
      <w:r w:rsidRPr="006A1797">
        <w:rPr>
          <w:rFonts w:ascii="Arial" w:eastAsiaTheme="minorEastAsia" w:hAnsi="Arial" w:cs="Arial"/>
          <w:sz w:val="18"/>
          <w:lang w:val="el-GR"/>
        </w:rPr>
        <w:t xml:space="preserve">, σημειώνοντας αύξηση ύψους 10% σε ετήσια βάση. </w:t>
      </w:r>
    </w:p>
    <w:p w14:paraId="5F307504" w14:textId="77777777" w:rsidR="00560312" w:rsidRPr="006A1797" w:rsidRDefault="00560312" w:rsidP="006A1797">
      <w:pPr>
        <w:pStyle w:val="Footer"/>
        <w:jc w:val="both"/>
        <w:rPr>
          <w:rFonts w:ascii="Arial" w:eastAsiaTheme="minorEastAsia" w:hAnsi="Arial" w:cs="Arial"/>
          <w:sz w:val="18"/>
          <w:lang w:val="el-GR"/>
        </w:rPr>
      </w:pPr>
    </w:p>
    <w:p w14:paraId="6105F74A" w14:textId="01F27157" w:rsidR="00560312" w:rsidRPr="00E07B3A" w:rsidRDefault="00560312" w:rsidP="006A1797">
      <w:pPr>
        <w:pStyle w:val="Footer"/>
        <w:jc w:val="both"/>
        <w:rPr>
          <w:rFonts w:ascii="Arial" w:eastAsiaTheme="minorEastAsia" w:hAnsi="Arial" w:cs="Arial"/>
          <w:sz w:val="18"/>
          <w:lang w:val="el-GR"/>
        </w:rPr>
      </w:pPr>
      <w:r w:rsidRPr="006A1797">
        <w:rPr>
          <w:rFonts w:ascii="Arial" w:eastAsiaTheme="minorEastAsia" w:hAnsi="Arial" w:cs="Arial"/>
          <w:sz w:val="18"/>
          <w:lang w:val="el-GR"/>
        </w:rPr>
        <w:t xml:space="preserve">Κατά το β’ τρίμηνο 2024, το Συγκρότημα συνέχισε να επεκτείνει και να βελτιώνει το ψηφιακό του χαρτοφυλάκιο προσθέτοντας νέες καινοτόμες υπηρεσίες για τους πελάτες του. </w:t>
      </w:r>
      <w:r w:rsidR="003339CB" w:rsidRPr="006A1797">
        <w:rPr>
          <w:rFonts w:ascii="Arial" w:eastAsiaTheme="minorEastAsia" w:hAnsi="Arial" w:cs="Arial"/>
          <w:sz w:val="18"/>
          <w:lang w:val="el-GR"/>
        </w:rPr>
        <w:t>Το Συγκρότημα έθεσε σε εφαρμογή</w:t>
      </w:r>
      <w:r w:rsidRPr="006A1797">
        <w:rPr>
          <w:rFonts w:ascii="Arial" w:eastAsiaTheme="minorEastAsia" w:hAnsi="Arial" w:cs="Arial"/>
          <w:sz w:val="18"/>
          <w:lang w:val="el-GR"/>
        </w:rPr>
        <w:t xml:space="preserve"> το πρόγραμμα επιβράβευσης «pronomia» επιβραβεύοντας τους πελάτες με το να τους προσφέρονται διάφορα προνόμια όπως, επιπλέον πόντοι Antamivi, χαμηλότερα επιτόκια και νέα δάνεια</w:t>
      </w:r>
      <w:r w:rsidR="003339CB" w:rsidRPr="006A1797">
        <w:rPr>
          <w:rFonts w:ascii="Arial" w:eastAsiaTheme="minorEastAsia" w:hAnsi="Arial" w:cs="Arial"/>
          <w:sz w:val="18"/>
          <w:lang w:val="el-GR"/>
        </w:rPr>
        <w:t xml:space="preserve"> χωρίς αρχικές τραπεζικές προμήθειες καθώς και</w:t>
      </w:r>
      <w:r w:rsidRPr="006A1797">
        <w:rPr>
          <w:rFonts w:ascii="Arial" w:eastAsiaTheme="minorEastAsia" w:hAnsi="Arial" w:cs="Arial"/>
          <w:sz w:val="18"/>
          <w:lang w:val="el-GR"/>
        </w:rPr>
        <w:t xml:space="preserve"> εκπτώσεις σε νέα ασφαλιστήρια συμβόλαια</w:t>
      </w:r>
      <w:r w:rsidR="003339CB" w:rsidRPr="006A1797">
        <w:rPr>
          <w:rFonts w:ascii="Arial" w:eastAsiaTheme="minorEastAsia" w:hAnsi="Arial" w:cs="Arial"/>
          <w:sz w:val="18"/>
          <w:lang w:val="el-GR"/>
        </w:rPr>
        <w:t xml:space="preserve">. </w:t>
      </w:r>
      <w:r w:rsidRPr="006A1797">
        <w:rPr>
          <w:rFonts w:ascii="Arial" w:eastAsiaTheme="minorEastAsia" w:hAnsi="Arial" w:cs="Arial"/>
          <w:sz w:val="18"/>
          <w:lang w:val="el-GR"/>
        </w:rPr>
        <w:t xml:space="preserve">Επιπλέον, η δυνατότητα ηλεκτρονικού αιτήματος για αντικατάσταση κάρτας η οποία χάθηκε ή κλάπηκε, είναι πλέον διαθέσιμη τόσο στο Mobile App όσο και στο Internet Banking. </w:t>
      </w:r>
      <w:r w:rsidR="003339CB" w:rsidRPr="006A1797">
        <w:rPr>
          <w:rFonts w:ascii="Arial" w:eastAsiaTheme="minorEastAsia" w:hAnsi="Arial" w:cs="Arial"/>
          <w:sz w:val="18"/>
          <w:lang w:val="el-GR"/>
        </w:rPr>
        <w:t>Περαιτέρω</w:t>
      </w:r>
      <w:r w:rsidRPr="006A1797">
        <w:rPr>
          <w:rFonts w:ascii="Arial" w:eastAsiaTheme="minorEastAsia" w:hAnsi="Arial" w:cs="Arial"/>
          <w:sz w:val="18"/>
          <w:lang w:val="el-GR"/>
        </w:rPr>
        <w:t xml:space="preserve">, δόθηκε η δυνατότητα στους μετόχους της </w:t>
      </w:r>
      <w:r w:rsidR="006E4B26">
        <w:rPr>
          <w:rFonts w:ascii="Arial" w:eastAsiaTheme="minorEastAsia" w:hAnsi="Arial" w:cs="Arial"/>
          <w:sz w:val="18"/>
          <w:lang w:val="el-GR"/>
        </w:rPr>
        <w:t>Τ</w:t>
      </w:r>
      <w:r w:rsidRPr="006A1797">
        <w:rPr>
          <w:rFonts w:ascii="Arial" w:eastAsiaTheme="minorEastAsia" w:hAnsi="Arial" w:cs="Arial"/>
          <w:sz w:val="18"/>
          <w:lang w:val="el-GR"/>
        </w:rPr>
        <w:t xml:space="preserve">ράπεζας επιλογής δικαιούχου λογαριασμού για πληρωμές μερισμάτων. Τον Ιούλιο του 2024, η Τράπεζα Κύπρου είναι η πρώτη </w:t>
      </w:r>
      <w:r w:rsidR="006E4B26">
        <w:rPr>
          <w:rFonts w:ascii="Arial" w:eastAsiaTheme="minorEastAsia" w:hAnsi="Arial" w:cs="Arial"/>
          <w:sz w:val="18"/>
          <w:lang w:val="el-GR"/>
        </w:rPr>
        <w:t>τ</w:t>
      </w:r>
      <w:r w:rsidRPr="006A1797">
        <w:rPr>
          <w:rFonts w:ascii="Arial" w:eastAsiaTheme="minorEastAsia" w:hAnsi="Arial" w:cs="Arial"/>
          <w:sz w:val="18"/>
          <w:lang w:val="el-GR"/>
        </w:rPr>
        <w:t xml:space="preserve">ράπεζα στην Κύπρο που παρέχει τη δυνατότητα στους πελάτες της να πραγματοποιεί άμεσες πληρωμές σε ευρώ μέσω ψηφιακών καναλιών, καθιστώντας τα χρήματα διαθέσιμα στον λογαριασμό του δικαιούχου πελάτη εντός 10 δευτερολέπτων. Ο πελάτης μπορεί να μεταφέρει έως </w:t>
      </w:r>
      <w:r w:rsidR="003339CB" w:rsidRPr="006A1797">
        <w:rPr>
          <w:rFonts w:ascii="Arial" w:eastAsiaTheme="minorEastAsia" w:hAnsi="Arial" w:cs="Arial"/>
          <w:sz w:val="18"/>
          <w:lang w:val="el-GR"/>
        </w:rPr>
        <w:t>€</w:t>
      </w:r>
      <w:r w:rsidRPr="006A1797">
        <w:rPr>
          <w:rFonts w:ascii="Arial" w:eastAsiaTheme="minorEastAsia" w:hAnsi="Arial" w:cs="Arial"/>
          <w:sz w:val="18"/>
          <w:lang w:val="el-GR"/>
        </w:rPr>
        <w:t>50</w:t>
      </w:r>
      <w:r w:rsidR="003339CB" w:rsidRPr="006A1797">
        <w:rPr>
          <w:rFonts w:ascii="Arial" w:eastAsiaTheme="minorEastAsia" w:hAnsi="Arial" w:cs="Arial"/>
          <w:sz w:val="18"/>
          <w:lang w:val="el-GR"/>
        </w:rPr>
        <w:t xml:space="preserve"> χιλιάδες </w:t>
      </w:r>
      <w:r w:rsidRPr="006A1797">
        <w:rPr>
          <w:rFonts w:ascii="Arial" w:eastAsiaTheme="minorEastAsia" w:hAnsi="Arial" w:cs="Arial"/>
          <w:sz w:val="18"/>
          <w:lang w:val="el-GR"/>
        </w:rPr>
        <w:t xml:space="preserve">εντός Κύπρου και έως </w:t>
      </w:r>
      <w:r w:rsidR="003339CB" w:rsidRPr="006A1797">
        <w:rPr>
          <w:rFonts w:ascii="Arial" w:eastAsiaTheme="minorEastAsia" w:hAnsi="Arial" w:cs="Arial"/>
          <w:sz w:val="18"/>
          <w:lang w:val="el-GR"/>
        </w:rPr>
        <w:t>€</w:t>
      </w:r>
      <w:r w:rsidRPr="006A1797">
        <w:rPr>
          <w:rFonts w:ascii="Arial" w:eastAsiaTheme="minorEastAsia" w:hAnsi="Arial" w:cs="Arial"/>
          <w:sz w:val="18"/>
          <w:lang w:val="el-GR"/>
        </w:rPr>
        <w:t>25</w:t>
      </w:r>
      <w:r w:rsidR="003339CB" w:rsidRPr="006A1797">
        <w:rPr>
          <w:rFonts w:ascii="Arial" w:eastAsiaTheme="minorEastAsia" w:hAnsi="Arial" w:cs="Arial"/>
          <w:sz w:val="18"/>
          <w:lang w:val="el-GR"/>
        </w:rPr>
        <w:t xml:space="preserve"> χιλιάδες</w:t>
      </w:r>
      <w:r w:rsidRPr="006A1797">
        <w:rPr>
          <w:rFonts w:ascii="Arial" w:eastAsiaTheme="minorEastAsia" w:hAnsi="Arial" w:cs="Arial"/>
          <w:sz w:val="18"/>
          <w:lang w:val="el-GR"/>
        </w:rPr>
        <w:t xml:space="preserve"> εκτός Κύπρου</w:t>
      </w:r>
      <w:r w:rsidR="003339CB" w:rsidRPr="006A1797">
        <w:rPr>
          <w:rFonts w:ascii="Arial" w:eastAsiaTheme="minorEastAsia" w:hAnsi="Arial" w:cs="Arial"/>
          <w:sz w:val="18"/>
          <w:lang w:val="el-GR"/>
        </w:rPr>
        <w:t xml:space="preserve"> (</w:t>
      </w:r>
      <w:r w:rsidRPr="006A1797">
        <w:rPr>
          <w:rFonts w:ascii="Arial" w:eastAsiaTheme="minorEastAsia" w:hAnsi="Arial" w:cs="Arial"/>
          <w:sz w:val="18"/>
          <w:lang w:val="el-GR"/>
        </w:rPr>
        <w:t>σε 36 χώρες της Ζώνης SEPA</w:t>
      </w:r>
      <w:r w:rsidR="003339CB" w:rsidRPr="006A1797">
        <w:rPr>
          <w:rFonts w:ascii="Arial" w:eastAsiaTheme="minorEastAsia" w:hAnsi="Arial" w:cs="Arial"/>
          <w:sz w:val="18"/>
          <w:lang w:val="el-GR"/>
        </w:rPr>
        <w:t>)</w:t>
      </w:r>
      <w:r w:rsidRPr="006A1797">
        <w:rPr>
          <w:rFonts w:ascii="Arial" w:eastAsiaTheme="minorEastAsia" w:hAnsi="Arial" w:cs="Arial"/>
          <w:sz w:val="18"/>
          <w:lang w:val="el-GR"/>
        </w:rPr>
        <w:t>.</w:t>
      </w:r>
    </w:p>
    <w:p w14:paraId="3CECADBF" w14:textId="77777777" w:rsidR="00560312" w:rsidRPr="006A1797" w:rsidRDefault="00560312" w:rsidP="006A1797">
      <w:pPr>
        <w:pStyle w:val="Footer"/>
        <w:jc w:val="both"/>
        <w:rPr>
          <w:rFonts w:ascii="Arial" w:eastAsiaTheme="minorEastAsia" w:hAnsi="Arial" w:cs="Arial"/>
          <w:sz w:val="18"/>
          <w:lang w:val="el-GR"/>
        </w:rPr>
      </w:pPr>
    </w:p>
    <w:p w14:paraId="5ED24663" w14:textId="77777777" w:rsidR="00560312" w:rsidRPr="00560312" w:rsidRDefault="00560312" w:rsidP="006A1797">
      <w:pPr>
        <w:pStyle w:val="Footer"/>
        <w:jc w:val="both"/>
        <w:rPr>
          <w:rFonts w:ascii="Arial" w:eastAsiaTheme="minorEastAsia" w:hAnsi="Arial" w:cs="Arial"/>
          <w:sz w:val="18"/>
          <w:highlight w:val="yellow"/>
          <w:lang w:val="el-GR"/>
        </w:rPr>
      </w:pPr>
      <w:r w:rsidRPr="006A1797">
        <w:rPr>
          <w:rFonts w:ascii="Arial" w:eastAsiaTheme="minorEastAsia" w:hAnsi="Arial" w:cs="Arial"/>
          <w:sz w:val="18"/>
          <w:lang w:val="el-GR"/>
        </w:rPr>
        <w:t>Μία από τις τελευταίες ψηφιακές καινοτομίες του Συγκροτήματος αποτελούν τα QuickLoans, τα οποία είναι διαθέσιμα τόσο μέσω της εφαρμογής BoC Mobile App όσο και μέσω του Internet Banking, και έχουν μεταμορφώσει την άλλοτε παραδοσιακή διαδικασία δανεισμού, προσφέροντας στους πελάτες άμεση απόφαση για αίτημα πιστωτικής διευκόλυνσης, χωρίς να χρειάζεται επίσκεψη στο κατάστημα. Από τις αρχές του 2024, πάνω από 7 χιλιάδες αιτήσεις έχουν επεξεργαστεί, προσφέροντας νέο δανεισμό ύψους €52 εκατ. κατά το α΄ εξάμηνο 2024.</w:t>
      </w:r>
    </w:p>
    <w:p w14:paraId="43E3212D" w14:textId="77777777" w:rsidR="00560312" w:rsidRPr="006A1797" w:rsidRDefault="00560312" w:rsidP="006A1797">
      <w:pPr>
        <w:pStyle w:val="Footer"/>
        <w:jc w:val="both"/>
        <w:rPr>
          <w:rFonts w:ascii="Arial" w:eastAsiaTheme="minorEastAsia" w:hAnsi="Arial" w:cs="Arial"/>
          <w:sz w:val="18"/>
          <w:lang w:val="el-GR"/>
        </w:rPr>
      </w:pPr>
    </w:p>
    <w:p w14:paraId="7B7C93AF" w14:textId="0D30A365" w:rsidR="00560312" w:rsidRPr="006A1797" w:rsidRDefault="00560312" w:rsidP="006A1797">
      <w:pPr>
        <w:pStyle w:val="Footer"/>
        <w:jc w:val="both"/>
        <w:rPr>
          <w:rFonts w:ascii="Arial" w:eastAsiaTheme="minorEastAsia" w:hAnsi="Arial" w:cs="Arial"/>
          <w:sz w:val="18"/>
          <w:lang w:val="el-GR"/>
        </w:rPr>
      </w:pPr>
      <w:r w:rsidRPr="006A1797">
        <w:rPr>
          <w:rFonts w:ascii="Arial" w:eastAsiaTheme="minorEastAsia" w:hAnsi="Arial" w:cs="Arial"/>
          <w:sz w:val="18"/>
          <w:lang w:val="el-GR"/>
        </w:rPr>
        <w:t xml:space="preserve">Σε συνεργασία με τις Γενικές Ασφάλειες, η δυνατότητα αγοράς ασφαλιστήριου πλάνου ενσωματώθηκε στην εφαρμογή </w:t>
      </w:r>
      <w:r w:rsidRPr="006A1797">
        <w:rPr>
          <w:rFonts w:ascii="Arial" w:eastAsiaTheme="minorEastAsia" w:hAnsi="Arial" w:cs="Arial"/>
          <w:sz w:val="18"/>
          <w:lang w:val="en-US"/>
        </w:rPr>
        <w:t>BoC</w:t>
      </w:r>
      <w:r w:rsidRPr="006A1797">
        <w:rPr>
          <w:rFonts w:ascii="Arial" w:eastAsiaTheme="minorEastAsia" w:hAnsi="Arial" w:cs="Arial"/>
          <w:sz w:val="18"/>
          <w:lang w:val="el-GR"/>
        </w:rPr>
        <w:t xml:space="preserve"> </w:t>
      </w:r>
      <w:r w:rsidRPr="006A1797">
        <w:rPr>
          <w:rFonts w:ascii="Arial" w:eastAsiaTheme="minorEastAsia" w:hAnsi="Arial" w:cs="Arial"/>
          <w:sz w:val="18"/>
          <w:lang w:val="en-US"/>
        </w:rPr>
        <w:t>Mobile</w:t>
      </w:r>
      <w:r w:rsidRPr="006A1797">
        <w:rPr>
          <w:rFonts w:ascii="Arial" w:eastAsiaTheme="minorEastAsia" w:hAnsi="Arial" w:cs="Arial"/>
          <w:sz w:val="18"/>
          <w:lang w:val="el-GR"/>
        </w:rPr>
        <w:t xml:space="preserve"> </w:t>
      </w:r>
      <w:r w:rsidRPr="006A1797">
        <w:rPr>
          <w:rFonts w:ascii="Arial" w:eastAsiaTheme="minorEastAsia" w:hAnsi="Arial" w:cs="Arial"/>
          <w:sz w:val="18"/>
          <w:lang w:val="en-US"/>
        </w:rPr>
        <w:t>App</w:t>
      </w:r>
      <w:r w:rsidRPr="006A1797">
        <w:rPr>
          <w:rFonts w:ascii="Arial" w:eastAsiaTheme="minorEastAsia" w:hAnsi="Arial" w:cs="Arial"/>
          <w:sz w:val="18"/>
          <w:lang w:val="el-GR"/>
        </w:rPr>
        <w:t>, επιτρέποντας στους πελάτες να έχουν πρόσβαση σε πλάνα ασφάλισης αυτοκινήτου ή κατοικίας μέσω της εφαρμογής σε χαμηλότερες τιμές από αυτές των καταστημάτων. Οι ψηφιακές πωλήσεις ασφαλιστικών σχεδίων για το α’ εξάμηνο του 2024 ανήλθαν σε €291 χιλιάδες σε σύγκριση με €159 χιλιάδες για το α’ εξάμηνο 2023, αντικατοπτρίζοντας 925 νέα συμβόλαια</w:t>
      </w:r>
      <w:r w:rsidR="00EA57BB" w:rsidRPr="006A1797">
        <w:rPr>
          <w:rFonts w:ascii="Arial" w:eastAsiaTheme="minorEastAsia" w:hAnsi="Arial" w:cs="Arial"/>
          <w:sz w:val="18"/>
          <w:lang w:val="el-GR"/>
        </w:rPr>
        <w:t xml:space="preserve"> για το α’ εξάμηνο 2024</w:t>
      </w:r>
      <w:r w:rsidRPr="006A1797">
        <w:rPr>
          <w:rFonts w:ascii="Arial" w:eastAsiaTheme="minorEastAsia" w:hAnsi="Arial" w:cs="Arial"/>
          <w:sz w:val="18"/>
          <w:lang w:val="el-GR"/>
        </w:rPr>
        <w:t xml:space="preserve"> σε σύγκριση με 541 νέα συμβόλαια για την περσινή αντίστοιχη περίοδο του 2023.</w:t>
      </w:r>
    </w:p>
    <w:p w14:paraId="753AA6B1" w14:textId="77777777" w:rsidR="00560312" w:rsidRPr="006A1797" w:rsidRDefault="00560312" w:rsidP="006A1797">
      <w:pPr>
        <w:pStyle w:val="Footer"/>
        <w:jc w:val="both"/>
        <w:rPr>
          <w:rFonts w:ascii="Arial" w:eastAsiaTheme="minorEastAsia" w:hAnsi="Arial" w:cs="Arial"/>
          <w:sz w:val="18"/>
          <w:lang w:val="el-GR"/>
        </w:rPr>
      </w:pPr>
    </w:p>
    <w:p w14:paraId="6619D9E5" w14:textId="59220E04" w:rsidR="00560312" w:rsidRPr="006A1797" w:rsidRDefault="00EA57BB" w:rsidP="006A1797">
      <w:pPr>
        <w:pStyle w:val="Footer"/>
        <w:tabs>
          <w:tab w:val="left" w:pos="709"/>
        </w:tabs>
        <w:ind w:right="57"/>
        <w:jc w:val="both"/>
        <w:rPr>
          <w:rFonts w:ascii="Arial" w:eastAsiaTheme="minorEastAsia" w:hAnsi="Arial" w:cs="Arial"/>
          <w:sz w:val="18"/>
          <w:lang w:val="el-GR"/>
        </w:rPr>
      </w:pPr>
      <w:r w:rsidRPr="006A1797">
        <w:rPr>
          <w:rFonts w:ascii="Arial" w:hAnsi="Arial" w:cs="Arial"/>
          <w:sz w:val="18"/>
          <w:lang w:val="el-GR"/>
        </w:rPr>
        <w:t>Τέλος</w:t>
      </w:r>
      <w:r w:rsidR="00560312" w:rsidRPr="006A1797">
        <w:rPr>
          <w:rFonts w:ascii="Arial" w:hAnsi="Arial" w:cs="Arial"/>
          <w:sz w:val="18"/>
          <w:lang w:val="el-GR"/>
        </w:rPr>
        <w:t>, κατά το α’ εξάμηνο 2024, το άνοιγμα λογαριασμών μέσω ψηφιακών καναλιών αυξήθηκε κατά 53% σε ετήσια βάση, σε 8,291 από 5,423  το α’ εξάμηνο 2023, και οι νέες χρεωστικές κάρτες που ανοίχτηκαν μέσω ψηφιακών καναλιών αυξήθηκαν κατά 97% σε ετήσια βάση, σε 8,865 σε σχέση με 4,492 την αντίστοιχη περσινή περίοδο.</w:t>
      </w:r>
    </w:p>
    <w:p w14:paraId="17731B2E" w14:textId="77777777" w:rsidR="00560312" w:rsidRPr="006B5511" w:rsidRDefault="00560312" w:rsidP="00AA278F">
      <w:pPr>
        <w:pStyle w:val="Footer"/>
        <w:tabs>
          <w:tab w:val="left" w:pos="709"/>
        </w:tabs>
        <w:ind w:right="57"/>
        <w:jc w:val="both"/>
        <w:rPr>
          <w:rFonts w:ascii="Arial" w:eastAsiaTheme="minorEastAsia" w:hAnsi="Arial" w:cs="Arial"/>
          <w:sz w:val="18"/>
          <w:szCs w:val="22"/>
          <w:highlight w:val="yellow"/>
          <w:lang w:val="el-GR"/>
        </w:rPr>
      </w:pPr>
    </w:p>
    <w:p w14:paraId="70872550" w14:textId="77777777" w:rsidR="00F77A51" w:rsidRDefault="00F77A51" w:rsidP="00CE36EC">
      <w:pPr>
        <w:pStyle w:val="Footer"/>
        <w:tabs>
          <w:tab w:val="clear" w:pos="4153"/>
          <w:tab w:val="clear" w:pos="8306"/>
          <w:tab w:val="left" w:pos="709"/>
        </w:tabs>
        <w:spacing w:line="360" w:lineRule="auto"/>
        <w:ind w:right="57"/>
        <w:rPr>
          <w:rFonts w:ascii="Arial" w:hAnsi="Arial" w:cs="Arial"/>
          <w:b/>
          <w:i/>
          <w:iCs/>
          <w:color w:val="FF9900"/>
          <w:sz w:val="20"/>
          <w:lang w:val="el-GR" w:eastAsia="el-GR"/>
        </w:rPr>
      </w:pPr>
    </w:p>
    <w:p w14:paraId="626B4C5D" w14:textId="77777777" w:rsidR="00F77A51" w:rsidRDefault="00F77A51" w:rsidP="00CE36EC">
      <w:pPr>
        <w:pStyle w:val="Footer"/>
        <w:tabs>
          <w:tab w:val="clear" w:pos="4153"/>
          <w:tab w:val="clear" w:pos="8306"/>
          <w:tab w:val="left" w:pos="709"/>
        </w:tabs>
        <w:spacing w:line="360" w:lineRule="auto"/>
        <w:ind w:right="57"/>
        <w:rPr>
          <w:rFonts w:ascii="Arial" w:hAnsi="Arial" w:cs="Arial"/>
          <w:b/>
          <w:i/>
          <w:iCs/>
          <w:color w:val="FF9900"/>
          <w:sz w:val="20"/>
          <w:lang w:val="el-GR" w:eastAsia="el-GR"/>
        </w:rPr>
      </w:pPr>
    </w:p>
    <w:p w14:paraId="2329AD98" w14:textId="77777777" w:rsidR="00F77A51" w:rsidRDefault="00F77A51" w:rsidP="00CE36EC">
      <w:pPr>
        <w:pStyle w:val="Footer"/>
        <w:tabs>
          <w:tab w:val="clear" w:pos="4153"/>
          <w:tab w:val="clear" w:pos="8306"/>
          <w:tab w:val="left" w:pos="709"/>
        </w:tabs>
        <w:spacing w:line="360" w:lineRule="auto"/>
        <w:ind w:right="57"/>
        <w:rPr>
          <w:rFonts w:ascii="Arial" w:hAnsi="Arial" w:cs="Arial"/>
          <w:b/>
          <w:i/>
          <w:iCs/>
          <w:color w:val="FF9900"/>
          <w:sz w:val="20"/>
          <w:lang w:val="el-GR" w:eastAsia="el-GR"/>
        </w:rPr>
      </w:pPr>
    </w:p>
    <w:p w14:paraId="4C01EEFB" w14:textId="264F7077" w:rsidR="00F77A51" w:rsidRPr="00F77A51" w:rsidRDefault="00F77A51" w:rsidP="00F77A51">
      <w:pPr>
        <w:spacing w:after="0" w:line="360" w:lineRule="auto"/>
        <w:rPr>
          <w:rFonts w:ascii="Arial" w:hAnsi="Arial" w:cs="Arial"/>
          <w:bCs/>
          <w:color w:val="FF9900"/>
          <w:sz w:val="24"/>
          <w:szCs w:val="24"/>
          <w:lang w:val="el-GR"/>
        </w:rPr>
      </w:pPr>
      <w:r w:rsidRPr="006A1797">
        <w:rPr>
          <w:rFonts w:ascii="Arial" w:hAnsi="Arial" w:cs="Arial"/>
          <w:b/>
          <w:color w:val="FF9900"/>
          <w:sz w:val="24"/>
          <w:szCs w:val="24"/>
          <w:lang w:val="el-GR"/>
        </w:rPr>
        <w:lastRenderedPageBreak/>
        <w:t xml:space="preserve">Δ. Επισκόπηση επιχειρηματικής δραστηριότητας </w:t>
      </w:r>
      <w:r w:rsidRPr="006A1797">
        <w:rPr>
          <w:rFonts w:ascii="Arial" w:hAnsi="Arial" w:cs="Arial"/>
          <w:bCs/>
          <w:color w:val="FF9900"/>
          <w:sz w:val="24"/>
          <w:szCs w:val="24"/>
          <w:lang w:val="el-GR"/>
        </w:rPr>
        <w:t>(συνέχεια)</w:t>
      </w:r>
    </w:p>
    <w:p w14:paraId="7E45021C" w14:textId="10CAB802" w:rsidR="00CE36EC" w:rsidRPr="006A1797" w:rsidRDefault="00CE36EC" w:rsidP="00CE36EC">
      <w:pPr>
        <w:pStyle w:val="Footer"/>
        <w:tabs>
          <w:tab w:val="clear" w:pos="4153"/>
          <w:tab w:val="clear" w:pos="8306"/>
          <w:tab w:val="left" w:pos="709"/>
        </w:tabs>
        <w:spacing w:line="360" w:lineRule="auto"/>
        <w:ind w:right="57"/>
        <w:rPr>
          <w:rFonts w:ascii="Arial" w:hAnsi="Arial" w:cs="Arial"/>
          <w:b/>
          <w:i/>
          <w:iCs/>
          <w:color w:val="FF9900"/>
          <w:sz w:val="20"/>
          <w:lang w:val="el-GR" w:eastAsia="el-GR"/>
        </w:rPr>
      </w:pPr>
      <w:r w:rsidRPr="006A1797">
        <w:rPr>
          <w:rFonts w:ascii="Arial" w:hAnsi="Arial" w:cs="Arial"/>
          <w:b/>
          <w:i/>
          <w:iCs/>
          <w:color w:val="FF9900"/>
          <w:sz w:val="20"/>
          <w:lang w:val="el-GR" w:eastAsia="el-GR"/>
        </w:rPr>
        <w:t>Ποιότητα δανειακού χαρτοφυλακίου</w:t>
      </w:r>
    </w:p>
    <w:p w14:paraId="7EC21354" w14:textId="4E3DAFC7" w:rsidR="00C93E83" w:rsidRPr="006A1797" w:rsidRDefault="00CE36EC" w:rsidP="001F569F">
      <w:pPr>
        <w:spacing w:after="0" w:line="240" w:lineRule="auto"/>
        <w:jc w:val="both"/>
        <w:rPr>
          <w:rFonts w:ascii="Arial" w:hAnsi="Arial" w:cs="Arial"/>
          <w:sz w:val="18"/>
          <w:szCs w:val="16"/>
          <w:lang w:val="el-GR"/>
        </w:rPr>
      </w:pPr>
      <w:r w:rsidRPr="006A1797">
        <w:rPr>
          <w:rFonts w:ascii="Arial" w:hAnsi="Arial" w:cs="Arial"/>
          <w:sz w:val="18"/>
          <w:szCs w:val="16"/>
          <w:lang w:val="el-GR"/>
        </w:rPr>
        <w:t>Η μείωση κινδύνου στον ισολογισμό ολοκληρώθηκε σε μεγάλο βαθμό το 2022</w:t>
      </w:r>
      <w:r w:rsidR="00EA57BB" w:rsidRPr="006A1797">
        <w:rPr>
          <w:rFonts w:ascii="Arial" w:hAnsi="Arial" w:cs="Arial"/>
          <w:sz w:val="18"/>
          <w:szCs w:val="16"/>
          <w:lang w:val="el-GR"/>
        </w:rPr>
        <w:t xml:space="preserve">. </w:t>
      </w:r>
      <w:r w:rsidRPr="006A1797">
        <w:rPr>
          <w:rFonts w:ascii="Arial" w:hAnsi="Arial" w:cs="Arial"/>
          <w:sz w:val="18"/>
          <w:szCs w:val="16"/>
          <w:lang w:val="el-GR"/>
        </w:rPr>
        <w:t xml:space="preserve">Στις </w:t>
      </w:r>
      <w:r w:rsidR="00EA57BB" w:rsidRPr="006A1797">
        <w:rPr>
          <w:rFonts w:ascii="Arial" w:hAnsi="Arial" w:cs="Arial"/>
          <w:sz w:val="18"/>
          <w:szCs w:val="16"/>
          <w:lang w:val="el-GR"/>
        </w:rPr>
        <w:t xml:space="preserve">30 Ιουνίου </w:t>
      </w:r>
      <w:r w:rsidR="002A6960" w:rsidRPr="006A1797">
        <w:rPr>
          <w:rFonts w:ascii="Arial" w:hAnsi="Arial" w:cs="Arial"/>
          <w:sz w:val="18"/>
          <w:szCs w:val="16"/>
          <w:lang w:val="el-GR"/>
        </w:rPr>
        <w:t>2024</w:t>
      </w:r>
      <w:r w:rsidRPr="006A1797">
        <w:rPr>
          <w:rFonts w:ascii="Arial" w:hAnsi="Arial" w:cs="Arial"/>
          <w:sz w:val="18"/>
          <w:szCs w:val="16"/>
          <w:lang w:val="el-GR"/>
        </w:rPr>
        <w:t xml:space="preserve">, το ποσοστό ΜΕΔ προς δάνεια του Συγκροτήματος ανήλθε σε </w:t>
      </w:r>
      <w:r w:rsidR="00EA57BB" w:rsidRPr="006A1797">
        <w:rPr>
          <w:rFonts w:ascii="Arial" w:hAnsi="Arial" w:cs="Arial"/>
          <w:sz w:val="18"/>
          <w:szCs w:val="16"/>
          <w:lang w:val="el-GR"/>
        </w:rPr>
        <w:t>2.8</w:t>
      </w:r>
      <w:r w:rsidRPr="006A1797">
        <w:rPr>
          <w:rFonts w:ascii="Arial" w:hAnsi="Arial" w:cs="Arial"/>
          <w:sz w:val="18"/>
          <w:szCs w:val="16"/>
          <w:lang w:val="el-GR"/>
        </w:rPr>
        <w:t>%</w:t>
      </w:r>
      <w:r w:rsidR="009C2F34" w:rsidRPr="006A1797">
        <w:rPr>
          <w:rFonts w:ascii="Arial" w:hAnsi="Arial" w:cs="Arial"/>
          <w:sz w:val="18"/>
          <w:szCs w:val="16"/>
          <w:lang w:val="el-GR"/>
        </w:rPr>
        <w:t xml:space="preserve">, </w:t>
      </w:r>
      <w:r w:rsidR="00EA57BB" w:rsidRPr="006A1797">
        <w:rPr>
          <w:rFonts w:ascii="Arial" w:hAnsi="Arial" w:cs="Arial"/>
          <w:sz w:val="18"/>
          <w:szCs w:val="16"/>
          <w:lang w:val="el-GR"/>
        </w:rPr>
        <w:t>επιτυγχάνοντας ήδη</w:t>
      </w:r>
      <w:r w:rsidR="002A6960" w:rsidRPr="006A1797">
        <w:rPr>
          <w:rFonts w:ascii="Arial" w:hAnsi="Arial" w:cs="Arial"/>
          <w:sz w:val="18"/>
          <w:szCs w:val="16"/>
          <w:lang w:val="el-GR"/>
        </w:rPr>
        <w:t xml:space="preserve"> </w:t>
      </w:r>
      <w:r w:rsidR="00EA57BB" w:rsidRPr="006A1797">
        <w:rPr>
          <w:rFonts w:ascii="Arial" w:hAnsi="Arial" w:cs="Arial"/>
          <w:sz w:val="18"/>
          <w:szCs w:val="16"/>
          <w:lang w:val="el-GR"/>
        </w:rPr>
        <w:t>τον στόχο</w:t>
      </w:r>
      <w:r w:rsidR="002A6960" w:rsidRPr="006A1797">
        <w:rPr>
          <w:rFonts w:ascii="Arial" w:hAnsi="Arial" w:cs="Arial"/>
          <w:sz w:val="18"/>
          <w:szCs w:val="16"/>
          <w:lang w:val="el-GR"/>
        </w:rPr>
        <w:t xml:space="preserve"> του</w:t>
      </w:r>
      <w:r w:rsidR="00EA57BB" w:rsidRPr="00EA57BB">
        <w:rPr>
          <w:rFonts w:ascii="Arial" w:hAnsi="Arial" w:cs="Arial"/>
          <w:sz w:val="18"/>
          <w:szCs w:val="16"/>
          <w:lang w:val="el-GR"/>
        </w:rPr>
        <w:t xml:space="preserve"> </w:t>
      </w:r>
      <w:r w:rsidR="00EA57BB" w:rsidRPr="006A1797">
        <w:rPr>
          <w:rFonts w:ascii="Arial" w:hAnsi="Arial" w:cs="Arial"/>
          <w:sz w:val="18"/>
          <w:szCs w:val="16"/>
          <w:lang w:val="el-GR"/>
        </w:rPr>
        <w:t xml:space="preserve">για ποσοστό ΜΕΔ </w:t>
      </w:r>
      <w:r w:rsidR="00EA57BB" w:rsidRPr="00EA57BB">
        <w:rPr>
          <w:rFonts w:ascii="Arial" w:hAnsi="Arial" w:cs="Arial"/>
          <w:sz w:val="18"/>
          <w:szCs w:val="16"/>
          <w:lang w:val="el-GR"/>
        </w:rPr>
        <w:t xml:space="preserve">προς </w:t>
      </w:r>
      <w:r w:rsidR="00EA57BB" w:rsidRPr="006A1797">
        <w:rPr>
          <w:rFonts w:ascii="Arial" w:hAnsi="Arial" w:cs="Arial"/>
          <w:sz w:val="18"/>
          <w:szCs w:val="16"/>
          <w:lang w:val="el-GR"/>
        </w:rPr>
        <w:t>δάνεια</w:t>
      </w:r>
      <w:r w:rsidR="00EA57BB" w:rsidRPr="00EA57BB">
        <w:rPr>
          <w:rFonts w:ascii="Arial" w:hAnsi="Arial" w:cs="Arial"/>
          <w:sz w:val="18"/>
          <w:szCs w:val="16"/>
          <w:lang w:val="el-GR"/>
        </w:rPr>
        <w:t xml:space="preserve"> που έθεσε</w:t>
      </w:r>
      <w:r w:rsidR="00EA57BB" w:rsidRPr="006A1797">
        <w:rPr>
          <w:rFonts w:ascii="Arial" w:hAnsi="Arial" w:cs="Arial"/>
          <w:sz w:val="18"/>
          <w:szCs w:val="16"/>
          <w:lang w:val="el-GR"/>
        </w:rPr>
        <w:t xml:space="preserve"> για το 2024</w:t>
      </w:r>
      <w:r w:rsidR="00EA57BB" w:rsidRPr="00EA57BB">
        <w:rPr>
          <w:rFonts w:ascii="Arial" w:hAnsi="Arial" w:cs="Arial"/>
          <w:sz w:val="18"/>
          <w:szCs w:val="16"/>
          <w:lang w:val="el-GR"/>
        </w:rPr>
        <w:t xml:space="preserve">. </w:t>
      </w:r>
      <w:r w:rsidR="003F693F" w:rsidRPr="006A1797">
        <w:rPr>
          <w:rFonts w:ascii="Arial" w:hAnsi="Arial" w:cs="Arial"/>
          <w:sz w:val="18"/>
          <w:szCs w:val="16"/>
          <w:lang w:val="el-GR"/>
        </w:rPr>
        <w:t>Οι προτεραιότητες του Συγκροτήματος παραμένουν αμετάβλητες, με το Συγκρότημα να παραμένει επικεντρωμένο στη διατήρηση ποιοτικού νέου δανεισμού μέσω αυστηρών πρακτικών και αποφυγή της επιδείνωσής της ποιότητας του δανειακού χαρτοφυλακίου</w:t>
      </w:r>
      <w:r w:rsidR="00C93E83" w:rsidRPr="006A1797">
        <w:rPr>
          <w:rFonts w:ascii="Arial" w:hAnsi="Arial" w:cs="Arial"/>
          <w:sz w:val="18"/>
          <w:szCs w:val="16"/>
          <w:lang w:val="el-GR"/>
        </w:rPr>
        <w:t xml:space="preserve">. </w:t>
      </w:r>
    </w:p>
    <w:p w14:paraId="6D8281E0" w14:textId="77777777" w:rsidR="00C93E83" w:rsidRPr="006B5511" w:rsidRDefault="00C93E83" w:rsidP="001F569F">
      <w:pPr>
        <w:spacing w:after="0" w:line="240" w:lineRule="auto"/>
        <w:jc w:val="both"/>
        <w:rPr>
          <w:rFonts w:ascii="Arial" w:hAnsi="Arial" w:cs="Arial"/>
          <w:sz w:val="18"/>
          <w:szCs w:val="16"/>
          <w:highlight w:val="yellow"/>
          <w:lang w:val="el-GR"/>
        </w:rPr>
      </w:pPr>
    </w:p>
    <w:p w14:paraId="7556D765" w14:textId="1C68619E" w:rsidR="00C93E83" w:rsidRPr="00E07B3A" w:rsidRDefault="00C93E83" w:rsidP="001F569F">
      <w:pPr>
        <w:spacing w:after="0" w:line="240" w:lineRule="auto"/>
        <w:jc w:val="both"/>
        <w:rPr>
          <w:rFonts w:ascii="Arial" w:eastAsia="Times New Roman" w:hAnsi="Arial" w:cs="Arial"/>
          <w:b/>
          <w:i/>
          <w:iCs/>
          <w:color w:val="FF9900"/>
          <w:sz w:val="20"/>
          <w:szCs w:val="20"/>
          <w:lang w:val="el-GR" w:eastAsia="el-GR"/>
        </w:rPr>
      </w:pPr>
      <w:r w:rsidRPr="006A1797">
        <w:rPr>
          <w:rFonts w:ascii="Arial" w:eastAsia="Times New Roman" w:hAnsi="Arial" w:cs="Arial"/>
          <w:b/>
          <w:i/>
          <w:iCs/>
          <w:color w:val="FF9900"/>
          <w:sz w:val="20"/>
          <w:szCs w:val="20"/>
          <w:lang w:val="el-GR" w:eastAsia="el-GR"/>
        </w:rPr>
        <w:t>Παρουσία στην αγορά κεφαλαί</w:t>
      </w:r>
      <w:r w:rsidR="00914744">
        <w:rPr>
          <w:rFonts w:ascii="Arial" w:eastAsia="Times New Roman" w:hAnsi="Arial" w:cs="Arial"/>
          <w:b/>
          <w:i/>
          <w:iCs/>
          <w:color w:val="FF9900"/>
          <w:sz w:val="20"/>
          <w:szCs w:val="20"/>
          <w:lang w:val="el-GR" w:eastAsia="el-GR"/>
        </w:rPr>
        <w:t>ου</w:t>
      </w:r>
    </w:p>
    <w:p w14:paraId="4B93CA6E" w14:textId="77777777" w:rsidR="00C93E83" w:rsidRPr="006A1797" w:rsidRDefault="00C93E83" w:rsidP="001F569F">
      <w:pPr>
        <w:spacing w:after="0" w:line="240" w:lineRule="auto"/>
        <w:jc w:val="both"/>
        <w:rPr>
          <w:rFonts w:ascii="Arial" w:eastAsia="Times New Roman" w:hAnsi="Arial" w:cs="Arial"/>
          <w:b/>
          <w:i/>
          <w:iCs/>
          <w:color w:val="FF9900"/>
          <w:sz w:val="20"/>
          <w:szCs w:val="20"/>
          <w:lang w:val="el-GR" w:eastAsia="el-GR"/>
        </w:rPr>
      </w:pPr>
    </w:p>
    <w:p w14:paraId="1D776A18" w14:textId="231A1513" w:rsidR="00EA57BB" w:rsidRPr="006B5511" w:rsidRDefault="00C93E83" w:rsidP="00EA57BB">
      <w:pPr>
        <w:spacing w:after="0" w:line="240" w:lineRule="auto"/>
        <w:jc w:val="both"/>
        <w:rPr>
          <w:rFonts w:ascii="Arial" w:hAnsi="Arial" w:cs="Arial"/>
          <w:sz w:val="18"/>
          <w:szCs w:val="16"/>
          <w:highlight w:val="yellow"/>
          <w:lang w:val="el-GR"/>
        </w:rPr>
      </w:pPr>
      <w:r w:rsidRPr="006A1797">
        <w:rPr>
          <w:rFonts w:ascii="Arial" w:hAnsi="Arial" w:cs="Arial"/>
          <w:color w:val="000000" w:themeColor="text1"/>
          <w:sz w:val="18"/>
          <w:szCs w:val="18"/>
          <w:lang w:val="el-GR"/>
        </w:rPr>
        <w:t xml:space="preserve">Τον Απρίλιο 2024, η Τράπεζα ολοκλήρωσε με επιτυχία την έκδοση και την τιμολόγηση πράσινου ομολόγου υψηλής </w:t>
      </w:r>
      <w:r w:rsidRPr="006A1797">
        <w:rPr>
          <w:rFonts w:ascii="Arial" w:hAnsi="Arial" w:cs="Arial"/>
          <w:sz w:val="18"/>
          <w:szCs w:val="16"/>
          <w:lang w:val="el-GR"/>
        </w:rPr>
        <w:t>εξοφλητικής προτεραιότητας ύψους €300 εκατ. (το ‘Πράσινο Ομόλογο’).</w:t>
      </w:r>
      <w:r w:rsidR="00EA57BB" w:rsidRPr="00EA57BB">
        <w:rPr>
          <w:rFonts w:ascii="Arial" w:hAnsi="Arial" w:cs="Arial"/>
          <w:sz w:val="18"/>
          <w:szCs w:val="16"/>
          <w:lang w:val="el-GR"/>
        </w:rPr>
        <w:t xml:space="preserve"> </w:t>
      </w:r>
      <w:r w:rsidR="00EA57BB" w:rsidRPr="00CB38F0">
        <w:rPr>
          <w:rFonts w:ascii="Arial" w:hAnsi="Arial" w:cs="Arial"/>
          <w:sz w:val="18"/>
          <w:szCs w:val="18"/>
          <w:lang w:val="el-GR"/>
        </w:rPr>
        <w:t xml:space="preserve">Με την πιο πάνω έκδοση, η Τράπεζα </w:t>
      </w:r>
      <w:r w:rsidR="00EA57BB">
        <w:rPr>
          <w:rFonts w:ascii="Arial" w:hAnsi="Arial" w:cs="Arial"/>
          <w:sz w:val="18"/>
          <w:szCs w:val="18"/>
          <w:lang w:val="el-GR"/>
        </w:rPr>
        <w:t>πέτυχε</w:t>
      </w:r>
      <w:r w:rsidR="00EA57BB" w:rsidRPr="00CB38F0">
        <w:rPr>
          <w:rFonts w:ascii="Arial" w:hAnsi="Arial" w:cs="Arial"/>
          <w:sz w:val="18"/>
          <w:szCs w:val="18"/>
          <w:lang w:val="el-GR"/>
        </w:rPr>
        <w:t xml:space="preserve"> τη συμμόρφωση και τη δημιουργία επαρκούς αποθέματος ως προς την τελική Ελάχιστη Απαίτηση Ιδίων Κεφαλαίων και Επιλέξιμων Υποχρεώσεων (‘MREL’) ύψους 25% των σταθμισμένων περιουσιακών στοιχείων (ή </w:t>
      </w:r>
      <w:r w:rsidR="00EA57BB" w:rsidRPr="00CB38F0">
        <w:rPr>
          <w:rFonts w:ascii="Arial" w:eastAsia="Times New Roman" w:hAnsi="Arial" w:cs="Arial"/>
          <w:sz w:val="18"/>
          <w:szCs w:val="18"/>
          <w:lang w:val="el-GR" w:eastAsia="en-US"/>
        </w:rPr>
        <w:t>30.</w:t>
      </w:r>
      <w:r w:rsidR="00EA57BB">
        <w:rPr>
          <w:rFonts w:ascii="Arial" w:eastAsia="Times New Roman" w:hAnsi="Arial" w:cs="Arial"/>
          <w:sz w:val="18"/>
          <w:szCs w:val="18"/>
          <w:lang w:val="el-GR" w:eastAsia="en-US"/>
        </w:rPr>
        <w:t>3</w:t>
      </w:r>
      <w:r w:rsidR="00EA57BB" w:rsidRPr="00CB38F0">
        <w:rPr>
          <w:rFonts w:ascii="Arial" w:eastAsia="Times New Roman" w:hAnsi="Arial" w:cs="Arial"/>
          <w:sz w:val="18"/>
          <w:szCs w:val="18"/>
          <w:lang w:val="el-GR" w:eastAsia="en-US"/>
        </w:rPr>
        <w:t xml:space="preserve">% των σταθμισμένων περιουσιακών στοιχείων περιλαμβάνοντας το κεφάλαιο που χρησιμοποιείται για συμμόρφωση με την εκάστοτε Συνδυασμένη Απαίτηση Αποθέματος Ασφαλείας (CBR) στις 31 Δεκεμβρίου 2024) </w:t>
      </w:r>
      <w:r w:rsidR="00EA57BB" w:rsidRPr="00CB38F0">
        <w:rPr>
          <w:rFonts w:ascii="Arial" w:hAnsi="Arial" w:cs="Arial"/>
          <w:sz w:val="18"/>
          <w:szCs w:val="18"/>
          <w:lang w:val="el-GR"/>
        </w:rPr>
        <w:t>και 5.91% του</w:t>
      </w:r>
      <w:r w:rsidR="00EA57BB">
        <w:rPr>
          <w:rFonts w:ascii="Arial" w:hAnsi="Arial" w:cs="Arial"/>
          <w:sz w:val="18"/>
          <w:szCs w:val="18"/>
          <w:lang w:val="el-GR"/>
        </w:rPr>
        <w:t xml:space="preserve"> </w:t>
      </w:r>
      <w:r w:rsidR="00EA57BB" w:rsidRPr="00CB38F0">
        <w:rPr>
          <w:rFonts w:ascii="Arial" w:hAnsi="Arial" w:cs="Arial"/>
          <w:sz w:val="18"/>
          <w:szCs w:val="18"/>
          <w:lang w:val="el-GR"/>
        </w:rPr>
        <w:t>δείκτη μόχλευσης μέτρου συνολικού ανοίγματος, με την οποία η Τράπεζα πρέπει να συμμορφωθεί μέχρι τις 31 Δεκεμβρίου 2024.</w:t>
      </w:r>
    </w:p>
    <w:p w14:paraId="38DBAC21" w14:textId="77777777" w:rsidR="00CE36EC" w:rsidRPr="006A1797" w:rsidRDefault="00CE36EC" w:rsidP="002354D5">
      <w:pPr>
        <w:spacing w:after="0" w:line="240" w:lineRule="auto"/>
        <w:jc w:val="both"/>
        <w:rPr>
          <w:rFonts w:ascii="Arial" w:eastAsia="Times New Roman" w:hAnsi="Arial" w:cs="Arial"/>
          <w:b/>
          <w:i/>
          <w:iCs/>
          <w:color w:val="FF9900"/>
          <w:sz w:val="18"/>
          <w:szCs w:val="18"/>
          <w:highlight w:val="yellow"/>
          <w:lang w:val="el-GR" w:eastAsia="el-GR"/>
        </w:rPr>
      </w:pPr>
    </w:p>
    <w:p w14:paraId="07B17379" w14:textId="77777777" w:rsidR="007C6BB9" w:rsidRPr="009D1AD0" w:rsidRDefault="007C6BB9" w:rsidP="007C6BB9">
      <w:pPr>
        <w:tabs>
          <w:tab w:val="left" w:pos="709"/>
        </w:tabs>
        <w:spacing w:after="120" w:line="240" w:lineRule="auto"/>
        <w:ind w:right="57"/>
        <w:rPr>
          <w:rFonts w:ascii="Arial" w:hAnsi="Arial" w:cs="Arial"/>
          <w:b/>
          <w:i/>
          <w:color w:val="FF9900"/>
          <w:sz w:val="20"/>
          <w:lang w:val="el-GR"/>
        </w:rPr>
      </w:pPr>
      <w:r w:rsidRPr="009D1AD0">
        <w:rPr>
          <w:rFonts w:ascii="Arial" w:hAnsi="Arial" w:cs="Arial"/>
          <w:b/>
          <w:i/>
          <w:color w:val="FF9900"/>
          <w:sz w:val="20"/>
          <w:lang w:val="el-GR"/>
        </w:rPr>
        <w:t>Ενίσχυση οργανωτικής ανθεκτικότητας και πολιτικής για Περιβαλλοντικά, Κοινωνικά και σχετικά µε τη Διακυβέρνηση (ΠΚΔ) θέματα (</w:t>
      </w:r>
      <w:r w:rsidRPr="009D1AD0">
        <w:rPr>
          <w:rFonts w:ascii="Arial" w:hAnsi="Arial" w:cs="Arial"/>
          <w:b/>
          <w:i/>
          <w:color w:val="FF9900"/>
          <w:sz w:val="20"/>
        </w:rPr>
        <w:t>Environmental</w:t>
      </w:r>
      <w:r w:rsidRPr="009D1AD0">
        <w:rPr>
          <w:rFonts w:ascii="Arial" w:hAnsi="Arial" w:cs="Arial"/>
          <w:b/>
          <w:i/>
          <w:color w:val="FF9900"/>
          <w:sz w:val="20"/>
          <w:lang w:val="el-GR"/>
        </w:rPr>
        <w:t xml:space="preserve">, </w:t>
      </w:r>
      <w:r w:rsidRPr="009D1AD0">
        <w:rPr>
          <w:rFonts w:ascii="Arial" w:hAnsi="Arial" w:cs="Arial"/>
          <w:b/>
          <w:i/>
          <w:color w:val="FF9900"/>
          <w:sz w:val="20"/>
        </w:rPr>
        <w:t>Social</w:t>
      </w:r>
      <w:r w:rsidRPr="009D1AD0">
        <w:rPr>
          <w:rFonts w:ascii="Arial" w:hAnsi="Arial" w:cs="Arial"/>
          <w:b/>
          <w:i/>
          <w:color w:val="FF9900"/>
          <w:sz w:val="20"/>
          <w:lang w:val="el-GR"/>
        </w:rPr>
        <w:t xml:space="preserve"> </w:t>
      </w:r>
      <w:r w:rsidRPr="009D1AD0">
        <w:rPr>
          <w:rFonts w:ascii="Arial" w:hAnsi="Arial" w:cs="Arial"/>
          <w:b/>
          <w:i/>
          <w:color w:val="FF9900"/>
          <w:sz w:val="20"/>
        </w:rPr>
        <w:t>and</w:t>
      </w:r>
      <w:r w:rsidRPr="009D1AD0">
        <w:rPr>
          <w:rFonts w:ascii="Arial" w:hAnsi="Arial" w:cs="Arial"/>
          <w:b/>
          <w:i/>
          <w:color w:val="FF9900"/>
          <w:sz w:val="20"/>
          <w:lang w:val="el-GR"/>
        </w:rPr>
        <w:t xml:space="preserve"> </w:t>
      </w:r>
      <w:r w:rsidRPr="009D1AD0">
        <w:rPr>
          <w:rFonts w:ascii="Arial" w:hAnsi="Arial" w:cs="Arial"/>
          <w:b/>
          <w:i/>
          <w:color w:val="FF9900"/>
          <w:sz w:val="20"/>
        </w:rPr>
        <w:t>Governance</w:t>
      </w:r>
      <w:r w:rsidRPr="009D1AD0">
        <w:rPr>
          <w:rFonts w:ascii="Arial" w:hAnsi="Arial" w:cs="Arial"/>
          <w:b/>
          <w:i/>
          <w:color w:val="FF9900"/>
          <w:sz w:val="20"/>
          <w:lang w:val="el-GR"/>
        </w:rPr>
        <w:t xml:space="preserve">, </w:t>
      </w:r>
      <w:r w:rsidRPr="009D1AD0">
        <w:rPr>
          <w:rFonts w:ascii="Arial" w:hAnsi="Arial" w:cs="Arial"/>
          <w:b/>
          <w:i/>
          <w:color w:val="FF9900"/>
          <w:sz w:val="20"/>
        </w:rPr>
        <w:t>ESG</w:t>
      </w:r>
      <w:r w:rsidRPr="009D1AD0">
        <w:rPr>
          <w:rFonts w:ascii="Arial" w:hAnsi="Arial" w:cs="Arial"/>
          <w:b/>
          <w:i/>
          <w:color w:val="FF9900"/>
          <w:sz w:val="20"/>
          <w:lang w:val="el-GR"/>
        </w:rPr>
        <w:t>)</w:t>
      </w:r>
    </w:p>
    <w:p w14:paraId="02E73BC2" w14:textId="6AF480CE" w:rsidR="007C6BB9" w:rsidRPr="008E28AB" w:rsidRDefault="007C6BB9" w:rsidP="007C6BB9">
      <w:pPr>
        <w:spacing w:after="0" w:line="240" w:lineRule="auto"/>
        <w:jc w:val="both"/>
        <w:rPr>
          <w:rFonts w:ascii="Arial" w:eastAsia="Times New Roman" w:hAnsi="Arial" w:cs="Times New Roman"/>
          <w:sz w:val="18"/>
          <w:lang w:val="el-GR"/>
        </w:rPr>
      </w:pPr>
      <w:r w:rsidRPr="008E28AB">
        <w:rPr>
          <w:rFonts w:ascii="Arial" w:eastAsia="Times New Roman" w:hAnsi="Arial" w:cs="Times New Roman"/>
          <w:sz w:val="18"/>
          <w:lang w:val="el-GR"/>
        </w:rPr>
        <w:t xml:space="preserve">Η κλιματική αλλαγή και η μετάβαση στη βιώσιμη οικονομία αποτελεί μια από τις μεγαλύτερες προκλήσεις. Ως αναπόσπαστο μέρος του </w:t>
      </w:r>
      <w:r w:rsidRPr="008E28AB">
        <w:rPr>
          <w:rFonts w:ascii="Arial" w:eastAsia="Arial" w:hAnsi="Arial" w:cs="Arial"/>
          <w:sz w:val="18"/>
          <w:szCs w:val="18"/>
          <w:lang w:val="el-GR"/>
        </w:rPr>
        <w:t>οράματος</w:t>
      </w:r>
      <w:r w:rsidRPr="008E28AB">
        <w:rPr>
          <w:rFonts w:ascii="Arial" w:eastAsia="Times New Roman" w:hAnsi="Arial" w:cs="Times New Roman"/>
          <w:sz w:val="18"/>
          <w:lang w:val="el-GR"/>
        </w:rPr>
        <w:t xml:space="preserve"> του να </w:t>
      </w:r>
      <w:r w:rsidRPr="008E28AB">
        <w:rPr>
          <w:rFonts w:ascii="Arial" w:eastAsia="Arial" w:hAnsi="Arial" w:cs="Arial"/>
          <w:sz w:val="18"/>
          <w:szCs w:val="18"/>
          <w:lang w:val="el-GR"/>
        </w:rPr>
        <w:t>έχει ηγετική θέση στον</w:t>
      </w:r>
      <w:r w:rsidRPr="008E28AB">
        <w:rPr>
          <w:rFonts w:ascii="Arial" w:eastAsia="Times New Roman" w:hAnsi="Arial" w:cs="Times New Roman"/>
          <w:sz w:val="18"/>
          <w:lang w:val="el-GR"/>
        </w:rPr>
        <w:t xml:space="preserve"> χρηματοοικονομικό τομέα </w:t>
      </w:r>
      <w:r w:rsidRPr="008E28AB">
        <w:rPr>
          <w:rFonts w:ascii="Arial" w:eastAsia="Arial" w:hAnsi="Arial" w:cs="Arial"/>
          <w:sz w:val="18"/>
          <w:szCs w:val="18"/>
          <w:lang w:val="el-GR"/>
        </w:rPr>
        <w:t>στην Κύπρο</w:t>
      </w:r>
      <w:r w:rsidRPr="008E28AB">
        <w:rPr>
          <w:rFonts w:ascii="Arial" w:eastAsia="Times New Roman" w:hAnsi="Arial" w:cs="Times New Roman"/>
          <w:sz w:val="18"/>
          <w:lang w:val="el-GR"/>
        </w:rPr>
        <w:t xml:space="preserve">, το Συγκρότημα </w:t>
      </w:r>
      <w:r w:rsidRPr="008E28AB">
        <w:rPr>
          <w:rFonts w:ascii="Arial" w:eastAsia="Arial" w:hAnsi="Arial" w:cs="Arial"/>
          <w:sz w:val="18"/>
          <w:szCs w:val="18"/>
          <w:lang w:val="el-GR"/>
        </w:rPr>
        <w:t>είναι αποφασισμένο</w:t>
      </w:r>
      <w:r w:rsidRPr="008E28AB">
        <w:rPr>
          <w:rFonts w:ascii="Arial" w:eastAsia="Times New Roman" w:hAnsi="Arial" w:cs="Times New Roman"/>
          <w:sz w:val="18"/>
          <w:lang w:val="el-GR"/>
        </w:rPr>
        <w:t xml:space="preserve"> να </w:t>
      </w:r>
      <w:r w:rsidRPr="008E28AB">
        <w:rPr>
          <w:rFonts w:ascii="Arial" w:eastAsia="Times New Roman" w:hAnsi="Arial" w:cs="Times New Roman"/>
          <w:b/>
          <w:bCs/>
          <w:sz w:val="18"/>
          <w:lang w:val="el-GR"/>
        </w:rPr>
        <w:t xml:space="preserve">ηγηθεί της μετάβασης της Κύπρου σε ένα βιώσιμο μέλλον. </w:t>
      </w:r>
      <w:r w:rsidRPr="008E28AB">
        <w:rPr>
          <w:rFonts w:ascii="Arial" w:eastAsia="Times New Roman" w:hAnsi="Arial" w:cs="Times New Roman"/>
          <w:sz w:val="18"/>
          <w:lang w:val="el-GR"/>
        </w:rPr>
        <w:t>Το Συγκρότημα εξελίσσει συνεχώς τις δράσεις του σε Περιβαλλοντικά, Κοινωνικά και σχετικά µε τη Διακυβέρνηση (ΠΚΔ) θέματα</w:t>
      </w:r>
      <w:r w:rsidRPr="008E28AB">
        <w:rPr>
          <w:rFonts w:ascii="Arial" w:eastAsia="Times New Roman" w:hAnsi="Arial" w:cs="Times New Roman"/>
          <w:b/>
          <w:bCs/>
          <w:sz w:val="18"/>
          <w:lang w:val="el-GR"/>
        </w:rPr>
        <w:t xml:space="preserve"> </w:t>
      </w:r>
      <w:r w:rsidRPr="008E28AB">
        <w:rPr>
          <w:rFonts w:ascii="Arial" w:eastAsia="Times New Roman" w:hAnsi="Arial" w:cs="Times New Roman"/>
          <w:sz w:val="18"/>
          <w:lang w:val="el-GR"/>
        </w:rPr>
        <w:t xml:space="preserve">και συνεχίζει να εργάζεται για τη δημιουργία ενός οργανισμού με όραμα για το μέλλον συμπεριλαμβάνοντας τα θέματα ΠΚΔ σε όλους τους τομείς της λειτουργίας του. </w:t>
      </w:r>
      <w:r w:rsidRPr="008E28AB">
        <w:rPr>
          <w:rFonts w:ascii="Arial" w:eastAsia="Arial" w:hAnsi="Arial" w:cs="Arial"/>
          <w:sz w:val="18"/>
          <w:szCs w:val="18"/>
          <w:lang w:val="el-GR"/>
        </w:rPr>
        <w:t>Εντός του 202</w:t>
      </w:r>
      <w:r w:rsidRPr="001956CB">
        <w:rPr>
          <w:rFonts w:ascii="Arial" w:eastAsia="Arial" w:hAnsi="Arial" w:cs="Arial"/>
          <w:sz w:val="18"/>
          <w:szCs w:val="18"/>
          <w:lang w:val="el-GR"/>
        </w:rPr>
        <w:t>4</w:t>
      </w:r>
      <w:r w:rsidRPr="008E28AB">
        <w:rPr>
          <w:rFonts w:ascii="Arial" w:eastAsia="Arial" w:hAnsi="Arial" w:cs="Arial"/>
          <w:sz w:val="18"/>
          <w:szCs w:val="18"/>
          <w:lang w:val="el-GR"/>
        </w:rPr>
        <w:t xml:space="preserve">, η </w:t>
      </w:r>
      <w:r w:rsidR="003C4252">
        <w:rPr>
          <w:rFonts w:ascii="Arial" w:eastAsia="Arial" w:hAnsi="Arial" w:cs="Arial"/>
          <w:sz w:val="18"/>
          <w:szCs w:val="18"/>
          <w:lang w:val="el-GR"/>
        </w:rPr>
        <w:t xml:space="preserve">Τράπεζα </w:t>
      </w:r>
      <w:r w:rsidRPr="008E28AB">
        <w:rPr>
          <w:rFonts w:ascii="Arial" w:eastAsia="Times New Roman" w:hAnsi="Arial" w:cs="Times New Roman"/>
          <w:sz w:val="18"/>
          <w:lang w:val="el-GR"/>
        </w:rPr>
        <w:t xml:space="preserve">έλαβε αξιολόγηση </w:t>
      </w:r>
      <w:r w:rsidRPr="008E28AB">
        <w:rPr>
          <w:rFonts w:ascii="Arial" w:eastAsia="Arial" w:hAnsi="Arial" w:cs="Arial"/>
          <w:sz w:val="18"/>
          <w:szCs w:val="18"/>
          <w:lang w:val="el-GR"/>
        </w:rPr>
        <w:t>στη</w:t>
      </w:r>
      <w:r w:rsidRPr="008E28AB">
        <w:rPr>
          <w:rFonts w:ascii="Arial" w:eastAsia="Times New Roman" w:hAnsi="Arial" w:cs="Times New Roman"/>
          <w:sz w:val="18"/>
          <w:lang w:val="el-GR"/>
        </w:rPr>
        <w:t xml:space="preserve"> βαθμίδα ΑΑ (σε κλίμακα από ΑΑΑ μέχρι CCC) από την MSCI ESG Ratings.  </w:t>
      </w:r>
    </w:p>
    <w:p w14:paraId="7BEC2357" w14:textId="77777777" w:rsidR="007C6BB9" w:rsidRPr="008E28AB" w:rsidRDefault="007C6BB9" w:rsidP="007C6BB9">
      <w:pPr>
        <w:spacing w:after="0" w:line="240" w:lineRule="auto"/>
        <w:jc w:val="both"/>
        <w:rPr>
          <w:rFonts w:ascii="Arial" w:eastAsia="Times New Roman" w:hAnsi="Arial" w:cs="Times New Roman"/>
          <w:sz w:val="18"/>
          <w:lang w:val="el-GR"/>
        </w:rPr>
      </w:pPr>
    </w:p>
    <w:p w14:paraId="2D14C4B5" w14:textId="77777777" w:rsidR="007C6BB9" w:rsidRPr="008E28AB" w:rsidRDefault="007C6BB9" w:rsidP="007C6BB9">
      <w:pPr>
        <w:spacing w:after="0" w:line="240" w:lineRule="auto"/>
        <w:jc w:val="both"/>
        <w:rPr>
          <w:rFonts w:ascii="Arial" w:eastAsia="Times New Roman" w:hAnsi="Arial" w:cs="Times New Roman"/>
          <w:sz w:val="18"/>
          <w:lang w:val="el-GR"/>
        </w:rPr>
      </w:pPr>
      <w:r w:rsidRPr="008E28AB">
        <w:rPr>
          <w:rFonts w:ascii="Arial" w:eastAsia="Times New Roman" w:hAnsi="Arial" w:cs="Times New Roman"/>
          <w:sz w:val="18"/>
          <w:lang w:val="el-GR"/>
        </w:rPr>
        <w:t>Επιβεβαιώνοντας την ισχυρή δέσμευσή της σε θέματα βιωσιμότητας και στη δημιουργία μακροπρόθεσμης αξίας για όλα τα ενδιαφερόμενα μέρη της, τον Νοέμβριο του 2023, η Τράπεζα ήταν η πρώτη Τράπεζα στην Κύπρο που υπέγραψε επίσημα τις Αρχές Υπεύθυνης Τραπεζικής των Ηνωμένων Εθνών που αντιπροσωπεύει ένα ενιαίο πλαίσιο για έναν βιώσιμο τραπεζικό κλάδο, το οποίο αναπτύχθηκε μέσω της σύμπραξης τραπεζών σε παγκόσμια κλίμακα και του Προγράμματος των Ηνωμένων Εθνών για το Περιβάλλον, μια πρωτοβουλία του Χρηματοοικονομικού κλάδου (UNEP FI).</w:t>
      </w:r>
    </w:p>
    <w:p w14:paraId="10CB2727" w14:textId="77777777" w:rsidR="007C6BB9" w:rsidRPr="00AA62B1" w:rsidRDefault="007C6BB9" w:rsidP="007C6BB9">
      <w:pPr>
        <w:spacing w:after="0" w:line="240" w:lineRule="auto"/>
        <w:jc w:val="both"/>
        <w:rPr>
          <w:rFonts w:ascii="Arial" w:eastAsia="Times New Roman" w:hAnsi="Arial" w:cs="Times New Roman"/>
          <w:sz w:val="18"/>
          <w:lang w:val="el-GR"/>
        </w:rPr>
      </w:pPr>
    </w:p>
    <w:p w14:paraId="5CA9BD03" w14:textId="00E1A592" w:rsidR="007C6BB9" w:rsidRPr="001956CB" w:rsidRDefault="007C6BB9" w:rsidP="007C6BB9">
      <w:pPr>
        <w:spacing w:after="0" w:line="240" w:lineRule="auto"/>
        <w:jc w:val="both"/>
        <w:rPr>
          <w:rFonts w:ascii="Arial" w:eastAsia="Times New Roman" w:hAnsi="Arial" w:cs="Times New Roman"/>
          <w:sz w:val="18"/>
          <w:lang w:val="el-GR"/>
        </w:rPr>
      </w:pPr>
      <w:r>
        <w:rPr>
          <w:rFonts w:ascii="Arial" w:eastAsia="Times New Roman" w:hAnsi="Arial" w:cs="Times New Roman"/>
          <w:sz w:val="18"/>
          <w:lang w:val="el-GR"/>
        </w:rPr>
        <w:t xml:space="preserve">Ευθυγραμμίζοντας με </w:t>
      </w:r>
      <w:r w:rsidRPr="001956CB">
        <w:rPr>
          <w:rFonts w:ascii="Arial" w:eastAsia="Times New Roman" w:hAnsi="Arial" w:cs="Times New Roman"/>
          <w:sz w:val="18"/>
          <w:lang w:val="el-GR"/>
        </w:rPr>
        <w:t xml:space="preserve">τη φιλοσοφία </w:t>
      </w:r>
      <w:r>
        <w:rPr>
          <w:rFonts w:ascii="Arial" w:eastAsia="Times New Roman" w:hAnsi="Arial" w:cs="Times New Roman"/>
          <w:sz w:val="18"/>
          <w:lang w:val="el-GR"/>
        </w:rPr>
        <w:t xml:space="preserve">του Συγκροτήματος </w:t>
      </w:r>
      <w:r w:rsidRPr="001956CB">
        <w:rPr>
          <w:rFonts w:ascii="Arial" w:eastAsia="Times New Roman" w:hAnsi="Arial" w:cs="Times New Roman"/>
          <w:sz w:val="18"/>
          <w:lang w:val="el-GR"/>
        </w:rPr>
        <w:t xml:space="preserve">‘Περισσότερο από Τράπεζα - Beyond Banking’ και τη δέσμευση </w:t>
      </w:r>
      <w:r>
        <w:rPr>
          <w:rFonts w:ascii="Arial" w:eastAsia="Times New Roman" w:hAnsi="Arial" w:cs="Times New Roman"/>
          <w:sz w:val="18"/>
          <w:lang w:val="el-GR"/>
        </w:rPr>
        <w:t xml:space="preserve">του </w:t>
      </w:r>
      <w:r w:rsidRPr="001956CB">
        <w:rPr>
          <w:rFonts w:ascii="Arial" w:eastAsia="Times New Roman" w:hAnsi="Arial" w:cs="Times New Roman"/>
          <w:sz w:val="18"/>
          <w:lang w:val="el-GR"/>
        </w:rPr>
        <w:t>για δημιουργία ενός ισχυρότερου, και ασφαλέστερου οργανισμού ε</w:t>
      </w:r>
      <w:r w:rsidR="003C4252">
        <w:rPr>
          <w:rFonts w:ascii="Arial" w:eastAsia="Times New Roman" w:hAnsi="Arial" w:cs="Times New Roman"/>
          <w:sz w:val="18"/>
          <w:lang w:val="el-GR"/>
        </w:rPr>
        <w:t xml:space="preserve">πικεντρωμένου </w:t>
      </w:r>
      <w:r w:rsidRPr="001956CB">
        <w:rPr>
          <w:rFonts w:ascii="Arial" w:eastAsia="Times New Roman" w:hAnsi="Arial" w:cs="Times New Roman"/>
          <w:sz w:val="18"/>
          <w:lang w:val="el-GR"/>
        </w:rPr>
        <w:t xml:space="preserve">στο μέλλον, η Τράπεζα προχώρησε, μέσα στο 2024, στην </w:t>
      </w:r>
      <w:r>
        <w:rPr>
          <w:rFonts w:ascii="Arial" w:eastAsia="Times New Roman" w:hAnsi="Arial" w:cs="Times New Roman"/>
          <w:sz w:val="18"/>
          <w:lang w:val="el-GR"/>
        </w:rPr>
        <w:t xml:space="preserve">πρώτη </w:t>
      </w:r>
      <w:r w:rsidRPr="001956CB">
        <w:rPr>
          <w:rFonts w:ascii="Arial" w:eastAsia="Times New Roman" w:hAnsi="Arial" w:cs="Times New Roman"/>
          <w:sz w:val="18"/>
          <w:lang w:val="el-GR"/>
        </w:rPr>
        <w:t xml:space="preserve">έκδοση πράσινου ομολόγου. Τα καθαρά έσοδα από την έκδοση του </w:t>
      </w:r>
      <w:r>
        <w:rPr>
          <w:rFonts w:ascii="Arial" w:eastAsia="Times New Roman" w:hAnsi="Arial" w:cs="Times New Roman"/>
          <w:sz w:val="18"/>
          <w:lang w:val="el-GR"/>
        </w:rPr>
        <w:t>ο</w:t>
      </w:r>
      <w:r w:rsidRPr="001956CB">
        <w:rPr>
          <w:rFonts w:ascii="Arial" w:eastAsia="Times New Roman" w:hAnsi="Arial" w:cs="Times New Roman"/>
          <w:sz w:val="18"/>
          <w:lang w:val="el-GR"/>
        </w:rPr>
        <w:t xml:space="preserve">μολόγου θα διατεθούν σε </w:t>
      </w:r>
      <w:r>
        <w:rPr>
          <w:rFonts w:ascii="Arial" w:eastAsia="Times New Roman" w:hAnsi="Arial" w:cs="Times New Roman"/>
          <w:sz w:val="18"/>
          <w:lang w:val="el-GR"/>
        </w:rPr>
        <w:t>ε</w:t>
      </w:r>
      <w:r w:rsidRPr="001956CB">
        <w:rPr>
          <w:rFonts w:ascii="Arial" w:eastAsia="Times New Roman" w:hAnsi="Arial" w:cs="Times New Roman"/>
          <w:sz w:val="18"/>
          <w:lang w:val="el-GR"/>
        </w:rPr>
        <w:t xml:space="preserve">πιλέξιμα </w:t>
      </w:r>
      <w:r>
        <w:rPr>
          <w:rFonts w:ascii="Arial" w:eastAsia="Times New Roman" w:hAnsi="Arial" w:cs="Times New Roman"/>
          <w:sz w:val="18"/>
          <w:lang w:val="el-GR"/>
        </w:rPr>
        <w:t>έ</w:t>
      </w:r>
      <w:r w:rsidRPr="001956CB">
        <w:rPr>
          <w:rFonts w:ascii="Arial" w:eastAsia="Times New Roman" w:hAnsi="Arial" w:cs="Times New Roman"/>
          <w:sz w:val="18"/>
          <w:lang w:val="el-GR"/>
        </w:rPr>
        <w:t xml:space="preserve">ργα </w:t>
      </w:r>
      <w:r>
        <w:rPr>
          <w:rFonts w:ascii="Arial" w:eastAsia="Times New Roman" w:hAnsi="Arial" w:cs="Times New Roman"/>
          <w:sz w:val="18"/>
          <w:lang w:val="el-GR"/>
        </w:rPr>
        <w:t>π</w:t>
      </w:r>
      <w:r w:rsidRPr="001956CB">
        <w:rPr>
          <w:rFonts w:ascii="Arial" w:eastAsia="Times New Roman" w:hAnsi="Arial" w:cs="Times New Roman"/>
          <w:sz w:val="18"/>
          <w:lang w:val="el-GR"/>
        </w:rPr>
        <w:t xml:space="preserve">ράσινης </w:t>
      </w:r>
      <w:r>
        <w:rPr>
          <w:rFonts w:ascii="Arial" w:eastAsia="Times New Roman" w:hAnsi="Arial" w:cs="Times New Roman"/>
          <w:sz w:val="18"/>
          <w:lang w:val="el-GR"/>
        </w:rPr>
        <w:t>χ</w:t>
      </w:r>
      <w:r w:rsidRPr="001956CB">
        <w:rPr>
          <w:rFonts w:ascii="Arial" w:eastAsia="Times New Roman" w:hAnsi="Arial" w:cs="Times New Roman"/>
          <w:sz w:val="18"/>
          <w:lang w:val="el-GR"/>
        </w:rPr>
        <w:t xml:space="preserve">ρηματοδότησης όπως περιγράφονται στο </w:t>
      </w:r>
      <w:r>
        <w:rPr>
          <w:rFonts w:ascii="Arial" w:eastAsia="Times New Roman" w:hAnsi="Arial" w:cs="Times New Roman"/>
          <w:sz w:val="18"/>
          <w:lang w:val="el-GR"/>
        </w:rPr>
        <w:t>π</w:t>
      </w:r>
      <w:r w:rsidRPr="001956CB">
        <w:rPr>
          <w:rFonts w:ascii="Arial" w:eastAsia="Times New Roman" w:hAnsi="Arial" w:cs="Times New Roman"/>
          <w:sz w:val="18"/>
          <w:lang w:val="el-GR"/>
        </w:rPr>
        <w:t xml:space="preserve">λαίσιο </w:t>
      </w:r>
      <w:r>
        <w:rPr>
          <w:rFonts w:ascii="Arial" w:eastAsia="Times New Roman" w:hAnsi="Arial" w:cs="Times New Roman"/>
          <w:sz w:val="18"/>
          <w:lang w:val="el-GR"/>
        </w:rPr>
        <w:t>β</w:t>
      </w:r>
      <w:r w:rsidRPr="001956CB">
        <w:rPr>
          <w:rFonts w:ascii="Arial" w:eastAsia="Times New Roman" w:hAnsi="Arial" w:cs="Times New Roman"/>
          <w:sz w:val="18"/>
          <w:lang w:val="el-GR"/>
        </w:rPr>
        <w:t xml:space="preserve">ιώσιμης </w:t>
      </w:r>
      <w:r>
        <w:rPr>
          <w:rFonts w:ascii="Arial" w:eastAsia="Times New Roman" w:hAnsi="Arial" w:cs="Times New Roman"/>
          <w:sz w:val="18"/>
          <w:lang w:val="el-GR"/>
        </w:rPr>
        <w:t>χ</w:t>
      </w:r>
      <w:r w:rsidRPr="001956CB">
        <w:rPr>
          <w:rFonts w:ascii="Arial" w:eastAsia="Times New Roman" w:hAnsi="Arial" w:cs="Times New Roman"/>
          <w:sz w:val="18"/>
          <w:lang w:val="el-GR"/>
        </w:rPr>
        <w:t xml:space="preserve">ρηματοδότησης της Τράπεζας, τα οποία περιλαμβάνουν </w:t>
      </w:r>
      <w:r>
        <w:rPr>
          <w:rFonts w:ascii="Arial" w:eastAsia="Times New Roman" w:hAnsi="Arial" w:cs="Times New Roman"/>
          <w:sz w:val="18"/>
          <w:lang w:val="el-GR"/>
        </w:rPr>
        <w:t>π</w:t>
      </w:r>
      <w:r w:rsidRPr="001956CB">
        <w:rPr>
          <w:rFonts w:ascii="Arial" w:eastAsia="Times New Roman" w:hAnsi="Arial" w:cs="Times New Roman"/>
          <w:sz w:val="18"/>
          <w:lang w:val="el-GR"/>
        </w:rPr>
        <w:t xml:space="preserve">ράσινα </w:t>
      </w:r>
      <w:r>
        <w:rPr>
          <w:rFonts w:ascii="Arial" w:eastAsia="Times New Roman" w:hAnsi="Arial" w:cs="Times New Roman"/>
          <w:sz w:val="18"/>
          <w:lang w:val="el-GR"/>
        </w:rPr>
        <w:t>κ</w:t>
      </w:r>
      <w:r w:rsidRPr="001956CB">
        <w:rPr>
          <w:rFonts w:ascii="Arial" w:eastAsia="Times New Roman" w:hAnsi="Arial" w:cs="Times New Roman"/>
          <w:sz w:val="18"/>
          <w:lang w:val="el-GR"/>
        </w:rPr>
        <w:t xml:space="preserve">τίρια, </w:t>
      </w:r>
      <w:r>
        <w:rPr>
          <w:rFonts w:ascii="Arial" w:eastAsia="Times New Roman" w:hAnsi="Arial" w:cs="Times New Roman"/>
          <w:sz w:val="18"/>
          <w:lang w:val="el-GR"/>
        </w:rPr>
        <w:t>αναβάθμιση</w:t>
      </w:r>
      <w:r w:rsidRPr="001956CB">
        <w:rPr>
          <w:rFonts w:ascii="Arial" w:eastAsia="Times New Roman" w:hAnsi="Arial" w:cs="Times New Roman"/>
          <w:sz w:val="18"/>
          <w:lang w:val="el-GR"/>
        </w:rPr>
        <w:t xml:space="preserve"> </w:t>
      </w:r>
      <w:r>
        <w:rPr>
          <w:rFonts w:ascii="Arial" w:eastAsia="Times New Roman" w:hAnsi="Arial" w:cs="Times New Roman"/>
          <w:sz w:val="18"/>
          <w:lang w:val="el-GR"/>
        </w:rPr>
        <w:t>ε</w:t>
      </w:r>
      <w:r w:rsidRPr="001956CB">
        <w:rPr>
          <w:rFonts w:ascii="Arial" w:eastAsia="Times New Roman" w:hAnsi="Arial" w:cs="Times New Roman"/>
          <w:sz w:val="18"/>
          <w:lang w:val="el-GR"/>
        </w:rPr>
        <w:t xml:space="preserve">νεργειακής </w:t>
      </w:r>
      <w:r>
        <w:rPr>
          <w:rFonts w:ascii="Arial" w:eastAsia="Times New Roman" w:hAnsi="Arial" w:cs="Times New Roman"/>
          <w:sz w:val="18"/>
          <w:lang w:val="el-GR"/>
        </w:rPr>
        <w:t>α</w:t>
      </w:r>
      <w:r w:rsidRPr="001956CB">
        <w:rPr>
          <w:rFonts w:ascii="Arial" w:eastAsia="Times New Roman" w:hAnsi="Arial" w:cs="Times New Roman"/>
          <w:sz w:val="18"/>
          <w:lang w:val="el-GR"/>
        </w:rPr>
        <w:t xml:space="preserve">πόδοσης, </w:t>
      </w:r>
      <w:r>
        <w:rPr>
          <w:rFonts w:ascii="Arial" w:eastAsia="Times New Roman" w:hAnsi="Arial" w:cs="Times New Roman"/>
          <w:sz w:val="18"/>
          <w:lang w:val="el-GR"/>
        </w:rPr>
        <w:t>σ</w:t>
      </w:r>
      <w:r w:rsidRPr="001956CB">
        <w:rPr>
          <w:rFonts w:ascii="Arial" w:eastAsia="Times New Roman" w:hAnsi="Arial" w:cs="Times New Roman"/>
          <w:sz w:val="18"/>
          <w:lang w:val="el-GR"/>
        </w:rPr>
        <w:t xml:space="preserve">υγκοινωνίες φιλικές προς το περιβάλλον και </w:t>
      </w:r>
      <w:r>
        <w:rPr>
          <w:rFonts w:ascii="Arial" w:eastAsia="Times New Roman" w:hAnsi="Arial" w:cs="Times New Roman"/>
          <w:sz w:val="18"/>
          <w:lang w:val="el-GR"/>
        </w:rPr>
        <w:t>α</w:t>
      </w:r>
      <w:r w:rsidRPr="001956CB">
        <w:rPr>
          <w:rFonts w:ascii="Arial" w:eastAsia="Times New Roman" w:hAnsi="Arial" w:cs="Times New Roman"/>
          <w:sz w:val="18"/>
          <w:lang w:val="el-GR"/>
        </w:rPr>
        <w:t xml:space="preserve">νανεώσιμες </w:t>
      </w:r>
      <w:r>
        <w:rPr>
          <w:rFonts w:ascii="Arial" w:eastAsia="Times New Roman" w:hAnsi="Arial" w:cs="Times New Roman"/>
          <w:sz w:val="18"/>
          <w:lang w:val="el-GR"/>
        </w:rPr>
        <w:t>π</w:t>
      </w:r>
      <w:r w:rsidRPr="001956CB">
        <w:rPr>
          <w:rFonts w:ascii="Arial" w:eastAsia="Times New Roman" w:hAnsi="Arial" w:cs="Times New Roman"/>
          <w:sz w:val="18"/>
          <w:lang w:val="el-GR"/>
        </w:rPr>
        <w:t xml:space="preserve">ηγές </w:t>
      </w:r>
      <w:r>
        <w:rPr>
          <w:rFonts w:ascii="Arial" w:eastAsia="Times New Roman" w:hAnsi="Arial" w:cs="Times New Roman"/>
          <w:sz w:val="18"/>
          <w:lang w:val="el-GR"/>
        </w:rPr>
        <w:t>ε</w:t>
      </w:r>
      <w:r w:rsidRPr="001956CB">
        <w:rPr>
          <w:rFonts w:ascii="Arial" w:eastAsia="Times New Roman" w:hAnsi="Arial" w:cs="Times New Roman"/>
          <w:sz w:val="18"/>
          <w:lang w:val="el-GR"/>
        </w:rPr>
        <w:t>νέργειας.</w:t>
      </w:r>
    </w:p>
    <w:p w14:paraId="76C4FE9E" w14:textId="77777777" w:rsidR="007C6BB9" w:rsidRPr="006A1797" w:rsidRDefault="007C6BB9" w:rsidP="007C6BB9">
      <w:pPr>
        <w:spacing w:after="0" w:line="240" w:lineRule="auto"/>
        <w:jc w:val="both"/>
        <w:rPr>
          <w:rFonts w:ascii="Arial" w:eastAsia="Times New Roman" w:hAnsi="Arial" w:cs="Times New Roman"/>
          <w:sz w:val="18"/>
          <w:lang w:val="el-GR"/>
        </w:rPr>
      </w:pPr>
    </w:p>
    <w:p w14:paraId="7E68EE21" w14:textId="77777777" w:rsidR="007C6BB9" w:rsidRPr="008E28AB" w:rsidRDefault="007C6BB9" w:rsidP="007C6BB9">
      <w:pPr>
        <w:spacing w:after="0" w:line="240" w:lineRule="auto"/>
        <w:jc w:val="both"/>
        <w:rPr>
          <w:rFonts w:ascii="Arial" w:eastAsia="Times New Roman" w:hAnsi="Arial" w:cs="Times New Roman"/>
          <w:sz w:val="18"/>
          <w:lang w:val="el-GR"/>
        </w:rPr>
      </w:pPr>
      <w:r w:rsidRPr="008E28AB">
        <w:rPr>
          <w:rFonts w:ascii="Arial" w:eastAsia="Times New Roman" w:hAnsi="Arial" w:cs="Times New Roman"/>
          <w:sz w:val="18"/>
          <w:lang w:val="el-GR"/>
        </w:rPr>
        <w:t xml:space="preserve">Η στρατηγική ΠΚΔ που καταρτίστηκε το 2021 αναπτύσσεται συνεχώς. Το Συγκρότημα διατηρεί τον ηγετικό του ρόλο στους πυλώνες της </w:t>
      </w:r>
      <w:r w:rsidRPr="008E28AB">
        <w:rPr>
          <w:rFonts w:ascii="Arial" w:eastAsia="Arial" w:hAnsi="Arial" w:cs="Arial"/>
          <w:sz w:val="18"/>
          <w:szCs w:val="18"/>
          <w:lang w:val="el-GR"/>
        </w:rPr>
        <w:t>Κοινωνικής</w:t>
      </w:r>
      <w:r w:rsidRPr="008E28AB">
        <w:rPr>
          <w:rFonts w:ascii="Arial" w:eastAsia="Times New Roman" w:hAnsi="Arial" w:cs="Times New Roman"/>
          <w:sz w:val="18"/>
          <w:lang w:val="el-GR"/>
        </w:rPr>
        <w:t xml:space="preserve"> προσφοράς και Διακυβέρνησης και εστιάζει στην ενίσχυση της θετικής επίδρασής του στο Περιβάλλον, επαναπροσδιορίζοντας όχι μόνο τον δικό του τρόπο λειτουργίας αλλά και τον τρόπο λειτουργίας των πελατών του.</w:t>
      </w:r>
    </w:p>
    <w:p w14:paraId="1A845636" w14:textId="77777777" w:rsidR="007C6BB9" w:rsidRPr="009302A3" w:rsidRDefault="007C6BB9" w:rsidP="007C6BB9">
      <w:pPr>
        <w:spacing w:after="0" w:line="240" w:lineRule="auto"/>
        <w:jc w:val="both"/>
        <w:rPr>
          <w:rFonts w:ascii="Arial" w:eastAsia="Times New Roman" w:hAnsi="Arial" w:cs="Times New Roman"/>
          <w:sz w:val="18"/>
          <w:lang w:val="el-GR"/>
        </w:rPr>
      </w:pPr>
    </w:p>
    <w:p w14:paraId="61EC1096" w14:textId="77777777" w:rsidR="007C6BB9" w:rsidRPr="008E28AB" w:rsidRDefault="007C6BB9" w:rsidP="007C6BB9">
      <w:pPr>
        <w:spacing w:after="0" w:line="240" w:lineRule="auto"/>
        <w:jc w:val="both"/>
        <w:rPr>
          <w:rFonts w:ascii="Arial" w:eastAsia="Times New Roman" w:hAnsi="Arial" w:cs="Times New Roman"/>
          <w:sz w:val="18"/>
          <w:lang w:val="el-GR"/>
        </w:rPr>
      </w:pPr>
      <w:r w:rsidRPr="008E28AB">
        <w:rPr>
          <w:rFonts w:ascii="Arial" w:eastAsia="Times New Roman" w:hAnsi="Arial" w:cs="Times New Roman"/>
          <w:sz w:val="18"/>
          <w:lang w:val="el-GR"/>
        </w:rPr>
        <w:t>Το Συγκρότημα έχει δεσμευτεί στους πιο κάτω πρωταρχικούς ΠΚΔ στόχους, που καταδεικνύουν τον κομβικό ρόλο των ΠΚΔ θεμάτων στη στρατηγική του Συγκροτήματος:</w:t>
      </w:r>
    </w:p>
    <w:p w14:paraId="38452275" w14:textId="77777777" w:rsidR="007C6BB9" w:rsidRPr="008E28AB" w:rsidRDefault="007C6BB9" w:rsidP="007C6BB9">
      <w:pPr>
        <w:spacing w:after="0" w:line="240" w:lineRule="auto"/>
        <w:jc w:val="both"/>
        <w:rPr>
          <w:rFonts w:ascii="Arial" w:eastAsia="Times New Roman" w:hAnsi="Arial" w:cs="Times New Roman"/>
          <w:sz w:val="18"/>
          <w:lang w:val="el-GR"/>
        </w:rPr>
      </w:pPr>
    </w:p>
    <w:p w14:paraId="4F47C5C9" w14:textId="77777777" w:rsidR="007C6BB9" w:rsidRPr="008E28AB" w:rsidRDefault="007C6BB9" w:rsidP="007C6BB9">
      <w:pPr>
        <w:numPr>
          <w:ilvl w:val="0"/>
          <w:numId w:val="11"/>
        </w:numPr>
        <w:spacing w:after="0" w:line="240" w:lineRule="auto"/>
        <w:jc w:val="both"/>
        <w:rPr>
          <w:rFonts w:ascii="Arial" w:eastAsia="Times New Roman" w:hAnsi="Arial" w:cs="Times New Roman"/>
          <w:color w:val="000000"/>
          <w:sz w:val="18"/>
          <w:szCs w:val="24"/>
          <w:lang w:val="el-GR"/>
        </w:rPr>
      </w:pPr>
      <w:r w:rsidRPr="008E28AB">
        <w:rPr>
          <w:rFonts w:ascii="Arial" w:eastAsia="Times New Roman" w:hAnsi="Arial" w:cs="Times New Roman"/>
          <w:color w:val="000000"/>
          <w:sz w:val="18"/>
          <w:szCs w:val="24"/>
          <w:lang w:val="el-GR"/>
        </w:rPr>
        <w:t>Επίτευξη Κλιματικής Ουδετερότητας</w:t>
      </w:r>
      <w:r w:rsidRPr="008E28AB">
        <w:rPr>
          <w:rFonts w:ascii="Times New Roman" w:eastAsia="Times New Roman" w:hAnsi="Times New Roman" w:cs="Times New Roman"/>
          <w:color w:val="000000"/>
          <w:sz w:val="24"/>
          <w:szCs w:val="24"/>
          <w:lang w:val="el-GR"/>
        </w:rPr>
        <w:t xml:space="preserve"> </w:t>
      </w:r>
      <w:r w:rsidRPr="008E28AB">
        <w:rPr>
          <w:rFonts w:ascii="Arial" w:eastAsia="Times New Roman" w:hAnsi="Arial" w:cs="Times New Roman"/>
          <w:color w:val="000000"/>
          <w:sz w:val="18"/>
          <w:szCs w:val="24"/>
          <w:lang w:val="el-GR"/>
        </w:rPr>
        <w:t>(</w:t>
      </w:r>
      <w:r w:rsidRPr="008E28AB">
        <w:rPr>
          <w:rFonts w:ascii="Arial" w:eastAsia="Times New Roman" w:hAnsi="Arial" w:cs="Times New Roman"/>
          <w:color w:val="000000"/>
          <w:sz w:val="18"/>
          <w:szCs w:val="24"/>
        </w:rPr>
        <w:t>Carbon</w:t>
      </w:r>
      <w:r w:rsidRPr="008E28AB">
        <w:rPr>
          <w:rFonts w:ascii="Arial" w:eastAsia="Times New Roman" w:hAnsi="Arial" w:cs="Times New Roman"/>
          <w:color w:val="000000"/>
          <w:sz w:val="18"/>
          <w:szCs w:val="24"/>
          <w:lang w:val="el-GR"/>
        </w:rPr>
        <w:t xml:space="preserve"> </w:t>
      </w:r>
      <w:r w:rsidRPr="008E28AB">
        <w:rPr>
          <w:rFonts w:ascii="Arial" w:eastAsia="Times New Roman" w:hAnsi="Arial" w:cs="Times New Roman"/>
          <w:color w:val="000000"/>
          <w:sz w:val="18"/>
          <w:szCs w:val="24"/>
        </w:rPr>
        <w:t>Neutral</w:t>
      </w:r>
      <w:r w:rsidRPr="008E28AB">
        <w:rPr>
          <w:rFonts w:ascii="Arial" w:eastAsia="Times New Roman" w:hAnsi="Arial" w:cs="Times New Roman"/>
          <w:color w:val="000000"/>
          <w:sz w:val="18"/>
          <w:szCs w:val="24"/>
          <w:lang w:val="el-GR"/>
        </w:rPr>
        <w:t>) μέχρι το 2030</w:t>
      </w:r>
    </w:p>
    <w:p w14:paraId="0F7B7D59" w14:textId="77777777" w:rsidR="007C6BB9" w:rsidRPr="008E28AB" w:rsidRDefault="007C6BB9" w:rsidP="007C6BB9">
      <w:pPr>
        <w:numPr>
          <w:ilvl w:val="0"/>
          <w:numId w:val="12"/>
        </w:numPr>
        <w:spacing w:after="0" w:line="240" w:lineRule="auto"/>
        <w:jc w:val="both"/>
        <w:rPr>
          <w:rFonts w:ascii="Arial" w:eastAsia="Times New Roman" w:hAnsi="Arial" w:cs="Times New Roman"/>
          <w:color w:val="000000"/>
          <w:sz w:val="18"/>
          <w:szCs w:val="24"/>
          <w:lang w:val="el-GR"/>
        </w:rPr>
      </w:pPr>
      <w:r w:rsidRPr="008E28AB">
        <w:rPr>
          <w:rFonts w:ascii="Arial" w:eastAsia="Times New Roman" w:hAnsi="Arial" w:cs="Times New Roman"/>
          <w:color w:val="000000"/>
          <w:sz w:val="18"/>
          <w:szCs w:val="24"/>
          <w:lang w:val="el-GR"/>
        </w:rPr>
        <w:t>Επίτευξη Kαθαρού Mηδενικού Iσοζυγίου (</w:t>
      </w:r>
      <w:r w:rsidRPr="008E28AB">
        <w:rPr>
          <w:rFonts w:ascii="Arial" w:eastAsia="Times New Roman" w:hAnsi="Arial" w:cs="Times New Roman"/>
          <w:color w:val="000000"/>
          <w:sz w:val="18"/>
          <w:szCs w:val="24"/>
        </w:rPr>
        <w:t>Net</w:t>
      </w:r>
      <w:r w:rsidRPr="008E28AB">
        <w:rPr>
          <w:rFonts w:ascii="Arial" w:eastAsia="Times New Roman" w:hAnsi="Arial" w:cs="Times New Roman"/>
          <w:color w:val="000000"/>
          <w:sz w:val="18"/>
          <w:szCs w:val="24"/>
          <w:lang w:val="el-GR"/>
        </w:rPr>
        <w:t xml:space="preserve"> </w:t>
      </w:r>
      <w:r w:rsidRPr="008E28AB">
        <w:rPr>
          <w:rFonts w:ascii="Arial" w:eastAsia="Times New Roman" w:hAnsi="Arial" w:cs="Times New Roman"/>
          <w:color w:val="000000"/>
          <w:sz w:val="18"/>
          <w:szCs w:val="24"/>
        </w:rPr>
        <w:t>Zero</w:t>
      </w:r>
      <w:r w:rsidRPr="008E28AB">
        <w:rPr>
          <w:rFonts w:ascii="Arial" w:eastAsia="Times New Roman" w:hAnsi="Arial" w:cs="Times New Roman"/>
          <w:color w:val="000000"/>
          <w:sz w:val="18"/>
          <w:szCs w:val="24"/>
          <w:lang w:val="el-GR"/>
        </w:rPr>
        <w:t>) μέχρι το 2050</w:t>
      </w:r>
    </w:p>
    <w:p w14:paraId="0F848432" w14:textId="77777777" w:rsidR="007C6BB9" w:rsidRPr="008E28AB" w:rsidRDefault="007C6BB9" w:rsidP="007C6BB9">
      <w:pPr>
        <w:numPr>
          <w:ilvl w:val="0"/>
          <w:numId w:val="11"/>
        </w:numPr>
        <w:spacing w:after="0" w:line="240" w:lineRule="auto"/>
        <w:jc w:val="both"/>
        <w:rPr>
          <w:rFonts w:ascii="Arial" w:eastAsia="Times New Roman" w:hAnsi="Arial" w:cs="Times New Roman"/>
          <w:color w:val="000000"/>
          <w:sz w:val="18"/>
          <w:szCs w:val="24"/>
          <w:lang w:val="el-GR"/>
        </w:rPr>
      </w:pPr>
      <w:r w:rsidRPr="008E28AB">
        <w:rPr>
          <w:rFonts w:ascii="Arial" w:eastAsia="Times New Roman" w:hAnsi="Arial" w:cs="Times New Roman"/>
          <w:color w:val="000000"/>
          <w:sz w:val="18"/>
          <w:szCs w:val="24"/>
          <w:lang w:val="el-GR"/>
        </w:rPr>
        <w:t>Σταδιακή αύξηση του Δείκτη Πράσινων στοιχείων ενεργητικού</w:t>
      </w:r>
      <w:r w:rsidRPr="008E28AB">
        <w:rPr>
          <w:rFonts w:ascii="Times New Roman" w:eastAsia="Times New Roman" w:hAnsi="Times New Roman" w:cs="Times New Roman"/>
          <w:color w:val="000000"/>
          <w:sz w:val="24"/>
          <w:szCs w:val="24"/>
          <w:lang w:val="el-GR"/>
        </w:rPr>
        <w:t xml:space="preserve"> </w:t>
      </w:r>
      <w:r w:rsidRPr="008E28AB">
        <w:rPr>
          <w:rFonts w:ascii="Arial" w:eastAsia="Times New Roman" w:hAnsi="Arial" w:cs="Times New Roman"/>
          <w:color w:val="000000"/>
          <w:sz w:val="18"/>
          <w:szCs w:val="24"/>
          <w:lang w:val="el-GR"/>
        </w:rPr>
        <w:t>(</w:t>
      </w:r>
      <w:r w:rsidRPr="008E28AB">
        <w:rPr>
          <w:rFonts w:ascii="Arial" w:eastAsia="Times New Roman" w:hAnsi="Arial" w:cs="Times New Roman"/>
          <w:color w:val="000000"/>
          <w:sz w:val="18"/>
          <w:szCs w:val="24"/>
        </w:rPr>
        <w:t>Green</w:t>
      </w:r>
      <w:r w:rsidRPr="008E28AB">
        <w:rPr>
          <w:rFonts w:ascii="Arial" w:eastAsia="Times New Roman" w:hAnsi="Arial" w:cs="Times New Roman"/>
          <w:color w:val="000000"/>
          <w:sz w:val="18"/>
          <w:szCs w:val="24"/>
          <w:lang w:val="el-GR"/>
        </w:rPr>
        <w:t xml:space="preserve"> </w:t>
      </w:r>
      <w:r w:rsidRPr="008E28AB">
        <w:rPr>
          <w:rFonts w:ascii="Arial" w:eastAsia="Times New Roman" w:hAnsi="Arial" w:cs="Times New Roman"/>
          <w:color w:val="000000"/>
          <w:sz w:val="18"/>
          <w:szCs w:val="24"/>
        </w:rPr>
        <w:t>Asset</w:t>
      </w:r>
      <w:r w:rsidRPr="008E28AB">
        <w:rPr>
          <w:rFonts w:ascii="Arial" w:eastAsia="Times New Roman" w:hAnsi="Arial" w:cs="Times New Roman"/>
          <w:color w:val="000000"/>
          <w:sz w:val="18"/>
          <w:szCs w:val="24"/>
          <w:lang w:val="el-GR"/>
        </w:rPr>
        <w:t xml:space="preserve"> </w:t>
      </w:r>
      <w:r w:rsidRPr="008E28AB">
        <w:rPr>
          <w:rFonts w:ascii="Arial" w:eastAsia="Times New Roman" w:hAnsi="Arial" w:cs="Times New Roman"/>
          <w:color w:val="000000"/>
          <w:sz w:val="18"/>
          <w:szCs w:val="24"/>
        </w:rPr>
        <w:t>Ratio</w:t>
      </w:r>
      <w:r w:rsidRPr="008E28AB">
        <w:rPr>
          <w:rFonts w:ascii="Arial" w:eastAsia="Times New Roman" w:hAnsi="Arial" w:cs="Times New Roman"/>
          <w:color w:val="000000"/>
          <w:sz w:val="18"/>
          <w:szCs w:val="24"/>
          <w:lang w:val="el-GR"/>
        </w:rPr>
        <w:t>)</w:t>
      </w:r>
    </w:p>
    <w:p w14:paraId="69D022DD" w14:textId="77777777" w:rsidR="007C6BB9" w:rsidRPr="008E28AB" w:rsidRDefault="007C6BB9" w:rsidP="007C6BB9">
      <w:pPr>
        <w:numPr>
          <w:ilvl w:val="0"/>
          <w:numId w:val="11"/>
        </w:numPr>
        <w:spacing w:after="0" w:line="240" w:lineRule="auto"/>
        <w:jc w:val="both"/>
        <w:rPr>
          <w:rFonts w:ascii="Arial" w:eastAsia="Times New Roman" w:hAnsi="Arial" w:cs="Times New Roman"/>
          <w:color w:val="000000"/>
          <w:sz w:val="18"/>
          <w:szCs w:val="24"/>
          <w:lang w:val="el-GR"/>
        </w:rPr>
      </w:pPr>
      <w:r w:rsidRPr="008E28AB">
        <w:rPr>
          <w:rFonts w:ascii="Arial" w:eastAsia="Times New Roman" w:hAnsi="Arial" w:cs="Times New Roman"/>
          <w:color w:val="000000"/>
          <w:sz w:val="18"/>
          <w:szCs w:val="24"/>
          <w:lang w:val="el-GR"/>
        </w:rPr>
        <w:t>Σταδιακή αύξηση του Δείκτη Πράσινων ενυπόθηκων δανείων (Green Mortgage Ratio)</w:t>
      </w:r>
    </w:p>
    <w:p w14:paraId="70D67B08" w14:textId="77777777" w:rsidR="007C6BB9" w:rsidRPr="008E28AB" w:rsidRDefault="007C6BB9" w:rsidP="007C6BB9">
      <w:pPr>
        <w:numPr>
          <w:ilvl w:val="0"/>
          <w:numId w:val="11"/>
        </w:numPr>
        <w:spacing w:after="0" w:line="240" w:lineRule="auto"/>
        <w:ind w:left="714" w:hanging="357"/>
        <w:contextualSpacing/>
        <w:jc w:val="both"/>
        <w:rPr>
          <w:rFonts w:ascii="Arial" w:eastAsia="Times New Roman" w:hAnsi="Arial" w:cs="Times New Roman"/>
          <w:color w:val="000000"/>
          <w:sz w:val="18"/>
          <w:szCs w:val="24"/>
          <w:lang w:val="el-GR"/>
        </w:rPr>
      </w:pPr>
      <w:r w:rsidRPr="008E28AB">
        <w:rPr>
          <w:rFonts w:ascii="Arial" w:eastAsia="Arial" w:hAnsi="Arial" w:cs="Arial"/>
          <w:sz w:val="18"/>
          <w:szCs w:val="18"/>
          <w:lang w:val="el-GR"/>
        </w:rPr>
        <w:t>≥</w:t>
      </w:r>
      <w:r w:rsidRPr="008E28AB">
        <w:rPr>
          <w:rFonts w:ascii="Arial" w:eastAsia="Times New Roman" w:hAnsi="Arial" w:cs="Times New Roman"/>
          <w:color w:val="000000"/>
          <w:sz w:val="18"/>
          <w:szCs w:val="24"/>
          <w:lang w:val="el-GR"/>
        </w:rPr>
        <w:t>30% γυναίκες στα Ανώτερα Διευθυντικά επίπεδα του Συγκροτήματος (Εκτελεστική Επιτροπή (EXCO) και Διευρυμένη Εκτελεστική Επιτροπή (Extended EXCO)) μέχρι το 2030</w:t>
      </w:r>
    </w:p>
    <w:p w14:paraId="6F3AE0AF" w14:textId="77777777" w:rsidR="007C6BB9" w:rsidRDefault="007C6BB9" w:rsidP="007C6BB9">
      <w:pPr>
        <w:spacing w:line="240" w:lineRule="auto"/>
        <w:contextualSpacing/>
        <w:jc w:val="both"/>
        <w:rPr>
          <w:rFonts w:ascii="Arial" w:eastAsia="Times New Roman" w:hAnsi="Arial" w:cs="Times New Roman"/>
          <w:sz w:val="18"/>
          <w:lang w:val="el-GR"/>
        </w:rPr>
      </w:pPr>
    </w:p>
    <w:p w14:paraId="40CA804D" w14:textId="77777777" w:rsidR="007C6BB9" w:rsidRPr="006A1797" w:rsidRDefault="007C6BB9" w:rsidP="007C6BB9">
      <w:pPr>
        <w:spacing w:line="240" w:lineRule="auto"/>
        <w:contextualSpacing/>
        <w:jc w:val="both"/>
        <w:rPr>
          <w:rFonts w:ascii="Arial" w:eastAsia="Times New Roman" w:hAnsi="Arial" w:cs="Times New Roman"/>
          <w:sz w:val="18"/>
          <w:lang w:val="el-GR"/>
        </w:rPr>
      </w:pPr>
      <w:r w:rsidRPr="006A7D43">
        <w:rPr>
          <w:rFonts w:ascii="Arial" w:eastAsia="Times New Roman" w:hAnsi="Arial" w:cs="Times New Roman"/>
          <w:sz w:val="18"/>
          <w:lang w:val="el-GR"/>
        </w:rPr>
        <w:t>Για να συνεχίσει να επιτυγχάνει τους πρωταρχικούς ΠΚΔ στόχους του και να ανταποκρίνεται στις εξελισσόμενες κανονιστικές απαιτήσεις, το Συγκρότημα έχει ενισχύσει περαιτέρω, μέσα στο 202</w:t>
      </w:r>
      <w:r>
        <w:rPr>
          <w:rFonts w:ascii="Arial" w:eastAsia="Times New Roman" w:hAnsi="Arial" w:cs="Times New Roman"/>
          <w:sz w:val="18"/>
          <w:lang w:val="el-GR"/>
        </w:rPr>
        <w:t>4</w:t>
      </w:r>
      <w:r w:rsidRPr="006A7D43">
        <w:rPr>
          <w:rFonts w:ascii="Arial" w:eastAsia="Times New Roman" w:hAnsi="Arial" w:cs="Times New Roman"/>
          <w:sz w:val="18"/>
          <w:lang w:val="el-GR"/>
        </w:rPr>
        <w:t>, το σχέδιο δράσης ΠΚΔ που είχε καταρτιστεί το 2022. Η πρόοδος στο σχέδιο δράσης ΠΚΔ παρακολουθείται στενά από την Επιτροπή Βιωσιμότητας, την Εκτελεστική Επιτροπή και το Διοικητικό Συμβούλιο σε τριμηνιαία βάση.</w:t>
      </w:r>
    </w:p>
    <w:p w14:paraId="4D82DDDC" w14:textId="77777777" w:rsidR="00CE36EC" w:rsidRPr="006B5511" w:rsidRDefault="00CE36EC" w:rsidP="00CE36EC">
      <w:pPr>
        <w:spacing w:line="240" w:lineRule="auto"/>
        <w:contextualSpacing/>
        <w:jc w:val="both"/>
        <w:rPr>
          <w:rFonts w:ascii="Arial" w:hAnsi="Arial" w:cs="Arial"/>
          <w:sz w:val="18"/>
          <w:szCs w:val="18"/>
          <w:highlight w:val="yellow"/>
          <w:lang w:val="el-GR"/>
        </w:rPr>
      </w:pPr>
    </w:p>
    <w:p w14:paraId="4B5288D4" w14:textId="77777777" w:rsidR="00F77A51" w:rsidRDefault="00F77A51" w:rsidP="00D14D65">
      <w:pPr>
        <w:spacing w:line="240" w:lineRule="auto"/>
        <w:contextualSpacing/>
        <w:jc w:val="both"/>
        <w:rPr>
          <w:rFonts w:ascii="Arial" w:hAnsi="Arial" w:cs="Arial"/>
          <w:i/>
          <w:iCs/>
          <w:sz w:val="18"/>
          <w:szCs w:val="18"/>
          <w:lang w:val="el-GR"/>
        </w:rPr>
      </w:pPr>
    </w:p>
    <w:p w14:paraId="228D826F" w14:textId="77777777" w:rsidR="00F77A51" w:rsidRDefault="00F77A51" w:rsidP="00D14D65">
      <w:pPr>
        <w:spacing w:line="240" w:lineRule="auto"/>
        <w:contextualSpacing/>
        <w:jc w:val="both"/>
        <w:rPr>
          <w:rFonts w:ascii="Arial" w:hAnsi="Arial" w:cs="Arial"/>
          <w:i/>
          <w:iCs/>
          <w:sz w:val="18"/>
          <w:szCs w:val="18"/>
          <w:lang w:val="el-GR"/>
        </w:rPr>
      </w:pPr>
    </w:p>
    <w:p w14:paraId="691BCAE8" w14:textId="77777777" w:rsidR="00F77A51" w:rsidRDefault="00F77A51" w:rsidP="00D14D65">
      <w:pPr>
        <w:spacing w:line="240" w:lineRule="auto"/>
        <w:contextualSpacing/>
        <w:jc w:val="both"/>
        <w:rPr>
          <w:rFonts w:ascii="Arial" w:hAnsi="Arial" w:cs="Arial"/>
          <w:i/>
          <w:iCs/>
          <w:sz w:val="18"/>
          <w:szCs w:val="18"/>
          <w:lang w:val="el-GR"/>
        </w:rPr>
      </w:pPr>
    </w:p>
    <w:p w14:paraId="529C5F31" w14:textId="77777777" w:rsidR="00F77A51" w:rsidRDefault="00F77A51" w:rsidP="00D14D65">
      <w:pPr>
        <w:spacing w:line="240" w:lineRule="auto"/>
        <w:contextualSpacing/>
        <w:jc w:val="both"/>
        <w:rPr>
          <w:rFonts w:ascii="Arial" w:hAnsi="Arial" w:cs="Arial"/>
          <w:i/>
          <w:iCs/>
          <w:sz w:val="18"/>
          <w:szCs w:val="18"/>
          <w:lang w:val="el-GR"/>
        </w:rPr>
      </w:pPr>
    </w:p>
    <w:p w14:paraId="24A17B9A" w14:textId="77777777" w:rsidR="00F77A51" w:rsidRDefault="00F77A51" w:rsidP="00D14D65">
      <w:pPr>
        <w:spacing w:line="240" w:lineRule="auto"/>
        <w:contextualSpacing/>
        <w:jc w:val="both"/>
        <w:rPr>
          <w:rFonts w:ascii="Arial" w:hAnsi="Arial" w:cs="Arial"/>
          <w:i/>
          <w:iCs/>
          <w:sz w:val="18"/>
          <w:szCs w:val="18"/>
          <w:lang w:val="el-GR"/>
        </w:rPr>
      </w:pPr>
    </w:p>
    <w:p w14:paraId="50070CDD" w14:textId="3BDF5D2F" w:rsidR="00F77A51" w:rsidRPr="006A1797" w:rsidRDefault="00276E99" w:rsidP="00F77A51">
      <w:pPr>
        <w:spacing w:after="0" w:line="360" w:lineRule="auto"/>
        <w:rPr>
          <w:rFonts w:ascii="Arial" w:hAnsi="Arial" w:cs="Arial"/>
          <w:b/>
          <w:color w:val="FF9900"/>
          <w:sz w:val="24"/>
          <w:szCs w:val="24"/>
          <w:lang w:val="el-GR"/>
        </w:rPr>
      </w:pPr>
      <w:r>
        <w:rPr>
          <w:rFonts w:ascii="Arial" w:hAnsi="Arial" w:cs="Arial"/>
          <w:b/>
          <w:color w:val="FF9900"/>
          <w:sz w:val="24"/>
          <w:szCs w:val="24"/>
          <w:lang w:val="el-GR"/>
        </w:rPr>
        <w:lastRenderedPageBreak/>
        <w:t>Δ</w:t>
      </w:r>
      <w:r w:rsidR="00F77A51" w:rsidRPr="006A1797">
        <w:rPr>
          <w:rFonts w:ascii="Arial" w:hAnsi="Arial" w:cs="Arial"/>
          <w:b/>
          <w:color w:val="FF9900"/>
          <w:sz w:val="24"/>
          <w:szCs w:val="24"/>
          <w:lang w:val="el-GR"/>
        </w:rPr>
        <w:t>. Επισκόπηση επιχειρηματικής δραστηριότητας (συνέχεια)</w:t>
      </w:r>
    </w:p>
    <w:p w14:paraId="7316E2C8" w14:textId="7DADC890" w:rsidR="00F77A51" w:rsidRPr="00F77A51" w:rsidRDefault="00F77A51" w:rsidP="00F77A51">
      <w:pPr>
        <w:tabs>
          <w:tab w:val="left" w:pos="709"/>
        </w:tabs>
        <w:spacing w:after="120" w:line="240" w:lineRule="auto"/>
        <w:ind w:right="57"/>
        <w:rPr>
          <w:rFonts w:ascii="Arial" w:hAnsi="Arial" w:cs="Arial"/>
          <w:b/>
          <w:i/>
          <w:color w:val="FF9900"/>
          <w:sz w:val="20"/>
          <w:lang w:val="el-GR"/>
        </w:rPr>
      </w:pPr>
      <w:r w:rsidRPr="006A1797">
        <w:rPr>
          <w:rFonts w:ascii="Arial" w:hAnsi="Arial" w:cs="Arial"/>
          <w:b/>
          <w:i/>
          <w:color w:val="FF9900"/>
          <w:sz w:val="20"/>
          <w:lang w:val="el-GR"/>
        </w:rPr>
        <w:t>Ενίσχυση οργανωτικής ανθεκτικότητας και πολιτικής για Περιβαλλοντικά, Κοινωνικά και σχετικά µε τη Διακυβέρνηση (ΠΚΔ) θέματα (</w:t>
      </w:r>
      <w:r w:rsidRPr="006A1797">
        <w:rPr>
          <w:rFonts w:ascii="Arial" w:hAnsi="Arial" w:cs="Arial"/>
          <w:b/>
          <w:i/>
          <w:color w:val="FF9900"/>
          <w:sz w:val="20"/>
        </w:rPr>
        <w:t>Environmental</w:t>
      </w:r>
      <w:r w:rsidRPr="006A1797">
        <w:rPr>
          <w:rFonts w:ascii="Arial" w:hAnsi="Arial" w:cs="Arial"/>
          <w:b/>
          <w:i/>
          <w:color w:val="FF9900"/>
          <w:sz w:val="20"/>
          <w:lang w:val="el-GR"/>
        </w:rPr>
        <w:t xml:space="preserve">, </w:t>
      </w:r>
      <w:r w:rsidRPr="006A1797">
        <w:rPr>
          <w:rFonts w:ascii="Arial" w:hAnsi="Arial" w:cs="Arial"/>
          <w:b/>
          <w:i/>
          <w:color w:val="FF9900"/>
          <w:sz w:val="20"/>
        </w:rPr>
        <w:t>Social</w:t>
      </w:r>
      <w:r w:rsidRPr="006A1797">
        <w:rPr>
          <w:rFonts w:ascii="Arial" w:hAnsi="Arial" w:cs="Arial"/>
          <w:b/>
          <w:i/>
          <w:color w:val="FF9900"/>
          <w:sz w:val="20"/>
          <w:lang w:val="el-GR"/>
        </w:rPr>
        <w:t xml:space="preserve"> </w:t>
      </w:r>
      <w:r w:rsidRPr="006A1797">
        <w:rPr>
          <w:rFonts w:ascii="Arial" w:hAnsi="Arial" w:cs="Arial"/>
          <w:b/>
          <w:i/>
          <w:color w:val="FF9900"/>
          <w:sz w:val="20"/>
        </w:rPr>
        <w:t>and</w:t>
      </w:r>
      <w:r w:rsidRPr="006A1797">
        <w:rPr>
          <w:rFonts w:ascii="Arial" w:hAnsi="Arial" w:cs="Arial"/>
          <w:b/>
          <w:i/>
          <w:color w:val="FF9900"/>
          <w:sz w:val="20"/>
          <w:lang w:val="el-GR"/>
        </w:rPr>
        <w:t xml:space="preserve"> </w:t>
      </w:r>
      <w:r w:rsidRPr="006A1797">
        <w:rPr>
          <w:rFonts w:ascii="Arial" w:hAnsi="Arial" w:cs="Arial"/>
          <w:b/>
          <w:i/>
          <w:color w:val="FF9900"/>
          <w:sz w:val="20"/>
        </w:rPr>
        <w:t>Governance</w:t>
      </w:r>
      <w:r w:rsidRPr="006A1797">
        <w:rPr>
          <w:rFonts w:ascii="Arial" w:hAnsi="Arial" w:cs="Arial"/>
          <w:b/>
          <w:i/>
          <w:color w:val="FF9900"/>
          <w:sz w:val="20"/>
          <w:lang w:val="el-GR"/>
        </w:rPr>
        <w:t xml:space="preserve">, </w:t>
      </w:r>
      <w:r w:rsidRPr="006A1797">
        <w:rPr>
          <w:rFonts w:ascii="Arial" w:hAnsi="Arial" w:cs="Arial"/>
          <w:b/>
          <w:i/>
          <w:color w:val="FF9900"/>
          <w:sz w:val="20"/>
        </w:rPr>
        <w:t>ESG</w:t>
      </w:r>
      <w:r w:rsidRPr="006A1797">
        <w:rPr>
          <w:rFonts w:ascii="Arial" w:hAnsi="Arial" w:cs="Arial"/>
          <w:b/>
          <w:i/>
          <w:color w:val="FF9900"/>
          <w:sz w:val="20"/>
          <w:lang w:val="el-GR"/>
        </w:rPr>
        <w:t xml:space="preserve">) </w:t>
      </w:r>
      <w:r w:rsidRPr="006A1797">
        <w:rPr>
          <w:rFonts w:ascii="Arial" w:hAnsi="Arial" w:cs="Arial"/>
          <w:bCs/>
          <w:i/>
          <w:color w:val="FF9900"/>
          <w:sz w:val="20"/>
          <w:lang w:val="el-GR"/>
        </w:rPr>
        <w:t>(συνέχεια)</w:t>
      </w:r>
    </w:p>
    <w:p w14:paraId="4DF8AB81" w14:textId="7371E2CE" w:rsidR="002B45C7" w:rsidRPr="006A1797" w:rsidRDefault="007C6BB9" w:rsidP="00D14D65">
      <w:pPr>
        <w:spacing w:line="240" w:lineRule="auto"/>
        <w:contextualSpacing/>
        <w:jc w:val="both"/>
        <w:rPr>
          <w:rFonts w:ascii="Arial" w:hAnsi="Arial" w:cs="Arial"/>
          <w:i/>
          <w:iCs/>
          <w:sz w:val="18"/>
          <w:szCs w:val="18"/>
          <w:lang w:val="el-GR"/>
        </w:rPr>
      </w:pPr>
      <w:r w:rsidRPr="008E28AB">
        <w:rPr>
          <w:rFonts w:ascii="Arial" w:hAnsi="Arial" w:cs="Arial"/>
          <w:i/>
          <w:iCs/>
          <w:sz w:val="18"/>
          <w:szCs w:val="18"/>
          <w:lang w:val="el-GR"/>
        </w:rPr>
        <w:t xml:space="preserve">Περιβάλλον </w:t>
      </w:r>
    </w:p>
    <w:p w14:paraId="3589FB52" w14:textId="77777777" w:rsidR="007C6BB9" w:rsidRPr="003524F2" w:rsidRDefault="007C6BB9" w:rsidP="00D14D65">
      <w:pPr>
        <w:spacing w:line="240" w:lineRule="auto"/>
        <w:contextualSpacing/>
        <w:jc w:val="both"/>
        <w:rPr>
          <w:rFonts w:ascii="Arial" w:hAnsi="Arial"/>
          <w:sz w:val="18"/>
          <w:highlight w:val="yellow"/>
          <w:lang w:val="el-GR"/>
        </w:rPr>
      </w:pPr>
    </w:p>
    <w:p w14:paraId="18635FD4" w14:textId="77777777" w:rsidR="007C6BB9" w:rsidRPr="000809FE" w:rsidRDefault="007C6BB9" w:rsidP="007C6BB9">
      <w:pPr>
        <w:spacing w:line="240" w:lineRule="auto"/>
        <w:contextualSpacing/>
        <w:jc w:val="both"/>
        <w:rPr>
          <w:rFonts w:ascii="Arial" w:hAnsi="Arial"/>
          <w:sz w:val="18"/>
          <w:lang w:val="el-GR"/>
        </w:rPr>
      </w:pPr>
      <w:r w:rsidRPr="00842178">
        <w:rPr>
          <w:rFonts w:ascii="Arial" w:hAnsi="Arial"/>
          <w:sz w:val="18"/>
          <w:lang w:val="el-GR"/>
        </w:rPr>
        <w:t xml:space="preserve">Το Συγκρότημα έχει υπολογίσει τις δικές </w:t>
      </w:r>
      <w:r w:rsidRPr="00842178">
        <w:rPr>
          <w:rFonts w:ascii="Arial" w:hAnsi="Arial" w:cs="Arial"/>
          <w:sz w:val="18"/>
          <w:lang w:val="el-GR"/>
        </w:rPr>
        <w:t>του εκπομπές αερίων του θερμοκηπίου (ΑΤΘ)</w:t>
      </w:r>
      <w:r w:rsidRPr="00842178">
        <w:rPr>
          <w:rFonts w:ascii="Arial" w:hAnsi="Arial" w:cs="Arial"/>
          <w:sz w:val="18"/>
          <w:szCs w:val="18"/>
          <w:lang w:val="el-GR"/>
        </w:rPr>
        <w:t xml:space="preserve"> </w:t>
      </w:r>
      <w:r w:rsidRPr="00842178">
        <w:rPr>
          <w:rFonts w:ascii="Arial" w:hAnsi="Arial"/>
          <w:sz w:val="18"/>
          <w:lang w:val="el-GR"/>
        </w:rPr>
        <w:t>Πεδίο</w:t>
      </w:r>
      <w:r>
        <w:rPr>
          <w:rFonts w:ascii="Arial" w:hAnsi="Arial"/>
          <w:sz w:val="18"/>
          <w:lang w:val="el-GR"/>
        </w:rPr>
        <w:t>υ</w:t>
      </w:r>
      <w:r w:rsidRPr="00842178">
        <w:rPr>
          <w:rFonts w:ascii="Arial" w:hAnsi="Arial"/>
          <w:sz w:val="18"/>
          <w:lang w:val="el-GR"/>
        </w:rPr>
        <w:t xml:space="preserve"> 1 και Πεδίο</w:t>
      </w:r>
      <w:r>
        <w:rPr>
          <w:rFonts w:ascii="Arial" w:hAnsi="Arial"/>
          <w:sz w:val="18"/>
          <w:lang w:val="el-GR"/>
        </w:rPr>
        <w:t>υ</w:t>
      </w:r>
      <w:r w:rsidRPr="00842178">
        <w:rPr>
          <w:rFonts w:ascii="Arial" w:hAnsi="Arial"/>
          <w:sz w:val="18"/>
          <w:lang w:val="el-GR"/>
        </w:rPr>
        <w:t xml:space="preserve"> 2 για το 2021 έτσι ώστε να θέσει το σημείο αναφοράς για τον στόχο της κλιματικής ουδετερότητας. Ως ο κύριος συντελεστής στη δημιουργία εκπομπών ΑΤΘ του Συγκροτήματος, η Τράπεζα έχει καταρτίσει</w:t>
      </w:r>
      <w:r>
        <w:rPr>
          <w:rFonts w:ascii="Arial" w:hAnsi="Arial"/>
          <w:sz w:val="18"/>
          <w:lang w:val="el-GR"/>
        </w:rPr>
        <w:t>,</w:t>
      </w:r>
      <w:r w:rsidRPr="00842178">
        <w:rPr>
          <w:rFonts w:ascii="Arial" w:hAnsi="Arial"/>
          <w:sz w:val="18"/>
          <w:lang w:val="el-GR"/>
        </w:rPr>
        <w:t xml:space="preserve"> το 2022</w:t>
      </w:r>
      <w:r>
        <w:rPr>
          <w:rFonts w:ascii="Arial" w:hAnsi="Arial"/>
          <w:sz w:val="18"/>
          <w:lang w:val="el-GR"/>
        </w:rPr>
        <w:t>,</w:t>
      </w:r>
      <w:r w:rsidRPr="00842178">
        <w:rPr>
          <w:rFonts w:ascii="Arial" w:hAnsi="Arial"/>
          <w:sz w:val="18"/>
          <w:lang w:val="el-GR"/>
        </w:rPr>
        <w:t xml:space="preserve"> στρατηγική προκειμένου να επιτύχει τον στόχο της κλιματικής ουδετερότητας μέχρι το 2030 και </w:t>
      </w:r>
      <w:r w:rsidRPr="006D2D3F">
        <w:rPr>
          <w:rFonts w:ascii="Arial" w:hAnsi="Arial"/>
          <w:sz w:val="18"/>
          <w:lang w:val="el-GR"/>
        </w:rPr>
        <w:t xml:space="preserve">πρόοδο στον στόχο του Kαθαρού Mηδενικού Iσοζυγίου ως το 2050. Προκειμένου το Συγκρότημα να επιτύχει τον στόχο της κλιματικής ουδετερότητας μέχρι το 2030, πρέπει οι </w:t>
      </w:r>
      <w:r w:rsidRPr="006D2D3F">
        <w:rPr>
          <w:rFonts w:ascii="Arial" w:hAnsi="Arial" w:cs="Arial"/>
          <w:sz w:val="18"/>
          <w:lang w:val="el-GR"/>
        </w:rPr>
        <w:t xml:space="preserve">εκπομπές ΑΤΘ </w:t>
      </w:r>
      <w:r w:rsidRPr="006D2D3F">
        <w:rPr>
          <w:rFonts w:ascii="Arial" w:hAnsi="Arial"/>
          <w:sz w:val="18"/>
          <w:lang w:val="el-GR"/>
        </w:rPr>
        <w:t xml:space="preserve">Πεδίου 1 και Πεδίου 2 να μειωθούν κατά 42% μέχρι το 2030. Η Τράπεζα, μετά από εφαρμογή διαφόρων δράσεων ενεργειακής αναβάθμισης το 2022 και 2023, έχει καταφέρει να μειώσει τις </w:t>
      </w:r>
      <w:r w:rsidRPr="006D2D3F">
        <w:rPr>
          <w:rFonts w:ascii="Arial" w:hAnsi="Arial" w:cs="Arial"/>
          <w:sz w:val="18"/>
          <w:lang w:val="el-GR"/>
        </w:rPr>
        <w:t xml:space="preserve">εκπομπές ΑΤΘ </w:t>
      </w:r>
      <w:r w:rsidRPr="006D2D3F">
        <w:rPr>
          <w:rFonts w:ascii="Arial" w:hAnsi="Arial"/>
          <w:sz w:val="18"/>
          <w:lang w:val="el-GR"/>
        </w:rPr>
        <w:t>Πεδίου 1 και Πεδίου 2 κατά περίπου 18% το 2023 σε σύγκριση με το σημείο αναφοράς του 2021.</w:t>
      </w:r>
    </w:p>
    <w:p w14:paraId="37AB9D40" w14:textId="77777777" w:rsidR="00D022B5" w:rsidRDefault="00D022B5" w:rsidP="007C6BB9">
      <w:pPr>
        <w:spacing w:line="240" w:lineRule="auto"/>
        <w:contextualSpacing/>
        <w:jc w:val="both"/>
        <w:rPr>
          <w:rFonts w:ascii="Arial" w:hAnsi="Arial"/>
          <w:sz w:val="18"/>
          <w:lang w:val="el-GR"/>
        </w:rPr>
      </w:pPr>
    </w:p>
    <w:p w14:paraId="1148C81B" w14:textId="2A827849" w:rsidR="007C6BB9" w:rsidRPr="00E82E93" w:rsidRDefault="007C6BB9" w:rsidP="007C6BB9">
      <w:pPr>
        <w:spacing w:line="240" w:lineRule="auto"/>
        <w:contextualSpacing/>
        <w:jc w:val="both"/>
        <w:rPr>
          <w:rFonts w:ascii="Arial" w:hAnsi="Arial"/>
          <w:sz w:val="18"/>
          <w:lang w:val="el-GR"/>
        </w:rPr>
      </w:pPr>
      <w:r>
        <w:rPr>
          <w:rFonts w:ascii="Arial" w:hAnsi="Arial"/>
          <w:sz w:val="18"/>
          <w:lang w:val="el-GR"/>
        </w:rPr>
        <w:t xml:space="preserve">Το Συγκρότημα </w:t>
      </w:r>
      <w:r w:rsidRPr="006D2D3F">
        <w:rPr>
          <w:rFonts w:ascii="Arial" w:hAnsi="Arial"/>
          <w:sz w:val="18"/>
          <w:lang w:val="el-GR"/>
        </w:rPr>
        <w:t xml:space="preserve">προτίθεται να επενδύσει σε υποδομές και δράσεις που θα βελτιώσουν την ενεργειακή της αποδοτικότητα και θα αντικαταστήσει μηχανήματα και αυτοκίνητα που λειτουργούν με ορυκτά καύσιμα μεταξύ του 2024 και 2025, οδηγώντας σε περίπου 3-4% μείωση των εκπομπών ΑΤΘ Πεδίου 1 και Πεδίου 2 μέχρι το 2025 σε σύγκριση με το 2021. Το Συγκρότημα αναμένει ότι οι εκπομπές ΑΤΘ Πεδίου 2 θα μειωθούν περαιτέρω όταν η αγορά ανανεώσιμων </w:t>
      </w:r>
      <w:r w:rsidRPr="00695B10">
        <w:rPr>
          <w:rFonts w:ascii="Arial" w:hAnsi="Arial"/>
          <w:sz w:val="18"/>
          <w:lang w:val="el-GR"/>
        </w:rPr>
        <w:t xml:space="preserve">πηγών ενέργειας αναπτυχθεί περαιτέρω. Η Τράπεζα έχει πετύχει μείωση περίπου </w:t>
      </w:r>
      <w:r>
        <w:rPr>
          <w:rFonts w:ascii="Arial" w:hAnsi="Arial"/>
          <w:sz w:val="18"/>
          <w:lang w:val="el-GR"/>
        </w:rPr>
        <w:t>22</w:t>
      </w:r>
      <w:r w:rsidRPr="00695B10">
        <w:rPr>
          <w:rFonts w:ascii="Arial" w:hAnsi="Arial"/>
          <w:sz w:val="18"/>
          <w:lang w:val="el-GR"/>
        </w:rPr>
        <w:t>% στις εκπομπές ΑΤΘ Πεδίου 1</w:t>
      </w:r>
      <w:r w:rsidRPr="00AA62B1">
        <w:rPr>
          <w:rFonts w:ascii="Arial" w:hAnsi="Arial"/>
          <w:sz w:val="18"/>
          <w:lang w:val="el-GR"/>
        </w:rPr>
        <w:t xml:space="preserve"> – Σταθερές καύσεις</w:t>
      </w:r>
      <w:r>
        <w:rPr>
          <w:rFonts w:ascii="Arial" w:hAnsi="Arial"/>
          <w:sz w:val="18"/>
          <w:lang w:val="el-GR"/>
        </w:rPr>
        <w:t xml:space="preserve"> και περίπου 5% </w:t>
      </w:r>
      <w:r w:rsidRPr="00695B10">
        <w:rPr>
          <w:rFonts w:ascii="Arial" w:hAnsi="Arial"/>
          <w:sz w:val="18"/>
          <w:lang w:val="el-GR"/>
        </w:rPr>
        <w:t xml:space="preserve">στις εκπομπές ΑΤΘ Πεδίου 2, κατά το </w:t>
      </w:r>
      <w:r>
        <w:rPr>
          <w:rFonts w:ascii="Arial" w:hAnsi="Arial"/>
          <w:sz w:val="18"/>
          <w:lang w:val="el-GR"/>
        </w:rPr>
        <w:t xml:space="preserve">α’ εξάμηνο του </w:t>
      </w:r>
      <w:r w:rsidRPr="00695B10">
        <w:rPr>
          <w:rFonts w:ascii="Arial" w:hAnsi="Arial" w:cs="Arial"/>
          <w:sz w:val="18"/>
          <w:szCs w:val="18"/>
          <w:lang w:val="el-GR"/>
        </w:rPr>
        <w:t>202</w:t>
      </w:r>
      <w:r>
        <w:rPr>
          <w:rFonts w:ascii="Arial" w:hAnsi="Arial" w:cs="Arial"/>
          <w:sz w:val="18"/>
          <w:szCs w:val="18"/>
          <w:lang w:val="el-GR"/>
        </w:rPr>
        <w:t>4</w:t>
      </w:r>
      <w:r w:rsidRPr="00695B10">
        <w:rPr>
          <w:rFonts w:ascii="Arial" w:hAnsi="Arial" w:cs="Arial"/>
          <w:sz w:val="18"/>
          <w:szCs w:val="18"/>
          <w:lang w:val="el-GR"/>
        </w:rPr>
        <w:t xml:space="preserve"> σε σύγκριση με </w:t>
      </w:r>
      <w:r w:rsidRPr="00695B10">
        <w:rPr>
          <w:rFonts w:ascii="Arial" w:hAnsi="Arial"/>
          <w:sz w:val="18"/>
          <w:lang w:val="el-GR"/>
        </w:rPr>
        <w:t xml:space="preserve">το </w:t>
      </w:r>
      <w:r>
        <w:rPr>
          <w:rFonts w:ascii="Arial" w:hAnsi="Arial"/>
          <w:sz w:val="18"/>
          <w:lang w:val="el-GR"/>
        </w:rPr>
        <w:t xml:space="preserve">α’ εξάμηνο του </w:t>
      </w:r>
      <w:r w:rsidRPr="00695B10">
        <w:rPr>
          <w:rFonts w:ascii="Arial" w:hAnsi="Arial" w:cs="Arial"/>
          <w:sz w:val="18"/>
          <w:szCs w:val="18"/>
          <w:lang w:val="el-GR"/>
        </w:rPr>
        <w:t>202</w:t>
      </w:r>
      <w:r>
        <w:rPr>
          <w:rFonts w:ascii="Arial" w:hAnsi="Arial" w:cs="Arial"/>
          <w:sz w:val="18"/>
          <w:szCs w:val="18"/>
          <w:lang w:val="el-GR"/>
        </w:rPr>
        <w:t>3</w:t>
      </w:r>
      <w:r w:rsidRPr="00695B10">
        <w:rPr>
          <w:rFonts w:ascii="Arial" w:hAnsi="Arial" w:cs="Arial"/>
          <w:sz w:val="18"/>
          <w:szCs w:val="18"/>
          <w:lang w:val="el-GR"/>
        </w:rPr>
        <w:t xml:space="preserve">, </w:t>
      </w:r>
      <w:r w:rsidRPr="00695B10">
        <w:rPr>
          <w:rFonts w:ascii="Arial" w:hAnsi="Arial"/>
          <w:sz w:val="18"/>
          <w:lang w:val="el-GR"/>
        </w:rPr>
        <w:t xml:space="preserve">λόγω σύνδεσης </w:t>
      </w:r>
      <w:r w:rsidR="003C4252">
        <w:rPr>
          <w:rFonts w:ascii="Arial" w:hAnsi="Arial"/>
          <w:sz w:val="18"/>
          <w:lang w:val="el-GR"/>
        </w:rPr>
        <w:t xml:space="preserve">καινούριων </w:t>
      </w:r>
      <w:r w:rsidRPr="00695B10">
        <w:rPr>
          <w:rFonts w:ascii="Arial" w:hAnsi="Arial"/>
          <w:sz w:val="18"/>
          <w:lang w:val="el-GR"/>
        </w:rPr>
        <w:t xml:space="preserve">φωτοβολταϊκών </w:t>
      </w:r>
      <w:r w:rsidRPr="00225C27">
        <w:rPr>
          <w:rFonts w:ascii="Arial" w:hAnsi="Arial"/>
          <w:sz w:val="18"/>
          <w:lang w:val="el-GR"/>
        </w:rPr>
        <w:t xml:space="preserve">συστημάτων με το δίκτυο ενέργειας που πραγματοποιήθηκε το 2023, καθώς και λόγω της μείωσης του αριθμού των κτιρίων </w:t>
      </w:r>
      <w:r>
        <w:rPr>
          <w:rFonts w:ascii="Arial" w:hAnsi="Arial"/>
          <w:sz w:val="18"/>
          <w:lang w:val="el-GR"/>
        </w:rPr>
        <w:t xml:space="preserve">κατά την διάρκεια του χρόνου </w:t>
      </w:r>
      <w:r w:rsidRPr="00225C27">
        <w:rPr>
          <w:rFonts w:ascii="Arial" w:hAnsi="Arial"/>
          <w:sz w:val="18"/>
          <w:lang w:val="el-GR"/>
        </w:rPr>
        <w:t xml:space="preserve">ως μέρος του πλάνου ψηφιοποιήσης. </w:t>
      </w:r>
      <w:r w:rsidRPr="00E82E93">
        <w:rPr>
          <w:rFonts w:ascii="Arial" w:hAnsi="Arial"/>
          <w:sz w:val="18"/>
          <w:lang w:val="el-GR"/>
        </w:rPr>
        <w:t xml:space="preserve">Η Τράπεζα πέτυχε αύξηση ύψους </w:t>
      </w:r>
      <w:r>
        <w:rPr>
          <w:rFonts w:ascii="Arial" w:hAnsi="Arial"/>
          <w:sz w:val="18"/>
          <w:lang w:val="el-GR"/>
        </w:rPr>
        <w:t>16</w:t>
      </w:r>
      <w:r w:rsidRPr="00E82E93">
        <w:rPr>
          <w:rFonts w:ascii="Arial" w:hAnsi="Arial"/>
          <w:sz w:val="18"/>
          <w:lang w:val="el-GR"/>
        </w:rPr>
        <w:t xml:space="preserve">% στην παραγωγή ενέργειας από ανανεώσιμες πηγές, από </w:t>
      </w:r>
      <w:r>
        <w:rPr>
          <w:rFonts w:ascii="Arial" w:hAnsi="Arial"/>
          <w:sz w:val="18"/>
          <w:lang w:val="el-GR"/>
        </w:rPr>
        <w:t>128,780</w:t>
      </w:r>
      <w:r w:rsidRPr="00E82E93">
        <w:rPr>
          <w:rFonts w:ascii="Arial" w:hAnsi="Arial" w:cs="Arial"/>
          <w:sz w:val="18"/>
          <w:szCs w:val="18"/>
          <w:lang w:val="el-GR"/>
        </w:rPr>
        <w:t xml:space="preserve"> </w:t>
      </w:r>
      <w:r w:rsidRPr="00E82E93">
        <w:rPr>
          <w:rFonts w:ascii="Arial" w:hAnsi="Arial"/>
          <w:sz w:val="18"/>
          <w:lang w:val="el-GR"/>
        </w:rPr>
        <w:t xml:space="preserve">κιλοβατώρες σε </w:t>
      </w:r>
      <w:r>
        <w:rPr>
          <w:rFonts w:ascii="Arial" w:hAnsi="Arial"/>
          <w:sz w:val="18"/>
          <w:lang w:val="el-GR"/>
        </w:rPr>
        <w:t>149,031</w:t>
      </w:r>
      <w:r w:rsidRPr="00E82E93">
        <w:rPr>
          <w:rFonts w:ascii="Arial" w:hAnsi="Arial" w:cs="Arial"/>
          <w:sz w:val="18"/>
          <w:szCs w:val="18"/>
          <w:lang w:val="el-GR"/>
        </w:rPr>
        <w:t xml:space="preserve"> </w:t>
      </w:r>
      <w:r w:rsidRPr="00E82E93">
        <w:rPr>
          <w:rFonts w:ascii="Arial" w:hAnsi="Arial"/>
          <w:sz w:val="18"/>
          <w:lang w:val="el-GR"/>
        </w:rPr>
        <w:t xml:space="preserve">κιλοβατώρες, το </w:t>
      </w:r>
      <w:r>
        <w:rPr>
          <w:rFonts w:ascii="Arial" w:hAnsi="Arial"/>
          <w:sz w:val="18"/>
          <w:lang w:val="el-GR"/>
        </w:rPr>
        <w:t xml:space="preserve">α’ εξάμηνο του </w:t>
      </w:r>
      <w:r w:rsidRPr="00E82E93">
        <w:rPr>
          <w:rFonts w:ascii="Arial" w:hAnsi="Arial"/>
          <w:sz w:val="18"/>
          <w:lang w:val="el-GR"/>
        </w:rPr>
        <w:t>202</w:t>
      </w:r>
      <w:r>
        <w:rPr>
          <w:rFonts w:ascii="Arial" w:hAnsi="Arial"/>
          <w:sz w:val="18"/>
          <w:lang w:val="el-GR"/>
        </w:rPr>
        <w:t>4</w:t>
      </w:r>
      <w:r w:rsidRPr="00E82E93">
        <w:rPr>
          <w:rFonts w:ascii="Arial" w:hAnsi="Arial"/>
          <w:sz w:val="18"/>
          <w:lang w:val="el-GR"/>
        </w:rPr>
        <w:t xml:space="preserve"> σε σύγκριση με το </w:t>
      </w:r>
      <w:r>
        <w:rPr>
          <w:rFonts w:ascii="Arial" w:hAnsi="Arial"/>
          <w:sz w:val="18"/>
          <w:lang w:val="el-GR"/>
        </w:rPr>
        <w:t xml:space="preserve">α’ εξάμηνο του </w:t>
      </w:r>
      <w:r w:rsidRPr="00E82E93">
        <w:rPr>
          <w:rFonts w:ascii="Arial" w:hAnsi="Arial"/>
          <w:sz w:val="18"/>
          <w:lang w:val="el-GR"/>
        </w:rPr>
        <w:t>202</w:t>
      </w:r>
      <w:r>
        <w:rPr>
          <w:rFonts w:ascii="Arial" w:hAnsi="Arial"/>
          <w:sz w:val="18"/>
          <w:lang w:val="el-GR"/>
        </w:rPr>
        <w:t>3</w:t>
      </w:r>
      <w:r w:rsidRPr="00E82E93">
        <w:rPr>
          <w:rFonts w:ascii="Arial" w:hAnsi="Arial"/>
          <w:sz w:val="18"/>
          <w:lang w:val="el-GR"/>
        </w:rPr>
        <w:t xml:space="preserve">. </w:t>
      </w:r>
    </w:p>
    <w:p w14:paraId="375F8F64" w14:textId="77777777" w:rsidR="007C6BB9" w:rsidRPr="006A1797" w:rsidRDefault="007C6BB9" w:rsidP="00D14D65">
      <w:pPr>
        <w:spacing w:line="240" w:lineRule="auto"/>
        <w:contextualSpacing/>
        <w:jc w:val="both"/>
        <w:rPr>
          <w:rFonts w:ascii="Arial" w:hAnsi="Arial"/>
          <w:sz w:val="18"/>
          <w:lang w:val="el-GR"/>
        </w:rPr>
      </w:pPr>
    </w:p>
    <w:p w14:paraId="33C0BA0D" w14:textId="6EE15B76" w:rsidR="007C6BB9" w:rsidRDefault="007C6BB9" w:rsidP="007C6BB9">
      <w:pPr>
        <w:spacing w:line="240" w:lineRule="auto"/>
        <w:contextualSpacing/>
        <w:jc w:val="both"/>
        <w:rPr>
          <w:rFonts w:ascii="Arial" w:hAnsi="Arial"/>
          <w:sz w:val="18"/>
          <w:lang w:val="el-GR"/>
        </w:rPr>
      </w:pPr>
      <w:r w:rsidRPr="00225C27">
        <w:rPr>
          <w:rFonts w:ascii="Arial" w:hAnsi="Arial"/>
          <w:sz w:val="18"/>
          <w:lang w:val="el-GR"/>
        </w:rPr>
        <w:t xml:space="preserve">Το Συγκρότημα </w:t>
      </w:r>
      <w:r w:rsidRPr="00E82E93">
        <w:rPr>
          <w:rFonts w:ascii="Arial" w:hAnsi="Arial"/>
          <w:sz w:val="18"/>
          <w:lang w:val="el-GR"/>
        </w:rPr>
        <w:t>ενσωματώνει σταδιακά τους Κλιματικούς και Περιβαλλοντικούς (</w:t>
      </w:r>
      <w:r w:rsidRPr="00E82E93">
        <w:rPr>
          <w:lang w:val="el-GR"/>
        </w:rPr>
        <w:t xml:space="preserve">Κ&amp;Π) </w:t>
      </w:r>
      <w:r w:rsidRPr="00E82E93">
        <w:rPr>
          <w:rFonts w:ascii="Arial" w:hAnsi="Arial"/>
          <w:sz w:val="18"/>
          <w:lang w:val="el-GR"/>
        </w:rPr>
        <w:t>κινδύνους</w:t>
      </w:r>
      <w:r w:rsidRPr="00E82E93">
        <w:rPr>
          <w:lang w:val="el-GR"/>
        </w:rPr>
        <w:t>,</w:t>
      </w:r>
      <w:r w:rsidRPr="00E82E93">
        <w:rPr>
          <w:rFonts w:ascii="Arial" w:hAnsi="Arial"/>
          <w:sz w:val="18"/>
          <w:lang w:val="el-GR"/>
        </w:rPr>
        <w:t xml:space="preserve"> στην επιχειρηματική </w:t>
      </w:r>
      <w:r>
        <w:rPr>
          <w:rFonts w:ascii="Arial" w:hAnsi="Arial"/>
          <w:sz w:val="18"/>
          <w:lang w:val="el-GR"/>
        </w:rPr>
        <w:t>του</w:t>
      </w:r>
      <w:r w:rsidRPr="00E82E93">
        <w:rPr>
          <w:rFonts w:ascii="Arial" w:hAnsi="Arial"/>
          <w:sz w:val="18"/>
          <w:lang w:val="el-GR"/>
        </w:rPr>
        <w:t xml:space="preserve"> στρατηγική. Η Τράπεζα ήταν η πρώτη τράπεζα στην Κύπρο που έχει συμβληθεί με τον οργανισμό Partnership for Carbon Accounting Financials (PCAF) τον Οκτώβριο του 2022 και έχει εκτιμήσει και γνωστοποιήσει τις Χρηματοδοτούμενες εκπομπές ΑΤΘ Πεδίου 3 που απορρέουν από το δανειακό </w:t>
      </w:r>
      <w:r>
        <w:rPr>
          <w:rFonts w:ascii="Arial" w:hAnsi="Arial"/>
          <w:sz w:val="18"/>
          <w:lang w:val="el-GR"/>
        </w:rPr>
        <w:t xml:space="preserve">και επενδυτικό </w:t>
      </w:r>
      <w:r w:rsidRPr="00E82E93">
        <w:rPr>
          <w:rFonts w:ascii="Arial" w:hAnsi="Arial"/>
          <w:sz w:val="18"/>
          <w:lang w:val="el-GR"/>
        </w:rPr>
        <w:t>της χαρτοφυλάκιο</w:t>
      </w:r>
      <w:r>
        <w:rPr>
          <w:rFonts w:ascii="Arial" w:hAnsi="Arial"/>
          <w:sz w:val="18"/>
          <w:lang w:val="el-GR"/>
        </w:rPr>
        <w:t xml:space="preserve"> καθώς επίσης και τις εκπομπές ΑΤΘ που απορρέουν από τα ασφαλιστήρια συμβόλαια</w:t>
      </w:r>
      <w:r w:rsidRPr="00E82E93">
        <w:rPr>
          <w:rFonts w:ascii="Arial" w:hAnsi="Arial"/>
          <w:sz w:val="18"/>
          <w:lang w:val="el-GR"/>
        </w:rPr>
        <w:t xml:space="preserve">, χρησιμοποιώντας τα πρότυπα, τη μεθοδολογία και τους υποκατάστατους δείκτες του PCAF. Σε συνέχεια της εκτίμησης των </w:t>
      </w:r>
      <w:r>
        <w:rPr>
          <w:rFonts w:ascii="Arial" w:hAnsi="Arial"/>
          <w:sz w:val="18"/>
          <w:lang w:val="el-GR"/>
        </w:rPr>
        <w:t>χ</w:t>
      </w:r>
      <w:r w:rsidRPr="00E82E93">
        <w:rPr>
          <w:rFonts w:ascii="Arial" w:hAnsi="Arial"/>
          <w:sz w:val="18"/>
          <w:lang w:val="el-GR"/>
        </w:rPr>
        <w:t xml:space="preserve">ρηματοδοτούμενων εκπομπών ΑΤΘ Πεδίου 3 που προκύπτουν από το δανειακό χαρτοφυλάκιο, η Τράπεζα έχει θέσει στόχο απαλλαγής από τον άνθρακα στο </w:t>
      </w:r>
      <w:r>
        <w:rPr>
          <w:rFonts w:ascii="Arial" w:hAnsi="Arial"/>
          <w:sz w:val="18"/>
          <w:lang w:val="el-GR"/>
        </w:rPr>
        <w:t>σ</w:t>
      </w:r>
      <w:r w:rsidRPr="00E82E93">
        <w:rPr>
          <w:rFonts w:ascii="Arial" w:hAnsi="Arial"/>
          <w:sz w:val="18"/>
          <w:lang w:val="el-GR"/>
        </w:rPr>
        <w:t xml:space="preserve">τεγαστικό της </w:t>
      </w:r>
      <w:r>
        <w:rPr>
          <w:rFonts w:ascii="Arial" w:hAnsi="Arial"/>
          <w:sz w:val="18"/>
          <w:lang w:val="el-GR"/>
        </w:rPr>
        <w:t xml:space="preserve">δανειακό </w:t>
      </w:r>
      <w:r w:rsidRPr="00E82E93">
        <w:rPr>
          <w:rFonts w:ascii="Arial" w:hAnsi="Arial"/>
          <w:sz w:val="18"/>
          <w:lang w:val="el-GR"/>
        </w:rPr>
        <w:t xml:space="preserve">χαρτοφυλάκιο. Ο στόχος απαλλαγής από τον άνθρακα στο </w:t>
      </w:r>
      <w:r>
        <w:rPr>
          <w:rFonts w:ascii="Arial" w:hAnsi="Arial"/>
          <w:sz w:val="18"/>
          <w:lang w:val="el-GR"/>
        </w:rPr>
        <w:t>σ</w:t>
      </w:r>
      <w:r w:rsidRPr="00E82E93">
        <w:rPr>
          <w:rFonts w:ascii="Arial" w:hAnsi="Arial"/>
          <w:sz w:val="18"/>
          <w:lang w:val="el-GR"/>
        </w:rPr>
        <w:t xml:space="preserve">τεγαστικό της χαρτοφυλάκιο έχει τεθεί, εφαρμόζοντας </w:t>
      </w:r>
      <w:r w:rsidRPr="004D086A">
        <w:rPr>
          <w:rFonts w:ascii="Arial" w:hAnsi="Arial"/>
          <w:sz w:val="18"/>
          <w:lang w:val="el-GR"/>
        </w:rPr>
        <w:t xml:space="preserve">το σενάριο της Διεθνούς Οργάνωσης Ενέργειας για Κάτω από 2 Βαθμούς Κελσίου (International Energy Agency’s Below 2 Degree </w:t>
      </w:r>
      <w:r w:rsidRPr="004D086A">
        <w:rPr>
          <w:rFonts w:ascii="Arial" w:hAnsi="Arial" w:cs="Arial"/>
          <w:sz w:val="18"/>
          <w:szCs w:val="18"/>
        </w:rPr>
        <w:t>Scenario</w:t>
      </w:r>
      <w:r w:rsidRPr="004D086A">
        <w:rPr>
          <w:rFonts w:ascii="Arial" w:hAnsi="Arial" w:cs="Arial"/>
          <w:sz w:val="18"/>
          <w:szCs w:val="18"/>
          <w:lang w:val="el-GR"/>
        </w:rPr>
        <w:t xml:space="preserve"> (</w:t>
      </w:r>
      <w:r w:rsidRPr="004D086A">
        <w:rPr>
          <w:rFonts w:ascii="Arial" w:hAnsi="Arial" w:cs="Arial"/>
          <w:sz w:val="18"/>
          <w:szCs w:val="18"/>
          <w:lang w:val="en-US"/>
        </w:rPr>
        <w:t>IEA</w:t>
      </w:r>
      <w:r w:rsidRPr="004D086A">
        <w:rPr>
          <w:rFonts w:ascii="Arial" w:hAnsi="Arial" w:cs="Arial"/>
          <w:sz w:val="18"/>
          <w:szCs w:val="18"/>
          <w:lang w:val="el-GR"/>
        </w:rPr>
        <w:t xml:space="preserve"> B2DS))</w:t>
      </w:r>
      <w:r w:rsidRPr="004D086A">
        <w:rPr>
          <w:rFonts w:ascii="Arial" w:hAnsi="Arial"/>
          <w:sz w:val="18"/>
          <w:lang w:val="el-GR"/>
        </w:rPr>
        <w:t xml:space="preserve">. </w:t>
      </w:r>
      <w:r w:rsidRPr="004D086A">
        <w:rPr>
          <w:rFonts w:ascii="Arial" w:hAnsi="Arial" w:cs="Arial"/>
          <w:sz w:val="18"/>
          <w:szCs w:val="18"/>
          <w:lang w:val="el-GR"/>
        </w:rPr>
        <w:t xml:space="preserve">Προκειμένου να ευθυγραμμιστεί το χαρτοφυλάκιο των Στεγαστικών Δανείων της Τράπεζας με το σενάριο κλιματικής αλλαγής και ουσιαστικά να είναι εκτεθειμένο σε χαμηλότερους κίνδυνους μετάβασης, το σημείο αναφοράς στις 31 Δεκεμβρίου 2022 των 53.5 </w:t>
      </w:r>
      <w:r w:rsidRPr="004D086A">
        <w:rPr>
          <w:rFonts w:ascii="Arial" w:hAnsi="Arial" w:cs="Arial"/>
          <w:sz w:val="18"/>
          <w:szCs w:val="18"/>
        </w:rPr>
        <w:t>kgCO</w:t>
      </w:r>
      <w:r w:rsidRPr="004D086A">
        <w:rPr>
          <w:rFonts w:ascii="Arial" w:hAnsi="Arial" w:cs="Arial"/>
          <w:sz w:val="18"/>
          <w:szCs w:val="18"/>
          <w:vertAlign w:val="subscript"/>
          <w:lang w:val="el-GR"/>
        </w:rPr>
        <w:t>2</w:t>
      </w:r>
      <w:r w:rsidRPr="004D086A">
        <w:rPr>
          <w:rFonts w:ascii="Arial" w:hAnsi="Arial" w:cs="Arial"/>
          <w:sz w:val="18"/>
          <w:szCs w:val="18"/>
        </w:rPr>
        <w:t>e</w:t>
      </w:r>
      <w:r w:rsidRPr="004D086A">
        <w:rPr>
          <w:rFonts w:ascii="Arial" w:hAnsi="Arial" w:cs="Arial"/>
          <w:sz w:val="18"/>
          <w:szCs w:val="18"/>
          <w:lang w:val="el-GR"/>
        </w:rPr>
        <w:t>/</w:t>
      </w:r>
      <w:r w:rsidRPr="004D086A">
        <w:rPr>
          <w:rFonts w:ascii="Arial" w:hAnsi="Arial" w:cs="Arial"/>
          <w:sz w:val="18"/>
          <w:szCs w:val="18"/>
        </w:rPr>
        <w:t>m</w:t>
      </w:r>
      <w:r w:rsidRPr="004D086A">
        <w:rPr>
          <w:rFonts w:ascii="Arial" w:hAnsi="Arial" w:cs="Arial"/>
          <w:sz w:val="18"/>
          <w:szCs w:val="18"/>
          <w:vertAlign w:val="superscript"/>
          <w:lang w:val="el-GR"/>
        </w:rPr>
        <w:t>2</w:t>
      </w:r>
      <w:r w:rsidRPr="004D086A">
        <w:rPr>
          <w:rFonts w:ascii="Arial" w:hAnsi="Arial" w:cs="Arial"/>
          <w:sz w:val="18"/>
          <w:szCs w:val="18"/>
          <w:lang w:val="el-GR"/>
        </w:rPr>
        <w:t xml:space="preserve"> θα πρέπει να μειωθεί κατά 43% μέχρι τις 31 Δεκεμβρίου 2030. Η </w:t>
      </w:r>
      <w:r>
        <w:rPr>
          <w:rFonts w:ascii="Arial" w:hAnsi="Arial" w:cs="Arial"/>
          <w:sz w:val="18"/>
          <w:szCs w:val="18"/>
          <w:lang w:val="el-GR"/>
        </w:rPr>
        <w:t>ένταση</w:t>
      </w:r>
      <w:r w:rsidRPr="004D086A">
        <w:rPr>
          <w:rFonts w:ascii="Arial" w:hAnsi="Arial" w:cs="Arial"/>
          <w:sz w:val="18"/>
          <w:szCs w:val="18"/>
          <w:lang w:val="el-GR"/>
        </w:rPr>
        <w:t xml:space="preserve"> άνθρακα στο Στεγαστικό</w:t>
      </w:r>
      <w:r w:rsidRPr="00910C69">
        <w:rPr>
          <w:rFonts w:ascii="Arial" w:hAnsi="Arial"/>
          <w:sz w:val="18"/>
          <w:lang w:val="el-GR"/>
        </w:rPr>
        <w:t xml:space="preserve"> </w:t>
      </w:r>
      <w:r>
        <w:rPr>
          <w:rFonts w:ascii="Arial" w:hAnsi="Arial"/>
          <w:sz w:val="18"/>
          <w:lang w:val="el-GR"/>
        </w:rPr>
        <w:t>δανειακό</w:t>
      </w:r>
      <w:r w:rsidRPr="004D086A">
        <w:rPr>
          <w:rFonts w:ascii="Arial" w:hAnsi="Arial" w:cs="Arial"/>
          <w:sz w:val="18"/>
          <w:szCs w:val="18"/>
          <w:lang w:val="el-GR"/>
        </w:rPr>
        <w:t xml:space="preserve"> Χαρτοφυλάκιο στις </w:t>
      </w:r>
      <w:r>
        <w:rPr>
          <w:rFonts w:ascii="Arial" w:hAnsi="Arial" w:cs="Arial"/>
          <w:sz w:val="18"/>
          <w:szCs w:val="18"/>
          <w:lang w:val="el-GR"/>
        </w:rPr>
        <w:t>30 Ιουνίου 2024</w:t>
      </w:r>
      <w:r w:rsidRPr="004D086A">
        <w:rPr>
          <w:rFonts w:ascii="Arial" w:hAnsi="Arial" w:cs="Arial"/>
          <w:sz w:val="18"/>
          <w:szCs w:val="18"/>
          <w:lang w:val="el-GR"/>
        </w:rPr>
        <w:t xml:space="preserve"> υπολογίστηκε στα </w:t>
      </w:r>
      <w:r>
        <w:rPr>
          <w:rFonts w:ascii="Arial" w:hAnsi="Arial" w:cs="Arial"/>
          <w:sz w:val="18"/>
          <w:szCs w:val="18"/>
          <w:lang w:val="el-GR"/>
        </w:rPr>
        <w:t>49.11</w:t>
      </w:r>
      <w:r w:rsidRPr="004D086A">
        <w:rPr>
          <w:rFonts w:ascii="Arial" w:hAnsi="Arial" w:cs="Arial"/>
          <w:sz w:val="18"/>
          <w:szCs w:val="18"/>
          <w:lang w:val="el-GR"/>
        </w:rPr>
        <w:t xml:space="preserve"> </w:t>
      </w:r>
      <w:r w:rsidRPr="004D086A">
        <w:rPr>
          <w:rFonts w:ascii="Arial" w:hAnsi="Arial" w:cs="Arial"/>
          <w:sz w:val="18"/>
          <w:szCs w:val="18"/>
        </w:rPr>
        <w:t>kgCO</w:t>
      </w:r>
      <w:r w:rsidRPr="004D086A">
        <w:rPr>
          <w:rFonts w:ascii="Arial" w:hAnsi="Arial" w:cs="Arial"/>
          <w:sz w:val="18"/>
          <w:szCs w:val="18"/>
          <w:vertAlign w:val="subscript"/>
          <w:lang w:val="el-GR"/>
        </w:rPr>
        <w:t>2</w:t>
      </w:r>
      <w:r w:rsidRPr="004D086A">
        <w:rPr>
          <w:rFonts w:ascii="Arial" w:hAnsi="Arial" w:cs="Arial"/>
          <w:sz w:val="18"/>
          <w:szCs w:val="18"/>
        </w:rPr>
        <w:t>e</w:t>
      </w:r>
      <w:r w:rsidRPr="004D086A">
        <w:rPr>
          <w:rFonts w:ascii="Arial" w:hAnsi="Arial" w:cs="Arial"/>
          <w:sz w:val="18"/>
          <w:szCs w:val="18"/>
          <w:lang w:val="el-GR"/>
        </w:rPr>
        <w:t>/</w:t>
      </w:r>
      <w:r w:rsidRPr="004D086A">
        <w:rPr>
          <w:rFonts w:ascii="Arial" w:hAnsi="Arial" w:cs="Arial"/>
          <w:sz w:val="18"/>
          <w:szCs w:val="18"/>
        </w:rPr>
        <w:t>m</w:t>
      </w:r>
      <w:r w:rsidRPr="004D086A">
        <w:rPr>
          <w:rFonts w:ascii="Arial" w:hAnsi="Arial" w:cs="Arial"/>
          <w:sz w:val="18"/>
          <w:szCs w:val="18"/>
          <w:vertAlign w:val="superscript"/>
          <w:lang w:val="el-GR"/>
        </w:rPr>
        <w:t>2</w:t>
      </w:r>
      <w:r w:rsidRPr="004D086A">
        <w:rPr>
          <w:rFonts w:ascii="Arial" w:hAnsi="Arial" w:cs="Arial"/>
          <w:sz w:val="18"/>
          <w:szCs w:val="18"/>
          <w:lang w:val="el-GR"/>
        </w:rPr>
        <w:t xml:space="preserve"> πετυχαίνοντας περίπου </w:t>
      </w:r>
      <w:r>
        <w:rPr>
          <w:rFonts w:ascii="Arial" w:hAnsi="Arial" w:cs="Arial"/>
          <w:sz w:val="18"/>
          <w:szCs w:val="18"/>
          <w:lang w:val="el-GR"/>
        </w:rPr>
        <w:t>8</w:t>
      </w:r>
      <w:r w:rsidRPr="004D086A">
        <w:rPr>
          <w:rFonts w:ascii="Arial" w:hAnsi="Arial" w:cs="Arial"/>
          <w:sz w:val="18"/>
          <w:szCs w:val="18"/>
          <w:lang w:val="el-GR"/>
        </w:rPr>
        <w:t>% μείωση σε σχέση με το σημείο αναφοράς, λόγω αυξημένης εγκατάστασης φωτοβολτα</w:t>
      </w:r>
      <w:r>
        <w:rPr>
          <w:rFonts w:ascii="Arial" w:hAnsi="Arial" w:cs="Arial"/>
          <w:sz w:val="18"/>
          <w:szCs w:val="18"/>
          <w:lang w:val="el-GR"/>
        </w:rPr>
        <w:t>ϊ</w:t>
      </w:r>
      <w:r w:rsidRPr="004D086A">
        <w:rPr>
          <w:rFonts w:ascii="Arial" w:hAnsi="Arial" w:cs="Arial"/>
          <w:sz w:val="18"/>
          <w:szCs w:val="18"/>
          <w:lang w:val="el-GR"/>
        </w:rPr>
        <w:t xml:space="preserve">κών συστημάτων σε οικιστικά κτίρια το 2023. Στα τέλη του 2023, η Τράπεζα εισήγαγε την προσφορά ενός Πράσινου Στεγαστικού προϊόντος </w:t>
      </w:r>
      <w:r>
        <w:rPr>
          <w:rFonts w:ascii="Arial" w:hAnsi="Arial" w:cs="Arial"/>
          <w:sz w:val="18"/>
          <w:szCs w:val="18"/>
          <w:lang w:val="el-GR"/>
        </w:rPr>
        <w:t xml:space="preserve">με κυμαινόμενο επιτόκιο </w:t>
      </w:r>
      <w:r w:rsidRPr="004D086A">
        <w:rPr>
          <w:rFonts w:ascii="Arial" w:hAnsi="Arial" w:cs="Arial"/>
          <w:sz w:val="18"/>
          <w:szCs w:val="18"/>
          <w:lang w:val="el-GR"/>
        </w:rPr>
        <w:t>για να συμβάλει στην επίτευξη του στόχου απαλλαγής από τον άνθρακα στα στεγαστικά δάνεια και ουσιαστικά να μειώσει τον κλιματικό κίνδυνο μετάβασης στον οποίο είναι εκτεθειμένη.</w:t>
      </w:r>
      <w:r>
        <w:rPr>
          <w:rFonts w:ascii="Arial" w:hAnsi="Arial" w:cs="Arial"/>
          <w:sz w:val="18"/>
          <w:szCs w:val="18"/>
          <w:lang w:val="el-GR"/>
        </w:rPr>
        <w:t xml:space="preserve"> </w:t>
      </w:r>
      <w:r w:rsidRPr="001F247A">
        <w:rPr>
          <w:rFonts w:ascii="Arial" w:hAnsi="Arial" w:cs="Arial"/>
          <w:sz w:val="18"/>
          <w:szCs w:val="18"/>
          <w:lang w:val="el-GR"/>
        </w:rPr>
        <w:t xml:space="preserve">Η Τράπεζα βρίσκεται στη διαδικασία να </w:t>
      </w:r>
      <w:r>
        <w:rPr>
          <w:rFonts w:ascii="Arial" w:hAnsi="Arial" w:cs="Arial"/>
          <w:sz w:val="18"/>
          <w:szCs w:val="18"/>
          <w:lang w:val="el-GR"/>
        </w:rPr>
        <w:t>εισαγάγει</w:t>
      </w:r>
      <w:r w:rsidRPr="00AA62B1">
        <w:rPr>
          <w:rFonts w:ascii="Arial" w:hAnsi="Arial" w:cs="Arial"/>
          <w:sz w:val="18"/>
          <w:szCs w:val="18"/>
          <w:lang w:val="el-GR"/>
        </w:rPr>
        <w:t xml:space="preserve"> </w:t>
      </w:r>
      <w:r w:rsidR="003C4252">
        <w:rPr>
          <w:rFonts w:ascii="Arial" w:hAnsi="Arial" w:cs="Arial"/>
          <w:sz w:val="18"/>
          <w:szCs w:val="18"/>
          <w:lang w:val="el-GR"/>
        </w:rPr>
        <w:t xml:space="preserve">κατά το γ’ τρίμηνο 2024 </w:t>
      </w:r>
      <w:r w:rsidRPr="00AA62B1">
        <w:rPr>
          <w:rFonts w:ascii="Arial" w:hAnsi="Arial" w:cs="Arial"/>
          <w:sz w:val="18"/>
          <w:szCs w:val="18"/>
          <w:lang w:val="el-GR"/>
        </w:rPr>
        <w:t xml:space="preserve">την προσφορά ενός Πράσινου Στεγαστικού προϊόντος με σταθερό επιτόκιο, </w:t>
      </w:r>
      <w:r w:rsidRPr="001F247A">
        <w:rPr>
          <w:rFonts w:ascii="Arial" w:hAnsi="Arial" w:cs="Arial"/>
          <w:sz w:val="18"/>
          <w:szCs w:val="18"/>
          <w:lang w:val="el-GR"/>
        </w:rPr>
        <w:t xml:space="preserve">ευθυγραμμισμένο με τις </w:t>
      </w:r>
      <w:r w:rsidRPr="00AA62B1">
        <w:rPr>
          <w:rFonts w:ascii="Arial" w:hAnsi="Arial" w:cs="Arial"/>
          <w:sz w:val="18"/>
          <w:szCs w:val="18"/>
          <w:lang w:val="el-GR"/>
        </w:rPr>
        <w:t>Α</w:t>
      </w:r>
      <w:r w:rsidRPr="001F247A">
        <w:rPr>
          <w:rFonts w:ascii="Arial" w:hAnsi="Arial" w:cs="Arial"/>
          <w:sz w:val="18"/>
          <w:szCs w:val="18"/>
          <w:lang w:val="el-GR"/>
        </w:rPr>
        <w:t xml:space="preserve">ρχές </w:t>
      </w:r>
      <w:r>
        <w:rPr>
          <w:rFonts w:ascii="Arial" w:hAnsi="Arial" w:cs="Arial"/>
          <w:sz w:val="18"/>
          <w:szCs w:val="18"/>
          <w:lang w:val="el-GR"/>
        </w:rPr>
        <w:t>Πράσινου Δανεισμού</w:t>
      </w:r>
      <w:r w:rsidRPr="001F247A">
        <w:rPr>
          <w:rFonts w:ascii="Arial" w:hAnsi="Arial" w:cs="Arial"/>
          <w:sz w:val="18"/>
          <w:szCs w:val="18"/>
          <w:lang w:val="el-GR"/>
        </w:rPr>
        <w:t xml:space="preserve"> </w:t>
      </w:r>
      <w:r w:rsidRPr="00AA62B1">
        <w:rPr>
          <w:rFonts w:ascii="Arial" w:hAnsi="Arial" w:cs="Arial"/>
          <w:sz w:val="18"/>
          <w:szCs w:val="18"/>
          <w:lang w:val="el-GR"/>
        </w:rPr>
        <w:t>(</w:t>
      </w:r>
      <w:r w:rsidRPr="00AA62B1">
        <w:rPr>
          <w:rFonts w:ascii="Arial" w:hAnsi="Arial" w:cs="Arial"/>
          <w:sz w:val="18"/>
          <w:szCs w:val="18"/>
          <w:lang w:val="en-US"/>
        </w:rPr>
        <w:t>Green</w:t>
      </w:r>
      <w:r w:rsidRPr="00AA62B1">
        <w:rPr>
          <w:rFonts w:ascii="Arial" w:hAnsi="Arial" w:cs="Arial"/>
          <w:sz w:val="18"/>
          <w:szCs w:val="18"/>
          <w:lang w:val="el-GR"/>
        </w:rPr>
        <w:t xml:space="preserve"> </w:t>
      </w:r>
      <w:r w:rsidRPr="00AA62B1">
        <w:rPr>
          <w:rFonts w:ascii="Arial" w:hAnsi="Arial" w:cs="Arial"/>
          <w:sz w:val="18"/>
          <w:szCs w:val="18"/>
          <w:lang w:val="en-US"/>
        </w:rPr>
        <w:t>Loans</w:t>
      </w:r>
      <w:r w:rsidRPr="00AA62B1">
        <w:rPr>
          <w:rFonts w:ascii="Arial" w:hAnsi="Arial" w:cs="Arial"/>
          <w:sz w:val="18"/>
          <w:szCs w:val="18"/>
          <w:lang w:val="el-GR"/>
        </w:rPr>
        <w:t xml:space="preserve"> </w:t>
      </w:r>
      <w:r w:rsidRPr="00AA62B1">
        <w:rPr>
          <w:rFonts w:ascii="Arial" w:hAnsi="Arial" w:cs="Arial"/>
          <w:sz w:val="18"/>
          <w:szCs w:val="18"/>
          <w:lang w:val="en-US"/>
        </w:rPr>
        <w:t>Principles</w:t>
      </w:r>
      <w:r w:rsidRPr="00AA62B1">
        <w:rPr>
          <w:rFonts w:ascii="Arial" w:hAnsi="Arial" w:cs="Arial"/>
          <w:sz w:val="18"/>
          <w:szCs w:val="18"/>
          <w:lang w:val="el-GR"/>
        </w:rPr>
        <w:t>)</w:t>
      </w:r>
      <w:r w:rsidRPr="001F247A">
        <w:rPr>
          <w:rFonts w:ascii="Arial" w:hAnsi="Arial" w:cs="Arial"/>
          <w:sz w:val="18"/>
          <w:szCs w:val="18"/>
          <w:lang w:val="el-GR"/>
        </w:rPr>
        <w:t xml:space="preserve"> </w:t>
      </w:r>
      <w:r>
        <w:rPr>
          <w:rFonts w:ascii="Arial" w:hAnsi="Arial" w:cs="Arial"/>
          <w:sz w:val="18"/>
          <w:szCs w:val="18"/>
          <w:lang w:val="el-GR"/>
        </w:rPr>
        <w:t xml:space="preserve">της </w:t>
      </w:r>
      <w:r w:rsidRPr="00AA62B1">
        <w:rPr>
          <w:rFonts w:ascii="Arial" w:hAnsi="Arial" w:cs="Arial"/>
          <w:sz w:val="18"/>
          <w:szCs w:val="18"/>
          <w:lang w:val="el-GR"/>
        </w:rPr>
        <w:t>Ένωσης Αγοράς Δανεισμού</w:t>
      </w:r>
      <w:r w:rsidRPr="005B74CE">
        <w:rPr>
          <w:rFonts w:ascii="Arial" w:hAnsi="Arial" w:cs="Arial"/>
          <w:sz w:val="18"/>
          <w:szCs w:val="18"/>
          <w:lang w:val="el-GR"/>
        </w:rPr>
        <w:t xml:space="preserve"> (Loan Market Association),</w:t>
      </w:r>
      <w:r w:rsidRPr="001F247A">
        <w:rPr>
          <w:rFonts w:ascii="Arial" w:hAnsi="Arial" w:cs="Arial"/>
          <w:sz w:val="18"/>
          <w:szCs w:val="18"/>
          <w:lang w:val="el-GR"/>
        </w:rPr>
        <w:t xml:space="preserve"> το οποίο αναμένεται να συμβάλει σημαντικά στο φιλικό προς το περιβάλλον χαρτοφυλάκιο της Τράπεζας έως το τέλος του 2024</w:t>
      </w:r>
      <w:r>
        <w:rPr>
          <w:rFonts w:ascii="Arial" w:hAnsi="Arial" w:cs="Arial"/>
          <w:sz w:val="18"/>
          <w:szCs w:val="18"/>
          <w:lang w:val="el-GR"/>
        </w:rPr>
        <w:t xml:space="preserve">. </w:t>
      </w:r>
      <w:r w:rsidRPr="004D086A">
        <w:rPr>
          <w:rFonts w:ascii="Arial" w:hAnsi="Arial" w:cs="Arial"/>
          <w:sz w:val="18"/>
          <w:szCs w:val="18"/>
          <w:lang w:val="el-GR"/>
        </w:rPr>
        <w:t xml:space="preserve">Επιπρόσθετα, η Τράπεζα έχει θέσει όρια δανεισμού και επενδύσεων σε κλάδους </w:t>
      </w:r>
      <w:r w:rsidRPr="004D086A">
        <w:rPr>
          <w:rFonts w:ascii="Arial" w:hAnsi="Arial"/>
          <w:sz w:val="18"/>
          <w:lang w:val="el-GR"/>
        </w:rPr>
        <w:t>υψηλής συγκέντρωσης άνθρακα, οι οποίοι θεωρούνται κλάδοι υψηλού κινδύνου μετάβασης. Επίσης, έχοντας εισάγει και υλοποιώντας τη διαδικασία Αξιολόγησης Επιχειρηματικού Περιβάλλοντος (Business Environment Scan process), η Τράπεζα έχει θέσει στόχους νέας Πράσινης</w:t>
      </w:r>
      <w:r w:rsidRPr="00DB47E1">
        <w:rPr>
          <w:rFonts w:ascii="Arial" w:hAnsi="Arial"/>
          <w:sz w:val="18"/>
          <w:lang w:val="el-GR"/>
        </w:rPr>
        <w:t xml:space="preserve"> </w:t>
      </w:r>
      <w:r w:rsidRPr="004D086A">
        <w:rPr>
          <w:rFonts w:ascii="Arial" w:hAnsi="Arial"/>
          <w:sz w:val="18"/>
          <w:lang w:val="el-GR"/>
        </w:rPr>
        <w:t>χρηματοδότησης ή χρηματοδότησης Μετάβασης σε συγκεκριμένους τομείς για να υποστηρίξει τη μετάβαση των πελατών της σε μια οικονομία χαμηλού άνθρακα</w:t>
      </w:r>
      <w:r>
        <w:rPr>
          <w:rFonts w:ascii="Arial" w:hAnsi="Arial"/>
          <w:sz w:val="18"/>
          <w:lang w:val="el-GR"/>
        </w:rPr>
        <w:t>,</w:t>
      </w:r>
      <w:r w:rsidRPr="004D086A">
        <w:rPr>
          <w:rFonts w:ascii="Arial" w:hAnsi="Arial"/>
          <w:sz w:val="18"/>
          <w:lang w:val="el-GR"/>
        </w:rPr>
        <w:t xml:space="preserve"> έτσι ώστε να διαχειριστεί αποτελεσματικά τους κινδύνους μετάβασης.</w:t>
      </w:r>
    </w:p>
    <w:p w14:paraId="6B2E4D08" w14:textId="77777777" w:rsidR="00910C69" w:rsidRPr="006B5511" w:rsidRDefault="00910C69" w:rsidP="005F1EF8">
      <w:pPr>
        <w:spacing w:line="240" w:lineRule="auto"/>
        <w:contextualSpacing/>
        <w:jc w:val="both"/>
        <w:rPr>
          <w:rFonts w:ascii="Arial" w:hAnsi="Arial"/>
          <w:sz w:val="18"/>
          <w:highlight w:val="yellow"/>
          <w:lang w:val="el-GR"/>
        </w:rPr>
      </w:pPr>
    </w:p>
    <w:p w14:paraId="4D79EBFD" w14:textId="77777777" w:rsidR="007C6BB9" w:rsidRPr="00AA62B1" w:rsidRDefault="007C6BB9" w:rsidP="007C6BB9">
      <w:pPr>
        <w:spacing w:line="240" w:lineRule="auto"/>
        <w:contextualSpacing/>
        <w:jc w:val="both"/>
        <w:rPr>
          <w:rFonts w:ascii="Arial" w:hAnsi="Arial"/>
          <w:sz w:val="18"/>
          <w:lang w:val="el-GR"/>
        </w:rPr>
      </w:pPr>
      <w:r w:rsidRPr="004D086A">
        <w:rPr>
          <w:rFonts w:ascii="Arial" w:hAnsi="Arial"/>
          <w:sz w:val="18"/>
          <w:lang w:val="el-GR"/>
        </w:rPr>
        <w:t>Κατά τη διάρκεια του 2023, η Τράπεζα έχει σημειώσει σημαντική πρόοδο στην ενσωμάτωση θεμάτων κλιματικού και περιβαλλοντικού κινδύνου στη διαχείριση κινδύνων και στην κουλτούρα διαχείρισης κινδύνων. Η Τράπεζα έχει αναθεωρήσει και ενισχύσει τη διαδικασία ανάλυσης σημαντικότητας στους Κ&amp;Π κινδύνους. H Τράπεζα έχει διενεργήσει ενδελεχή αναγνώριση και αξιολόγηση Κ&amp;Π κινδύνων ως παράγοντες υφιστάμενων χρηματοοικονομικών και μη χρηματοοικονομικών κινδύνων λαμβάνοντας υπόψη το επιχειρηματικό προφίλ και τη σύνθεση του δανειακού χαρτο</w:t>
      </w:r>
      <w:r w:rsidRPr="003E2CDF">
        <w:rPr>
          <w:rFonts w:ascii="Arial" w:hAnsi="Arial"/>
          <w:sz w:val="18"/>
          <w:lang w:val="el-GR"/>
        </w:rPr>
        <w:t xml:space="preserve">φυλακίου της. Ως μέρος της διαδικασίας αυτής, η Τράπεζα έχει εντοπίσει τους παράγοντες κινδύνου, τόσο φυσικούς όσο και μετάβασης, που θα μπορούσαν δυνητικά να έχουν αντίκτυπο στο </w:t>
      </w:r>
      <w:r w:rsidRPr="00E93A30">
        <w:rPr>
          <w:rFonts w:ascii="Arial" w:hAnsi="Arial"/>
          <w:sz w:val="18"/>
          <w:lang w:val="el-GR"/>
        </w:rPr>
        <w:t xml:space="preserve">προφίλ κινδύνου και στις λειτουργίες της Τράπεζας και έχει αξιολογήσει τη σημαντικότητα του κάθε παράγοντα κινδύνου σε σχέση με τις υφιστάμενες κατηγορίες κινδύνου. </w:t>
      </w:r>
    </w:p>
    <w:p w14:paraId="3B778922" w14:textId="77777777" w:rsidR="006A7D43" w:rsidRPr="006B5511" w:rsidRDefault="006A7D43">
      <w:pPr>
        <w:spacing w:line="240" w:lineRule="auto"/>
        <w:contextualSpacing/>
        <w:jc w:val="both"/>
        <w:rPr>
          <w:rFonts w:ascii="Arial" w:hAnsi="Arial"/>
          <w:sz w:val="18"/>
          <w:highlight w:val="yellow"/>
          <w:lang w:val="el-GR"/>
        </w:rPr>
      </w:pPr>
    </w:p>
    <w:p w14:paraId="348A3465" w14:textId="77777777" w:rsidR="00F77A51" w:rsidRDefault="00F77A51" w:rsidP="00262407">
      <w:pPr>
        <w:spacing w:line="240" w:lineRule="auto"/>
        <w:jc w:val="both"/>
        <w:rPr>
          <w:rFonts w:ascii="Arial" w:hAnsi="Arial"/>
          <w:sz w:val="18"/>
          <w:lang w:val="el-GR"/>
        </w:rPr>
      </w:pPr>
    </w:p>
    <w:p w14:paraId="31A02750" w14:textId="77777777" w:rsidR="00F77A51" w:rsidRDefault="00F77A51" w:rsidP="00262407">
      <w:pPr>
        <w:spacing w:line="240" w:lineRule="auto"/>
        <w:jc w:val="both"/>
        <w:rPr>
          <w:rFonts w:ascii="Arial" w:hAnsi="Arial"/>
          <w:sz w:val="18"/>
          <w:lang w:val="el-GR"/>
        </w:rPr>
      </w:pPr>
    </w:p>
    <w:p w14:paraId="6AFC60B5" w14:textId="77777777" w:rsidR="00F77A51" w:rsidRDefault="00F77A51" w:rsidP="00262407">
      <w:pPr>
        <w:spacing w:line="240" w:lineRule="auto"/>
        <w:jc w:val="both"/>
        <w:rPr>
          <w:rFonts w:ascii="Arial" w:hAnsi="Arial"/>
          <w:sz w:val="18"/>
          <w:lang w:val="el-GR"/>
        </w:rPr>
      </w:pPr>
    </w:p>
    <w:p w14:paraId="5C417B8C" w14:textId="77777777" w:rsidR="00F77A51" w:rsidRDefault="00F77A51" w:rsidP="00262407">
      <w:pPr>
        <w:spacing w:line="240" w:lineRule="auto"/>
        <w:jc w:val="both"/>
        <w:rPr>
          <w:rFonts w:ascii="Arial" w:hAnsi="Arial"/>
          <w:sz w:val="18"/>
          <w:lang w:val="el-GR"/>
        </w:rPr>
      </w:pPr>
    </w:p>
    <w:p w14:paraId="6B3F73DA" w14:textId="69AAF060" w:rsidR="00F77A51" w:rsidRPr="006A1797" w:rsidRDefault="00276E99" w:rsidP="00F77A51">
      <w:pPr>
        <w:spacing w:after="0" w:line="360" w:lineRule="auto"/>
        <w:rPr>
          <w:rFonts w:ascii="Arial" w:hAnsi="Arial" w:cs="Arial"/>
          <w:b/>
          <w:color w:val="FF9900"/>
          <w:sz w:val="24"/>
          <w:szCs w:val="24"/>
          <w:lang w:val="el-GR"/>
        </w:rPr>
      </w:pPr>
      <w:r>
        <w:rPr>
          <w:rFonts w:ascii="Arial" w:hAnsi="Arial" w:cs="Arial"/>
          <w:b/>
          <w:color w:val="FF9900"/>
          <w:sz w:val="24"/>
          <w:szCs w:val="24"/>
          <w:lang w:val="el-GR"/>
        </w:rPr>
        <w:t>Δ</w:t>
      </w:r>
      <w:r w:rsidR="00F77A51" w:rsidRPr="006A1797">
        <w:rPr>
          <w:rFonts w:ascii="Arial" w:hAnsi="Arial" w:cs="Arial"/>
          <w:b/>
          <w:color w:val="FF9900"/>
          <w:sz w:val="24"/>
          <w:szCs w:val="24"/>
          <w:lang w:val="el-GR"/>
        </w:rPr>
        <w:t>. Επισκόπηση επιχειρηματικής δραστηριότητας (συνέχεια)</w:t>
      </w:r>
    </w:p>
    <w:p w14:paraId="7C4C6548" w14:textId="77777777" w:rsidR="00F77A51" w:rsidRPr="006A1797" w:rsidRDefault="00F77A51" w:rsidP="00F77A51">
      <w:pPr>
        <w:tabs>
          <w:tab w:val="left" w:pos="709"/>
        </w:tabs>
        <w:spacing w:after="120" w:line="240" w:lineRule="auto"/>
        <w:ind w:right="57"/>
        <w:rPr>
          <w:rFonts w:ascii="Arial" w:hAnsi="Arial" w:cs="Arial"/>
          <w:b/>
          <w:i/>
          <w:color w:val="FF9900"/>
          <w:sz w:val="20"/>
          <w:lang w:val="el-GR"/>
        </w:rPr>
      </w:pPr>
      <w:r w:rsidRPr="006A1797">
        <w:rPr>
          <w:rFonts w:ascii="Arial" w:hAnsi="Arial" w:cs="Arial"/>
          <w:b/>
          <w:i/>
          <w:color w:val="FF9900"/>
          <w:sz w:val="20"/>
          <w:lang w:val="el-GR"/>
        </w:rPr>
        <w:t>Ενίσχυση οργανωτικής ανθεκτικότητας και πολιτικής για Περιβαλλοντικά, Κοινωνικά και σχετικά µε τη Διακυβέρνηση (ΠΚΔ) θέματα (</w:t>
      </w:r>
      <w:r w:rsidRPr="006A1797">
        <w:rPr>
          <w:rFonts w:ascii="Arial" w:hAnsi="Arial" w:cs="Arial"/>
          <w:b/>
          <w:i/>
          <w:color w:val="FF9900"/>
          <w:sz w:val="20"/>
        </w:rPr>
        <w:t>Environmental</w:t>
      </w:r>
      <w:r w:rsidRPr="006A1797">
        <w:rPr>
          <w:rFonts w:ascii="Arial" w:hAnsi="Arial" w:cs="Arial"/>
          <w:b/>
          <w:i/>
          <w:color w:val="FF9900"/>
          <w:sz w:val="20"/>
          <w:lang w:val="el-GR"/>
        </w:rPr>
        <w:t xml:space="preserve">, </w:t>
      </w:r>
      <w:r w:rsidRPr="006A1797">
        <w:rPr>
          <w:rFonts w:ascii="Arial" w:hAnsi="Arial" w:cs="Arial"/>
          <w:b/>
          <w:i/>
          <w:color w:val="FF9900"/>
          <w:sz w:val="20"/>
        </w:rPr>
        <w:t>Social</w:t>
      </w:r>
      <w:r w:rsidRPr="006A1797">
        <w:rPr>
          <w:rFonts w:ascii="Arial" w:hAnsi="Arial" w:cs="Arial"/>
          <w:b/>
          <w:i/>
          <w:color w:val="FF9900"/>
          <w:sz w:val="20"/>
          <w:lang w:val="el-GR"/>
        </w:rPr>
        <w:t xml:space="preserve"> </w:t>
      </w:r>
      <w:r w:rsidRPr="006A1797">
        <w:rPr>
          <w:rFonts w:ascii="Arial" w:hAnsi="Arial" w:cs="Arial"/>
          <w:b/>
          <w:i/>
          <w:color w:val="FF9900"/>
          <w:sz w:val="20"/>
        </w:rPr>
        <w:t>and</w:t>
      </w:r>
      <w:r w:rsidRPr="006A1797">
        <w:rPr>
          <w:rFonts w:ascii="Arial" w:hAnsi="Arial" w:cs="Arial"/>
          <w:b/>
          <w:i/>
          <w:color w:val="FF9900"/>
          <w:sz w:val="20"/>
          <w:lang w:val="el-GR"/>
        </w:rPr>
        <w:t xml:space="preserve"> </w:t>
      </w:r>
      <w:r w:rsidRPr="006A1797">
        <w:rPr>
          <w:rFonts w:ascii="Arial" w:hAnsi="Arial" w:cs="Arial"/>
          <w:b/>
          <w:i/>
          <w:color w:val="FF9900"/>
          <w:sz w:val="20"/>
        </w:rPr>
        <w:t>Governance</w:t>
      </w:r>
      <w:r w:rsidRPr="006A1797">
        <w:rPr>
          <w:rFonts w:ascii="Arial" w:hAnsi="Arial" w:cs="Arial"/>
          <w:b/>
          <w:i/>
          <w:color w:val="FF9900"/>
          <w:sz w:val="20"/>
          <w:lang w:val="el-GR"/>
        </w:rPr>
        <w:t xml:space="preserve">, </w:t>
      </w:r>
      <w:r w:rsidRPr="006A1797">
        <w:rPr>
          <w:rFonts w:ascii="Arial" w:hAnsi="Arial" w:cs="Arial"/>
          <w:b/>
          <w:i/>
          <w:color w:val="FF9900"/>
          <w:sz w:val="20"/>
        </w:rPr>
        <w:t>ESG</w:t>
      </w:r>
      <w:r w:rsidRPr="006A1797">
        <w:rPr>
          <w:rFonts w:ascii="Arial" w:hAnsi="Arial" w:cs="Arial"/>
          <w:b/>
          <w:i/>
          <w:color w:val="FF9900"/>
          <w:sz w:val="20"/>
          <w:lang w:val="el-GR"/>
        </w:rPr>
        <w:t xml:space="preserve">) </w:t>
      </w:r>
      <w:r w:rsidRPr="006A1797">
        <w:rPr>
          <w:rFonts w:ascii="Arial" w:hAnsi="Arial" w:cs="Arial"/>
          <w:bCs/>
          <w:i/>
          <w:color w:val="FF9900"/>
          <w:sz w:val="20"/>
          <w:lang w:val="el-GR"/>
        </w:rPr>
        <w:t>(συνέχεια)</w:t>
      </w:r>
    </w:p>
    <w:p w14:paraId="0816BC38" w14:textId="4DF533FA" w:rsidR="00F77A51" w:rsidRDefault="00F77A51" w:rsidP="00262407">
      <w:pPr>
        <w:spacing w:line="240" w:lineRule="auto"/>
        <w:contextualSpacing/>
        <w:jc w:val="both"/>
        <w:rPr>
          <w:rFonts w:ascii="Arial" w:hAnsi="Arial" w:cs="Arial"/>
          <w:i/>
          <w:iCs/>
          <w:sz w:val="18"/>
          <w:szCs w:val="18"/>
          <w:lang w:val="el-GR"/>
        </w:rPr>
      </w:pPr>
      <w:r w:rsidRPr="006A1797">
        <w:rPr>
          <w:rFonts w:ascii="Arial" w:hAnsi="Arial" w:cs="Arial"/>
          <w:i/>
          <w:iCs/>
          <w:sz w:val="18"/>
          <w:szCs w:val="18"/>
          <w:lang w:val="el-GR"/>
        </w:rPr>
        <w:t>Περιβάλλον (συνέχεια)</w:t>
      </w:r>
    </w:p>
    <w:p w14:paraId="40DD5903" w14:textId="77777777" w:rsidR="00F77A51" w:rsidRPr="00F77A51" w:rsidRDefault="00F77A51" w:rsidP="00262407">
      <w:pPr>
        <w:spacing w:line="240" w:lineRule="auto"/>
        <w:contextualSpacing/>
        <w:jc w:val="both"/>
        <w:rPr>
          <w:rFonts w:ascii="Arial" w:hAnsi="Arial" w:cs="Arial"/>
          <w:i/>
          <w:iCs/>
          <w:sz w:val="18"/>
          <w:szCs w:val="18"/>
          <w:lang w:val="el-GR"/>
        </w:rPr>
      </w:pPr>
    </w:p>
    <w:p w14:paraId="7B3BDBCE" w14:textId="572D8366" w:rsidR="00262407" w:rsidRPr="006A1797" w:rsidRDefault="007C6BB9" w:rsidP="00262407">
      <w:pPr>
        <w:spacing w:line="240" w:lineRule="auto"/>
        <w:jc w:val="both"/>
        <w:rPr>
          <w:rFonts w:ascii="Arial" w:hAnsi="Arial"/>
          <w:sz w:val="18"/>
          <w:lang w:val="el-GR"/>
        </w:rPr>
      </w:pPr>
      <w:r>
        <w:rPr>
          <w:rFonts w:ascii="Arial" w:hAnsi="Arial"/>
          <w:sz w:val="18"/>
          <w:lang w:val="el-GR"/>
        </w:rPr>
        <w:t>Το 2024, η</w:t>
      </w:r>
      <w:r w:rsidRPr="00E93A30">
        <w:rPr>
          <w:rFonts w:ascii="Arial" w:hAnsi="Arial"/>
          <w:sz w:val="18"/>
          <w:lang w:val="el-GR"/>
        </w:rPr>
        <w:t xml:space="preserve"> Τράπεζα </w:t>
      </w:r>
      <w:r>
        <w:rPr>
          <w:rFonts w:ascii="Arial" w:hAnsi="Arial"/>
          <w:sz w:val="18"/>
          <w:lang w:val="el-GR"/>
        </w:rPr>
        <w:t xml:space="preserve">εισήγαγε την λύση της κοινοπραξίας </w:t>
      </w:r>
      <w:r w:rsidRPr="006A7E7F">
        <w:rPr>
          <w:rFonts w:ascii="Arial" w:hAnsi="Arial"/>
          <w:sz w:val="18"/>
          <w:lang w:val="el-GR"/>
        </w:rPr>
        <w:t>“</w:t>
      </w:r>
      <w:r>
        <w:rPr>
          <w:rFonts w:ascii="Arial" w:hAnsi="Arial"/>
          <w:sz w:val="18"/>
          <w:lang w:val="en-US"/>
        </w:rPr>
        <w:t>Synesgy</w:t>
      </w:r>
      <w:r w:rsidRPr="006A7E7F">
        <w:rPr>
          <w:rFonts w:ascii="Arial" w:hAnsi="Arial"/>
          <w:sz w:val="18"/>
          <w:lang w:val="el-GR"/>
        </w:rPr>
        <w:t>”</w:t>
      </w:r>
      <w:r w:rsidRPr="00AA62B1">
        <w:rPr>
          <w:rFonts w:ascii="Arial" w:hAnsi="Arial"/>
          <w:sz w:val="18"/>
          <w:lang w:val="el-GR"/>
        </w:rPr>
        <w:t xml:space="preserve"> </w:t>
      </w:r>
      <w:r>
        <w:rPr>
          <w:rFonts w:ascii="Arial" w:hAnsi="Arial"/>
          <w:sz w:val="18"/>
          <w:lang w:val="el-GR"/>
        </w:rPr>
        <w:t>(Δ</w:t>
      </w:r>
      <w:r w:rsidRPr="00E93A30">
        <w:rPr>
          <w:rFonts w:ascii="Arial" w:hAnsi="Arial"/>
          <w:sz w:val="18"/>
          <w:lang w:val="el-GR"/>
        </w:rPr>
        <w:t>ιαδικασί</w:t>
      </w:r>
      <w:r>
        <w:rPr>
          <w:rFonts w:ascii="Arial" w:hAnsi="Arial"/>
          <w:sz w:val="18"/>
          <w:lang w:val="el-GR"/>
        </w:rPr>
        <w:t>α</w:t>
      </w:r>
      <w:r w:rsidRPr="00E93A30">
        <w:rPr>
          <w:rFonts w:ascii="Arial" w:hAnsi="Arial"/>
          <w:sz w:val="18"/>
          <w:lang w:val="el-GR"/>
        </w:rPr>
        <w:t xml:space="preserve"> </w:t>
      </w:r>
      <w:r>
        <w:rPr>
          <w:rFonts w:ascii="Arial" w:hAnsi="Arial"/>
          <w:sz w:val="18"/>
          <w:lang w:val="el-GR"/>
        </w:rPr>
        <w:t>Δ</w:t>
      </w:r>
      <w:r w:rsidRPr="006957EC">
        <w:rPr>
          <w:rFonts w:ascii="Arial" w:hAnsi="Arial"/>
          <w:sz w:val="18"/>
          <w:lang w:val="el-GR"/>
        </w:rPr>
        <w:t xml:space="preserve">έουσας </w:t>
      </w:r>
      <w:r>
        <w:rPr>
          <w:rFonts w:ascii="Arial" w:hAnsi="Arial"/>
          <w:sz w:val="18"/>
          <w:lang w:val="el-GR"/>
        </w:rPr>
        <w:t>Ε</w:t>
      </w:r>
      <w:r w:rsidRPr="006957EC">
        <w:rPr>
          <w:rFonts w:ascii="Arial" w:hAnsi="Arial"/>
          <w:sz w:val="18"/>
          <w:lang w:val="el-GR"/>
        </w:rPr>
        <w:t>πιμέλειας ΠΚΔ</w:t>
      </w:r>
      <w:r>
        <w:rPr>
          <w:rFonts w:ascii="Arial" w:hAnsi="Arial"/>
          <w:sz w:val="18"/>
          <w:lang w:val="el-GR"/>
        </w:rPr>
        <w:t>)</w:t>
      </w:r>
      <w:r w:rsidRPr="006957EC">
        <w:rPr>
          <w:rFonts w:ascii="Arial" w:hAnsi="Arial"/>
          <w:sz w:val="18"/>
          <w:lang w:val="el-GR"/>
        </w:rPr>
        <w:t xml:space="preserve">, </w:t>
      </w:r>
      <w:r>
        <w:rPr>
          <w:rFonts w:ascii="Arial" w:hAnsi="Arial"/>
          <w:sz w:val="18"/>
          <w:lang w:val="el-GR"/>
        </w:rPr>
        <w:t xml:space="preserve">που εφαρμόζεται σε όλο το Τραπεζικό Σύστημα της Κύπρου, η οποία έχει </w:t>
      </w:r>
      <w:r w:rsidRPr="006957EC">
        <w:rPr>
          <w:rFonts w:ascii="Arial" w:hAnsi="Arial"/>
          <w:sz w:val="18"/>
          <w:lang w:val="el-GR"/>
        </w:rPr>
        <w:t>σχεδιαστεί ώστε να ενισχύσ</w:t>
      </w:r>
      <w:r>
        <w:rPr>
          <w:rFonts w:ascii="Arial" w:hAnsi="Arial"/>
          <w:sz w:val="18"/>
          <w:lang w:val="el-GR"/>
        </w:rPr>
        <w:t>ει</w:t>
      </w:r>
      <w:r w:rsidRPr="006957EC">
        <w:rPr>
          <w:rFonts w:ascii="Arial" w:hAnsi="Arial"/>
          <w:sz w:val="18"/>
          <w:lang w:val="el-GR"/>
        </w:rPr>
        <w:t xml:space="preserve"> τη διαδικασία συλλογής δεδομένων και την αξιολόγηση των πελάτων της σε σχέση με την επίδοσή τους στα διάφορα θέματα που αφορούν Κ&amp;Π κινδύνους και να παρέχει καθοδήγηση σχετικά με ενέργειες αποκατάστασης. Η διαδικασία αυτή περιλαμβάνει τη χρήση δομημένων ερωτηματολογίων </w:t>
      </w:r>
      <w:r>
        <w:rPr>
          <w:rFonts w:ascii="Arial" w:hAnsi="Arial"/>
          <w:sz w:val="18"/>
          <w:lang w:val="el-GR"/>
        </w:rPr>
        <w:t xml:space="preserve">ΠΚΔ, μέσω της πλατφόρμας </w:t>
      </w:r>
      <w:r w:rsidRPr="00AA62B1">
        <w:rPr>
          <w:rFonts w:ascii="Arial" w:hAnsi="Arial"/>
          <w:sz w:val="18"/>
          <w:lang w:val="el-GR"/>
        </w:rPr>
        <w:t>“</w:t>
      </w:r>
      <w:r>
        <w:rPr>
          <w:rFonts w:ascii="Arial" w:hAnsi="Arial"/>
          <w:sz w:val="18"/>
          <w:lang w:val="en-US"/>
        </w:rPr>
        <w:t>Synesgy</w:t>
      </w:r>
      <w:r w:rsidRPr="00AA62B1">
        <w:rPr>
          <w:rFonts w:ascii="Arial" w:hAnsi="Arial"/>
          <w:sz w:val="18"/>
          <w:lang w:val="el-GR"/>
        </w:rPr>
        <w:t>”,</w:t>
      </w:r>
      <w:r>
        <w:rPr>
          <w:rFonts w:ascii="Arial" w:hAnsi="Arial"/>
          <w:sz w:val="18"/>
          <w:lang w:val="el-GR"/>
        </w:rPr>
        <w:t xml:space="preserve"> </w:t>
      </w:r>
      <w:r w:rsidRPr="006957EC">
        <w:rPr>
          <w:rFonts w:ascii="Arial" w:hAnsi="Arial"/>
          <w:sz w:val="18"/>
          <w:lang w:val="el-GR"/>
        </w:rPr>
        <w:t xml:space="preserve">που εφαρμόζονται σε κάθε εταιρεία ώστε να εξάγει τη βαθμολογία ΠΚΔ. Η Τράπεζα έχει εισάγει μια δομημένη και ενδελεχή διαδικασία Αξιολόγησης Επιχειρηματικού Περιβάλλοντος, για να παρακολουθεί τον αντίκτυπο των Κ&amp;Π κινδύνων βραχυπρόθεσμα, μεσοπρόθεσμα και μακροπρόθεσμα. Τα αποτελέσματα από </w:t>
      </w:r>
      <w:r>
        <w:rPr>
          <w:rFonts w:ascii="Arial" w:hAnsi="Arial"/>
          <w:sz w:val="18"/>
          <w:lang w:val="el-GR"/>
        </w:rPr>
        <w:t>την</w:t>
      </w:r>
      <w:r w:rsidRPr="006957EC">
        <w:rPr>
          <w:rFonts w:ascii="Arial" w:hAnsi="Arial"/>
          <w:sz w:val="18"/>
          <w:lang w:val="el-GR"/>
        </w:rPr>
        <w:t xml:space="preserve"> προκαταρκτική (τριμηνιαία) και τελική (ετήσια) ανάλυση αντικτύπου έχουν ενσωματωθεί στην ανάλυση σημαντικότητας των κινδύνων Κ&amp;Π και έχουν συμπεριληφθεί στην Επιχειρηματική Στρατηγική της Τράπεζας.</w:t>
      </w:r>
      <w:r w:rsidRPr="006D2D3F">
        <w:rPr>
          <w:rFonts w:ascii="Arial" w:hAnsi="Arial"/>
          <w:sz w:val="18"/>
          <w:highlight w:val="yellow"/>
          <w:lang w:val="el-GR"/>
        </w:rPr>
        <w:t xml:space="preserve"> </w:t>
      </w:r>
      <w:bookmarkStart w:id="33" w:name="_Hlk173777529"/>
    </w:p>
    <w:p w14:paraId="351B0660" w14:textId="724908D9" w:rsidR="00262407" w:rsidRPr="00DB485E" w:rsidRDefault="00262407" w:rsidP="00262407">
      <w:pPr>
        <w:spacing w:line="240" w:lineRule="auto"/>
        <w:jc w:val="both"/>
        <w:rPr>
          <w:rFonts w:ascii="Arial" w:hAnsi="Arial"/>
          <w:sz w:val="18"/>
          <w:lang w:val="el-GR"/>
        </w:rPr>
      </w:pPr>
      <w:r>
        <w:rPr>
          <w:rFonts w:ascii="Arial" w:hAnsi="Arial"/>
          <w:sz w:val="18"/>
          <w:lang w:val="el-GR"/>
        </w:rPr>
        <w:t>Η</w:t>
      </w:r>
      <w:r w:rsidRPr="005C4C9A">
        <w:rPr>
          <w:rFonts w:ascii="Arial" w:hAnsi="Arial"/>
          <w:sz w:val="18"/>
          <w:lang w:val="el-GR"/>
        </w:rPr>
        <w:t xml:space="preserve"> </w:t>
      </w:r>
      <w:r>
        <w:rPr>
          <w:rFonts w:ascii="Arial" w:hAnsi="Arial"/>
          <w:sz w:val="18"/>
          <w:lang w:val="el-GR"/>
        </w:rPr>
        <w:t>Τράπεζα</w:t>
      </w:r>
      <w:r w:rsidRPr="005C4C9A">
        <w:rPr>
          <w:rFonts w:ascii="Arial" w:hAnsi="Arial"/>
          <w:sz w:val="18"/>
          <w:lang w:val="el-GR"/>
        </w:rPr>
        <w:t xml:space="preserve"> προσφέρει μια σειρά προϊόντων φιλικών προς το περιβάλλον, με στόχο τη διαχείριση του κινδύνου μετάβασης και τη βοήθεια των πελατών της ώστε να γίνουν πιο βιώσιμοι. </w:t>
      </w:r>
      <w:r>
        <w:rPr>
          <w:rFonts w:ascii="Arial" w:hAnsi="Arial"/>
          <w:sz w:val="18"/>
          <w:lang w:val="el-GR"/>
        </w:rPr>
        <w:t>Συγκεκριμένα</w:t>
      </w:r>
      <w:r w:rsidRPr="005C4C9A">
        <w:rPr>
          <w:rFonts w:ascii="Arial" w:hAnsi="Arial"/>
          <w:sz w:val="18"/>
          <w:lang w:val="el-GR"/>
        </w:rPr>
        <w:t xml:space="preserve">, </w:t>
      </w:r>
      <w:r>
        <w:rPr>
          <w:rFonts w:ascii="Arial" w:hAnsi="Arial"/>
          <w:sz w:val="18"/>
          <w:lang w:val="el-GR"/>
        </w:rPr>
        <w:t>η Τράπεζα</w:t>
      </w:r>
      <w:r w:rsidRPr="005C4C9A">
        <w:rPr>
          <w:rFonts w:ascii="Arial" w:hAnsi="Arial"/>
          <w:sz w:val="18"/>
          <w:lang w:val="el-GR"/>
        </w:rPr>
        <w:t xml:space="preserve"> προσφέρει</w:t>
      </w:r>
      <w:r>
        <w:rPr>
          <w:rFonts w:ascii="Arial" w:hAnsi="Arial"/>
          <w:sz w:val="18"/>
          <w:lang w:val="el-GR"/>
        </w:rPr>
        <w:t xml:space="preserve"> δάνεια σε πελάτες για </w:t>
      </w:r>
      <w:r w:rsidRPr="00D96F98">
        <w:rPr>
          <w:rFonts w:ascii="Arial" w:hAnsi="Arial"/>
          <w:sz w:val="18"/>
          <w:lang w:val="el-GR"/>
        </w:rPr>
        <w:t>ενεργειακή αναβάθμιση</w:t>
      </w:r>
      <w:r>
        <w:rPr>
          <w:rFonts w:ascii="Arial" w:hAnsi="Arial"/>
          <w:sz w:val="18"/>
          <w:lang w:val="el-GR"/>
        </w:rPr>
        <w:t xml:space="preserve"> των κατοικιών τους, για εγκατάσταση </w:t>
      </w:r>
      <w:r w:rsidRPr="00695B10">
        <w:rPr>
          <w:rFonts w:ascii="Arial" w:hAnsi="Arial"/>
          <w:sz w:val="18"/>
          <w:lang w:val="el-GR"/>
        </w:rPr>
        <w:t xml:space="preserve">φωτοβολταϊκών </w:t>
      </w:r>
      <w:r w:rsidRPr="00225C27">
        <w:rPr>
          <w:rFonts w:ascii="Arial" w:hAnsi="Arial"/>
          <w:sz w:val="18"/>
          <w:lang w:val="el-GR"/>
        </w:rPr>
        <w:t>συστημάτων</w:t>
      </w:r>
      <w:r>
        <w:rPr>
          <w:rFonts w:ascii="Arial" w:hAnsi="Arial"/>
          <w:sz w:val="18"/>
          <w:lang w:val="el-GR"/>
        </w:rPr>
        <w:t xml:space="preserve">, για αγορά </w:t>
      </w:r>
      <w:r w:rsidRPr="00D96F98">
        <w:rPr>
          <w:rFonts w:ascii="Arial" w:hAnsi="Arial"/>
          <w:sz w:val="18"/>
          <w:lang w:val="el-GR"/>
        </w:rPr>
        <w:t>υβριδικ</w:t>
      </w:r>
      <w:r>
        <w:rPr>
          <w:rFonts w:ascii="Arial" w:hAnsi="Arial"/>
          <w:sz w:val="18"/>
          <w:lang w:val="el-GR"/>
        </w:rPr>
        <w:t>ών</w:t>
      </w:r>
      <w:r w:rsidRPr="00D96F98">
        <w:rPr>
          <w:rFonts w:ascii="Arial" w:hAnsi="Arial"/>
          <w:sz w:val="18"/>
          <w:lang w:val="el-GR"/>
        </w:rPr>
        <w:t xml:space="preserve"> ή ηλεκτρικ</w:t>
      </w:r>
      <w:r>
        <w:rPr>
          <w:rFonts w:ascii="Arial" w:hAnsi="Arial"/>
          <w:sz w:val="18"/>
          <w:lang w:val="el-GR"/>
        </w:rPr>
        <w:t>ών</w:t>
      </w:r>
      <w:r w:rsidRPr="00D96F98">
        <w:rPr>
          <w:rFonts w:ascii="Arial" w:hAnsi="Arial"/>
          <w:sz w:val="18"/>
          <w:lang w:val="el-GR"/>
        </w:rPr>
        <w:t xml:space="preserve"> αυτοκ</w:t>
      </w:r>
      <w:r>
        <w:rPr>
          <w:rFonts w:ascii="Arial" w:hAnsi="Arial"/>
          <w:sz w:val="18"/>
          <w:lang w:val="el-GR"/>
        </w:rPr>
        <w:t>ινήτων καθώς επίσης χρηματοδοτεί έργα ανανεώσιμων πηγών ενέργειας. Επιπρόσθετα, κατ’ επέκταση της συλλογής Πιστοποιητικών ενεργειακής απόδοσης</w:t>
      </w:r>
      <w:r w:rsidRPr="00DB47E1">
        <w:rPr>
          <w:rFonts w:ascii="Arial" w:hAnsi="Arial"/>
          <w:sz w:val="18"/>
          <w:lang w:val="el-GR"/>
        </w:rPr>
        <w:t xml:space="preserve">, </w:t>
      </w:r>
      <w:r>
        <w:rPr>
          <w:rFonts w:ascii="Arial" w:hAnsi="Arial"/>
          <w:sz w:val="18"/>
          <w:lang w:val="el-GR"/>
        </w:rPr>
        <w:t xml:space="preserve">μέσα στο 2024, η Τράπεζα εντόπισε μεικτά δάνεια ύψους </w:t>
      </w:r>
      <w:r>
        <w:rPr>
          <w:rFonts w:ascii="Arial" w:hAnsi="Arial" w:cs="Arial"/>
          <w:sz w:val="18"/>
          <w:lang w:val="el-GR"/>
        </w:rPr>
        <w:t>€</w:t>
      </w:r>
      <w:r>
        <w:rPr>
          <w:rFonts w:ascii="Arial" w:hAnsi="Arial"/>
          <w:sz w:val="18"/>
          <w:lang w:val="el-GR"/>
        </w:rPr>
        <w:t xml:space="preserve">307.3 εκατ., στις 30 Ιουνίου 2024, που είναι συνδεδεμένα </w:t>
      </w:r>
      <w:r w:rsidRPr="00AA62B1">
        <w:rPr>
          <w:rFonts w:ascii="Arial" w:hAnsi="Arial"/>
          <w:sz w:val="18"/>
          <w:lang w:val="el-GR"/>
        </w:rPr>
        <w:t xml:space="preserve"> (</w:t>
      </w:r>
      <w:r>
        <w:rPr>
          <w:rFonts w:ascii="Arial" w:hAnsi="Arial"/>
          <w:sz w:val="18"/>
          <w:lang w:val="el-GR"/>
        </w:rPr>
        <w:t xml:space="preserve">χρηματοδοτούν ή εξασφαλίζονται) με κτίρια με Πιστοποιητικό ενεργειακής απόδοσης κατηγορίας Α. </w:t>
      </w:r>
      <w:r w:rsidRPr="00DB485E">
        <w:rPr>
          <w:rFonts w:ascii="Arial" w:hAnsi="Arial"/>
          <w:sz w:val="18"/>
          <w:lang w:val="el-GR"/>
        </w:rPr>
        <w:t xml:space="preserve">Το ύψος των δανείων </w:t>
      </w:r>
      <w:r>
        <w:rPr>
          <w:rFonts w:ascii="Arial" w:hAnsi="Arial"/>
          <w:sz w:val="18"/>
          <w:lang w:val="el-GR"/>
        </w:rPr>
        <w:t xml:space="preserve">που είναι </w:t>
      </w:r>
      <w:r w:rsidRPr="00DB485E">
        <w:rPr>
          <w:rFonts w:ascii="Arial" w:hAnsi="Arial"/>
          <w:sz w:val="18"/>
          <w:lang w:val="el-GR"/>
        </w:rPr>
        <w:t xml:space="preserve">φιλικά προς το περιβάλλον </w:t>
      </w:r>
      <w:r>
        <w:rPr>
          <w:rFonts w:ascii="Arial" w:hAnsi="Arial"/>
          <w:sz w:val="18"/>
          <w:lang w:val="el-GR"/>
        </w:rPr>
        <w:t xml:space="preserve">(περιλαμβανομένου και δανείων που είναι συνδεδεμένα με κτίρια με Πιστοποιητικό ενεργειακής απόδοσης κατηγορίας Α), </w:t>
      </w:r>
      <w:r w:rsidRPr="00DB485E">
        <w:rPr>
          <w:rFonts w:ascii="Arial" w:hAnsi="Arial"/>
          <w:sz w:val="18"/>
          <w:lang w:val="el-GR"/>
        </w:rPr>
        <w:t>στις 3</w:t>
      </w:r>
      <w:r>
        <w:rPr>
          <w:rFonts w:ascii="Arial" w:hAnsi="Arial"/>
          <w:sz w:val="18"/>
          <w:lang w:val="el-GR"/>
        </w:rPr>
        <w:t>0</w:t>
      </w:r>
      <w:r w:rsidRPr="00DB485E">
        <w:rPr>
          <w:rFonts w:ascii="Arial" w:hAnsi="Arial"/>
          <w:sz w:val="18"/>
          <w:lang w:val="el-GR"/>
        </w:rPr>
        <w:t xml:space="preserve"> </w:t>
      </w:r>
      <w:r>
        <w:rPr>
          <w:rFonts w:ascii="Arial" w:hAnsi="Arial"/>
          <w:sz w:val="18"/>
          <w:lang w:val="el-GR"/>
        </w:rPr>
        <w:t xml:space="preserve">Ιουνίου </w:t>
      </w:r>
      <w:r w:rsidRPr="00DB485E">
        <w:rPr>
          <w:rFonts w:ascii="Arial" w:hAnsi="Arial"/>
          <w:sz w:val="18"/>
          <w:lang w:val="el-GR"/>
        </w:rPr>
        <w:t>202</w:t>
      </w:r>
      <w:r>
        <w:rPr>
          <w:rFonts w:ascii="Arial" w:hAnsi="Arial"/>
          <w:sz w:val="18"/>
          <w:lang w:val="el-GR"/>
        </w:rPr>
        <w:t>4,</w:t>
      </w:r>
      <w:r w:rsidRPr="00DB485E">
        <w:rPr>
          <w:rFonts w:ascii="Arial" w:hAnsi="Arial"/>
          <w:sz w:val="18"/>
          <w:lang w:val="el-GR"/>
        </w:rPr>
        <w:t xml:space="preserve"> ανήλθε στα </w:t>
      </w:r>
      <w:r w:rsidRPr="00DB485E">
        <w:rPr>
          <w:rFonts w:ascii="Arial" w:hAnsi="Arial" w:cs="Arial"/>
          <w:sz w:val="18"/>
          <w:szCs w:val="18"/>
          <w:lang w:val="el-GR"/>
        </w:rPr>
        <w:t>€</w:t>
      </w:r>
      <w:r>
        <w:rPr>
          <w:rFonts w:ascii="Arial" w:hAnsi="Arial" w:cs="Arial"/>
          <w:sz w:val="18"/>
          <w:szCs w:val="18"/>
          <w:lang w:val="el-GR"/>
        </w:rPr>
        <w:t>339.8</w:t>
      </w:r>
      <w:r w:rsidRPr="00DB485E">
        <w:rPr>
          <w:rFonts w:ascii="Arial" w:hAnsi="Arial"/>
          <w:sz w:val="18"/>
          <w:lang w:val="el-GR"/>
        </w:rPr>
        <w:t xml:space="preserve"> </w:t>
      </w:r>
      <w:r w:rsidRPr="00DB485E">
        <w:rPr>
          <w:rFonts w:ascii="Arial" w:hAnsi="Arial" w:cs="Arial"/>
          <w:sz w:val="18"/>
          <w:szCs w:val="18"/>
          <w:lang w:val="el-GR"/>
        </w:rPr>
        <w:t>εκατ. σε σύγκριση με €</w:t>
      </w:r>
      <w:r>
        <w:rPr>
          <w:rFonts w:ascii="Arial" w:hAnsi="Arial" w:cs="Arial"/>
          <w:sz w:val="18"/>
          <w:szCs w:val="18"/>
          <w:lang w:val="el-GR"/>
        </w:rPr>
        <w:t>272.0</w:t>
      </w:r>
      <w:r w:rsidRPr="00DB485E">
        <w:rPr>
          <w:rFonts w:ascii="Arial" w:hAnsi="Arial" w:cs="Arial"/>
          <w:sz w:val="18"/>
          <w:szCs w:val="18"/>
          <w:lang w:val="el-GR"/>
        </w:rPr>
        <w:t xml:space="preserve"> εκατ. στις 31 Δεκεμβρίου 202</w:t>
      </w:r>
      <w:r>
        <w:rPr>
          <w:rFonts w:ascii="Arial" w:hAnsi="Arial" w:cs="Arial"/>
          <w:sz w:val="18"/>
          <w:szCs w:val="18"/>
          <w:lang w:val="el-GR"/>
        </w:rPr>
        <w:t>3</w:t>
      </w:r>
      <w:r w:rsidRPr="00DB485E">
        <w:rPr>
          <w:rFonts w:ascii="Arial" w:hAnsi="Arial" w:cs="Arial"/>
          <w:sz w:val="18"/>
          <w:szCs w:val="18"/>
          <w:lang w:val="el-GR"/>
        </w:rPr>
        <w:t xml:space="preserve">. </w:t>
      </w:r>
      <w:r w:rsidRPr="00DB485E">
        <w:rPr>
          <w:rFonts w:ascii="Arial" w:hAnsi="Arial"/>
          <w:sz w:val="18"/>
          <w:lang w:val="el-GR"/>
        </w:rPr>
        <w:t xml:space="preserve"> </w:t>
      </w:r>
    </w:p>
    <w:bookmarkEnd w:id="33"/>
    <w:p w14:paraId="26DE8D9C" w14:textId="42EB632D" w:rsidR="00211AC5" w:rsidRDefault="00262407" w:rsidP="00211AC5">
      <w:pPr>
        <w:spacing w:line="240" w:lineRule="auto"/>
        <w:contextualSpacing/>
        <w:jc w:val="both"/>
        <w:rPr>
          <w:rFonts w:ascii="Arial" w:hAnsi="Arial"/>
          <w:sz w:val="18"/>
          <w:lang w:val="el-GR"/>
        </w:rPr>
      </w:pPr>
      <w:r w:rsidRPr="00DB485E">
        <w:rPr>
          <w:rFonts w:ascii="Arial" w:hAnsi="Arial"/>
          <w:sz w:val="18"/>
          <w:lang w:val="el-GR"/>
        </w:rPr>
        <w:t xml:space="preserve">Κατά τη διάρκεια του </w:t>
      </w:r>
      <w:r>
        <w:rPr>
          <w:rFonts w:ascii="Arial" w:hAnsi="Arial"/>
          <w:sz w:val="18"/>
          <w:lang w:val="el-GR"/>
        </w:rPr>
        <w:t>α’ εξαμήνου του 2024</w:t>
      </w:r>
      <w:r w:rsidRPr="00DB485E">
        <w:rPr>
          <w:rFonts w:ascii="Arial" w:hAnsi="Arial"/>
          <w:sz w:val="18"/>
          <w:lang w:val="el-GR"/>
        </w:rPr>
        <w:t xml:space="preserve">, με στόχο την ενίσχυση της γνώσης και δεξιοτήτων σε θέματα ΠΚΔ, το Συγκρότημα έχει προσφέρει εκπαίδευση στα μέλη του προσωπικού των λειτουργιών ελέγχου </w:t>
      </w:r>
      <w:r>
        <w:rPr>
          <w:rFonts w:ascii="Arial" w:hAnsi="Arial"/>
          <w:sz w:val="18"/>
          <w:lang w:val="el-GR"/>
        </w:rPr>
        <w:t xml:space="preserve">και προγραμματίζει να διεξάγει εκπαιδεύσεις </w:t>
      </w:r>
      <w:r w:rsidRPr="00DB485E">
        <w:rPr>
          <w:rFonts w:ascii="Arial" w:hAnsi="Arial"/>
          <w:sz w:val="18"/>
          <w:lang w:val="el-GR"/>
        </w:rPr>
        <w:t>στο Διοικητικό Συμβούλιο και την Ανώτερη Διεύθυνση καθώς επίσης και σε άλλα μέλη του προσωπικού.</w:t>
      </w:r>
    </w:p>
    <w:p w14:paraId="0AC0C991" w14:textId="77777777" w:rsidR="00211AC5" w:rsidRPr="00211AC5" w:rsidRDefault="00211AC5" w:rsidP="00211AC5">
      <w:pPr>
        <w:spacing w:line="240" w:lineRule="auto"/>
        <w:contextualSpacing/>
        <w:jc w:val="both"/>
        <w:rPr>
          <w:rFonts w:ascii="Arial" w:hAnsi="Arial"/>
          <w:sz w:val="18"/>
          <w:lang w:val="el-GR"/>
        </w:rPr>
      </w:pPr>
    </w:p>
    <w:p w14:paraId="0BD72220" w14:textId="3E2B86C8" w:rsidR="00CE36EC" w:rsidRPr="006A1797" w:rsidRDefault="00CE36EC" w:rsidP="00CE3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rFonts w:ascii="Arial" w:hAnsi="Arial" w:cs="Arial"/>
          <w:i/>
          <w:iCs/>
          <w:sz w:val="18"/>
          <w:lang w:val="el-GR"/>
        </w:rPr>
      </w:pPr>
      <w:r w:rsidRPr="006A1797">
        <w:rPr>
          <w:rFonts w:ascii="Arial" w:hAnsi="Arial" w:cs="Arial"/>
          <w:i/>
          <w:iCs/>
          <w:sz w:val="18"/>
          <w:lang w:val="el-GR"/>
        </w:rPr>
        <w:t xml:space="preserve">Κοινωνία </w:t>
      </w:r>
    </w:p>
    <w:p w14:paraId="7A061C29" w14:textId="77777777" w:rsidR="00262407" w:rsidRDefault="00262407" w:rsidP="00262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Arial" w:hAnsi="Arial"/>
          <w:sz w:val="18"/>
          <w:lang w:val="el-GR"/>
        </w:rPr>
      </w:pPr>
      <w:r w:rsidRPr="00DB485E">
        <w:rPr>
          <w:rFonts w:ascii="Arial" w:hAnsi="Arial"/>
          <w:sz w:val="18"/>
          <w:lang w:val="el-GR"/>
        </w:rPr>
        <w:t xml:space="preserve">Στο επίκεντρο του ηγετικού κοινωνικού ρόλου του Συγκροτήματος βρίσκονται οι επενδύσεις του, στο Ογκολογικό Κέντρο Τράπεζας Κύπρου (με συνολική επένδυση περίπου €70 εκατ. από το 1998, καθώς </w:t>
      </w:r>
      <w:r>
        <w:rPr>
          <w:rFonts w:ascii="Arial" w:hAnsi="Arial"/>
          <w:sz w:val="18"/>
          <w:lang w:val="el-GR"/>
        </w:rPr>
        <w:t>55</w:t>
      </w:r>
      <w:r w:rsidRPr="00DB485E">
        <w:rPr>
          <w:rFonts w:ascii="Arial" w:hAnsi="Arial"/>
          <w:sz w:val="18"/>
          <w:lang w:val="el-GR"/>
        </w:rPr>
        <w:t xml:space="preserve">% των διαγνωσμένων περιπτώσεων καρκίνου στην Κύπρο νοσηλεύεται στο Κέντρο), η άμεση και αποτελεσματική ανταπόκριση του Δικτύου SupportCY, το οποίο αποτελείται από εταιρείες και οργανισμούς, που ανταποκρίνονται στις ανάγκες της κοινωνίας, και σε περιόδους κρίσης και επείγουσας ανάγκης μέσω της ενεργοποίησης προγραμμάτων, παροχής εξειδικευμένου εξοπλισμού, και μέσω καλά καταρτισμένου σώματος εθελοντών, η συμβολή του Πολιτιστικού Ιδρύματος Τράπεζας Κύπρου στην προώθηση της πολιτιστικής κληρονομιάς του νησιού και η προσφορά του Κέντρο Καινοτομίας IDEA. </w:t>
      </w:r>
    </w:p>
    <w:p w14:paraId="57734063" w14:textId="77777777" w:rsidR="00262407" w:rsidRDefault="00262407" w:rsidP="00262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Arial" w:hAnsi="Arial"/>
          <w:sz w:val="18"/>
          <w:lang w:val="el-GR"/>
        </w:rPr>
      </w:pPr>
    </w:p>
    <w:p w14:paraId="7B79FA97" w14:textId="77777777" w:rsidR="00262407" w:rsidRDefault="00262407" w:rsidP="00262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Arial" w:hAnsi="Arial"/>
          <w:sz w:val="18"/>
          <w:lang w:val="el-GR"/>
        </w:rPr>
      </w:pPr>
      <w:r>
        <w:rPr>
          <w:rFonts w:ascii="Arial" w:hAnsi="Arial"/>
          <w:sz w:val="18"/>
          <w:lang w:val="el-GR"/>
        </w:rPr>
        <w:t>Οι εγκαταστάσεις και τα μουσεία του Πολιτιστικού Ιδρύματος παρέμειναν κλειστά από τον Μάρτιο έως τον Ιούνιο του 2024 για σκοπούς ανακαίνισης και προετοιμασίας για την εγκαινίαση της νέας έκθεσης «</w:t>
      </w:r>
      <w:r>
        <w:rPr>
          <w:rFonts w:ascii="Arial" w:hAnsi="Arial"/>
          <w:sz w:val="18"/>
          <w:lang w:val="en-US"/>
        </w:rPr>
        <w:t>Cyprus</w:t>
      </w:r>
      <w:r w:rsidRPr="00AA62B1">
        <w:rPr>
          <w:rFonts w:ascii="Arial" w:hAnsi="Arial"/>
          <w:sz w:val="18"/>
          <w:lang w:val="el-GR"/>
        </w:rPr>
        <w:t xml:space="preserve"> </w:t>
      </w:r>
      <w:r>
        <w:rPr>
          <w:rFonts w:ascii="Arial" w:hAnsi="Arial"/>
          <w:sz w:val="18"/>
          <w:lang w:val="en-US"/>
        </w:rPr>
        <w:t>Insula</w:t>
      </w:r>
      <w:r>
        <w:rPr>
          <w:rFonts w:ascii="Arial" w:hAnsi="Arial"/>
          <w:sz w:val="18"/>
          <w:lang w:val="el-GR"/>
        </w:rPr>
        <w:t xml:space="preserve">». Η </w:t>
      </w:r>
      <w:r w:rsidRPr="00823AC4">
        <w:rPr>
          <w:rFonts w:ascii="Arial" w:hAnsi="Arial"/>
          <w:sz w:val="18"/>
          <w:lang w:val="el-GR"/>
        </w:rPr>
        <w:t xml:space="preserve">συνολική συμμετοχή στις εκδηλώσεις του Πολιτιστικού Ιδρύματος </w:t>
      </w:r>
      <w:r>
        <w:rPr>
          <w:rFonts w:ascii="Arial" w:hAnsi="Arial"/>
          <w:sz w:val="18"/>
          <w:lang w:val="el-GR"/>
        </w:rPr>
        <w:t>παρέμειναν ως είχαν το  α’ τρίμηνο του 2024 (4,062 άτομα).</w:t>
      </w:r>
      <w:r w:rsidRPr="00823AC4">
        <w:rPr>
          <w:rFonts w:ascii="Arial" w:hAnsi="Arial"/>
          <w:sz w:val="18"/>
          <w:lang w:val="el-GR"/>
        </w:rPr>
        <w:t xml:space="preserve"> </w:t>
      </w:r>
    </w:p>
    <w:p w14:paraId="118F70E3" w14:textId="77777777" w:rsidR="00262407" w:rsidRDefault="00262407" w:rsidP="00262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Arial" w:hAnsi="Arial"/>
          <w:sz w:val="18"/>
          <w:lang w:val="el-GR"/>
        </w:rPr>
      </w:pPr>
    </w:p>
    <w:p w14:paraId="46EA7C05" w14:textId="77777777" w:rsidR="00262407" w:rsidRPr="000E7250" w:rsidRDefault="00262407" w:rsidP="00262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Arial" w:hAnsi="Arial"/>
          <w:sz w:val="18"/>
          <w:lang w:val="el-GR"/>
        </w:rPr>
      </w:pPr>
      <w:r w:rsidRPr="00823AC4">
        <w:rPr>
          <w:rFonts w:ascii="Arial" w:hAnsi="Arial"/>
          <w:sz w:val="18"/>
          <w:lang w:val="el-GR"/>
        </w:rPr>
        <w:t xml:space="preserve">Το  Κέντρο Καινοτομίας IDEA επένδυσε περίπου €4 εκατ. σε νεοφυείς επιχειρήσεις από την ίδρυσή του, υποστήριξε τη δημιουργία </w:t>
      </w:r>
      <w:r>
        <w:rPr>
          <w:rFonts w:ascii="Arial" w:hAnsi="Arial"/>
          <w:sz w:val="18"/>
          <w:lang w:val="el-GR"/>
        </w:rPr>
        <w:t>95</w:t>
      </w:r>
      <w:r w:rsidRPr="00823AC4">
        <w:rPr>
          <w:rFonts w:ascii="Arial" w:hAnsi="Arial"/>
          <w:sz w:val="18"/>
          <w:lang w:val="el-GR"/>
        </w:rPr>
        <w:t xml:space="preserve"> νέων εταιρειών μέχρι σήμερα, και παρείχε υποστήριξη σε 210+ επιχειρηματίες  από την ίδρυσή του, μέσα από το Πρόγραμμα Ανάπτυξης Καινοτόμων Επιχειρήσεων και παρείχε εκπαίδευση σε πέραν των 7,000 επιχειρηματ</w:t>
      </w:r>
      <w:r>
        <w:rPr>
          <w:rFonts w:ascii="Arial" w:hAnsi="Arial"/>
          <w:sz w:val="18"/>
          <w:lang w:val="el-GR"/>
        </w:rPr>
        <w:t>ι</w:t>
      </w:r>
      <w:r w:rsidRPr="00823AC4">
        <w:rPr>
          <w:rFonts w:ascii="Arial" w:hAnsi="Arial"/>
          <w:sz w:val="18"/>
          <w:lang w:val="el-GR"/>
        </w:rPr>
        <w:t xml:space="preserve">ών. Μέλη του προσωπικού συνέχισαν να συμμετέχουν σε εθελοντικές δράσεις για υποστήριξη φιλανθρωπικών ιδρυμάτων, ανθρώπων που έχουν ανάγκη και σε δράσεις που στοχεύουν στην  προστασία του περιβάλλοντος. </w:t>
      </w:r>
    </w:p>
    <w:p w14:paraId="2CA4B791" w14:textId="77777777" w:rsidR="00262407" w:rsidRPr="000E7250" w:rsidRDefault="00262407" w:rsidP="00262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Arial" w:hAnsi="Arial"/>
          <w:sz w:val="18"/>
          <w:lang w:val="el-GR"/>
        </w:rPr>
      </w:pPr>
    </w:p>
    <w:p w14:paraId="4622F0CB" w14:textId="77777777" w:rsidR="00262407" w:rsidRPr="00FE15DE" w:rsidRDefault="00262407" w:rsidP="00262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Arial" w:hAnsi="Arial"/>
          <w:sz w:val="18"/>
          <w:lang w:val="el-GR"/>
        </w:rPr>
      </w:pPr>
      <w:r w:rsidRPr="000E7250">
        <w:rPr>
          <w:rFonts w:ascii="Arial" w:hAnsi="Arial"/>
          <w:sz w:val="18"/>
          <w:lang w:val="el-GR"/>
        </w:rPr>
        <w:t xml:space="preserve">Το Συγκρότημα συνέχισε να αναβαθμίζει τις δεξιότητες του προσωπικού του παρέχοντας ευκαιρίες εκπαίδευσης και ανάπτυξης σε όλο το προσωπικό και αξιοποιώντας σύγχρονες μεθόδους εκπαίδευσης. Κατά το </w:t>
      </w:r>
      <w:r>
        <w:rPr>
          <w:rFonts w:ascii="Arial" w:hAnsi="Arial"/>
          <w:sz w:val="18"/>
          <w:lang w:val="el-GR"/>
        </w:rPr>
        <w:t>α’ εξάμηνο του 2024</w:t>
      </w:r>
      <w:r w:rsidRPr="000E7250">
        <w:rPr>
          <w:rFonts w:ascii="Arial" w:hAnsi="Arial"/>
          <w:sz w:val="18"/>
          <w:lang w:val="el-GR"/>
        </w:rPr>
        <w:t xml:space="preserve">, οι υπάλληλοι της </w:t>
      </w:r>
      <w:r w:rsidRPr="00D66505">
        <w:rPr>
          <w:rFonts w:ascii="Arial" w:hAnsi="Arial"/>
          <w:sz w:val="18"/>
          <w:lang w:val="el-GR"/>
        </w:rPr>
        <w:t xml:space="preserve">Τράπεζας παρακολούθησαν σεμινάρια που αντιστοιχούσαν σε </w:t>
      </w:r>
      <w:r>
        <w:rPr>
          <w:rFonts w:ascii="Arial" w:hAnsi="Arial"/>
          <w:sz w:val="18"/>
          <w:lang w:val="el-GR"/>
        </w:rPr>
        <w:t>23,482</w:t>
      </w:r>
      <w:r w:rsidRPr="00D66505">
        <w:rPr>
          <w:rFonts w:ascii="Arial" w:hAnsi="Arial"/>
          <w:sz w:val="18"/>
          <w:lang w:val="el-GR"/>
        </w:rPr>
        <w:t xml:space="preserve"> ώρες εκπαίδευσης. </w:t>
      </w:r>
      <w:r w:rsidRPr="00A10357">
        <w:rPr>
          <w:rFonts w:ascii="Arial" w:hAnsi="Arial"/>
          <w:sz w:val="18"/>
          <w:lang w:val="el-GR"/>
        </w:rPr>
        <w:t>Επίσης, το Συγκρότημα συνέχισε να δίνει  έμφαση στην ευεξία του προσωπικού το 202</w:t>
      </w:r>
      <w:r>
        <w:rPr>
          <w:rFonts w:ascii="Arial" w:hAnsi="Arial"/>
          <w:sz w:val="18"/>
          <w:lang w:val="el-GR"/>
        </w:rPr>
        <w:t>4</w:t>
      </w:r>
      <w:r w:rsidRPr="00A10357">
        <w:rPr>
          <w:rFonts w:ascii="Arial" w:hAnsi="Arial"/>
          <w:sz w:val="18"/>
          <w:lang w:val="el-GR"/>
        </w:rPr>
        <w:t xml:space="preserve"> προσφέροντας σεμινάρια, ομαδικές και οικογενειακές δραστηριότητες που είχαν ως αποκλειστικό στόχο την ενίσχυση της ψυχικής, σωματικής, οικονομικής και κοινωνικής ευρωστίας του προσωπικού, στα οποία έλαβαν μέρος περίπου </w:t>
      </w:r>
      <w:r>
        <w:rPr>
          <w:rFonts w:ascii="Arial" w:hAnsi="Arial"/>
          <w:sz w:val="18"/>
          <w:lang w:val="el-GR"/>
        </w:rPr>
        <w:t xml:space="preserve">750 </w:t>
      </w:r>
      <w:r w:rsidRPr="00A10357">
        <w:rPr>
          <w:rFonts w:ascii="Arial" w:hAnsi="Arial"/>
          <w:sz w:val="18"/>
          <w:lang w:val="el-GR"/>
        </w:rPr>
        <w:t xml:space="preserve">μέλη </w:t>
      </w:r>
      <w:r w:rsidRPr="00063074">
        <w:rPr>
          <w:rFonts w:ascii="Arial" w:hAnsi="Arial"/>
          <w:sz w:val="18"/>
          <w:lang w:val="el-GR"/>
        </w:rPr>
        <w:t xml:space="preserve">του προσωπικού, μέσω του προγράμματος </w:t>
      </w:r>
      <w:r w:rsidRPr="00063074">
        <w:rPr>
          <w:rFonts w:ascii="Arial" w:hAnsi="Arial"/>
          <w:sz w:val="18"/>
          <w:lang w:val="en-US"/>
        </w:rPr>
        <w:t>Well</w:t>
      </w:r>
      <w:r w:rsidRPr="00063074">
        <w:rPr>
          <w:rFonts w:ascii="Arial" w:hAnsi="Arial"/>
          <w:sz w:val="18"/>
          <w:lang w:val="el-GR"/>
        </w:rPr>
        <w:t xml:space="preserve"> at Work.</w:t>
      </w:r>
    </w:p>
    <w:p w14:paraId="0B681666" w14:textId="77777777" w:rsidR="00F77A51" w:rsidRDefault="00F77A51" w:rsidP="00CE36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Arial" w:eastAsiaTheme="minorEastAsia" w:hAnsi="Arial" w:cs="Arial"/>
          <w:i/>
          <w:iCs/>
          <w:sz w:val="18"/>
          <w:szCs w:val="22"/>
          <w:lang w:val="el-GR"/>
        </w:rPr>
      </w:pPr>
    </w:p>
    <w:p w14:paraId="541AF486" w14:textId="77777777" w:rsidR="00F77A51" w:rsidRDefault="00F77A51" w:rsidP="00CE36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Arial" w:eastAsiaTheme="minorEastAsia" w:hAnsi="Arial" w:cs="Arial"/>
          <w:i/>
          <w:iCs/>
          <w:sz w:val="18"/>
          <w:szCs w:val="22"/>
          <w:lang w:val="el-GR"/>
        </w:rPr>
      </w:pPr>
    </w:p>
    <w:p w14:paraId="56177A36" w14:textId="77777777" w:rsidR="00F77A51" w:rsidRDefault="00F77A51" w:rsidP="00CE36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Arial" w:eastAsiaTheme="minorEastAsia" w:hAnsi="Arial" w:cs="Arial"/>
          <w:i/>
          <w:iCs/>
          <w:sz w:val="18"/>
          <w:szCs w:val="22"/>
          <w:lang w:val="el-GR"/>
        </w:rPr>
      </w:pPr>
    </w:p>
    <w:p w14:paraId="005438F1" w14:textId="77777777" w:rsidR="00F77A51" w:rsidRDefault="00F77A51" w:rsidP="00CE36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Arial" w:eastAsiaTheme="minorEastAsia" w:hAnsi="Arial" w:cs="Arial"/>
          <w:i/>
          <w:iCs/>
          <w:sz w:val="18"/>
          <w:szCs w:val="22"/>
          <w:lang w:val="el-GR"/>
        </w:rPr>
      </w:pPr>
    </w:p>
    <w:p w14:paraId="6F0628B8" w14:textId="77777777" w:rsidR="00F77A51" w:rsidRDefault="00F77A51" w:rsidP="00CE36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Arial" w:eastAsiaTheme="minorEastAsia" w:hAnsi="Arial" w:cs="Arial"/>
          <w:i/>
          <w:iCs/>
          <w:sz w:val="18"/>
          <w:szCs w:val="22"/>
          <w:lang w:val="el-GR"/>
        </w:rPr>
      </w:pPr>
    </w:p>
    <w:p w14:paraId="0B328D2F" w14:textId="77777777" w:rsidR="00F77A51" w:rsidRDefault="00F77A51" w:rsidP="00CE36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Arial" w:eastAsiaTheme="minorEastAsia" w:hAnsi="Arial" w:cs="Arial"/>
          <w:i/>
          <w:iCs/>
          <w:sz w:val="18"/>
          <w:szCs w:val="22"/>
          <w:lang w:val="el-GR"/>
        </w:rPr>
      </w:pPr>
    </w:p>
    <w:p w14:paraId="3CACE430" w14:textId="3A71758C" w:rsidR="00F77A51" w:rsidRPr="006A1797" w:rsidRDefault="00276E99" w:rsidP="00F77A51">
      <w:pPr>
        <w:spacing w:after="0" w:line="360" w:lineRule="auto"/>
        <w:rPr>
          <w:rFonts w:ascii="Arial" w:hAnsi="Arial" w:cs="Arial"/>
          <w:b/>
          <w:color w:val="FF9900"/>
          <w:sz w:val="24"/>
          <w:szCs w:val="24"/>
          <w:lang w:val="el-GR"/>
        </w:rPr>
      </w:pPr>
      <w:r>
        <w:rPr>
          <w:rFonts w:ascii="Arial" w:hAnsi="Arial" w:cs="Arial"/>
          <w:b/>
          <w:color w:val="FF9900"/>
          <w:sz w:val="24"/>
          <w:szCs w:val="24"/>
          <w:lang w:val="el-GR"/>
        </w:rPr>
        <w:t>Δ</w:t>
      </w:r>
      <w:r w:rsidR="00F77A51" w:rsidRPr="006A1797">
        <w:rPr>
          <w:rFonts w:ascii="Arial" w:hAnsi="Arial" w:cs="Arial"/>
          <w:b/>
          <w:color w:val="FF9900"/>
          <w:sz w:val="24"/>
          <w:szCs w:val="24"/>
          <w:lang w:val="el-GR"/>
        </w:rPr>
        <w:t>. Επισκόπηση επιχειρηματικής δραστηριότητας (συνέχεια)</w:t>
      </w:r>
    </w:p>
    <w:p w14:paraId="4FBAD5AF" w14:textId="77777777" w:rsidR="00F77A51" w:rsidRPr="006A1797" w:rsidRDefault="00F77A51" w:rsidP="00F77A51">
      <w:pPr>
        <w:tabs>
          <w:tab w:val="left" w:pos="709"/>
        </w:tabs>
        <w:spacing w:after="120" w:line="240" w:lineRule="auto"/>
        <w:ind w:right="57"/>
        <w:rPr>
          <w:rFonts w:ascii="Arial" w:hAnsi="Arial" w:cs="Arial"/>
          <w:b/>
          <w:i/>
          <w:color w:val="FF9900"/>
          <w:sz w:val="20"/>
          <w:lang w:val="el-GR"/>
        </w:rPr>
      </w:pPr>
      <w:r w:rsidRPr="006A1797">
        <w:rPr>
          <w:rFonts w:ascii="Arial" w:hAnsi="Arial" w:cs="Arial"/>
          <w:b/>
          <w:i/>
          <w:color w:val="FF9900"/>
          <w:sz w:val="20"/>
          <w:lang w:val="el-GR"/>
        </w:rPr>
        <w:t>Ενίσχυση οργανωτικής ανθεκτικότητας και πολιτικής για Περιβαλλοντικά, Κοινωνικά και σχετικά µε τη Διακυβέρνηση (ΠΚΔ) θέματα (</w:t>
      </w:r>
      <w:r w:rsidRPr="006A1797">
        <w:rPr>
          <w:rFonts w:ascii="Arial" w:hAnsi="Arial" w:cs="Arial"/>
          <w:b/>
          <w:i/>
          <w:color w:val="FF9900"/>
          <w:sz w:val="20"/>
        </w:rPr>
        <w:t>Environmental</w:t>
      </w:r>
      <w:r w:rsidRPr="006A1797">
        <w:rPr>
          <w:rFonts w:ascii="Arial" w:hAnsi="Arial" w:cs="Arial"/>
          <w:b/>
          <w:i/>
          <w:color w:val="FF9900"/>
          <w:sz w:val="20"/>
          <w:lang w:val="el-GR"/>
        </w:rPr>
        <w:t xml:space="preserve">, </w:t>
      </w:r>
      <w:r w:rsidRPr="006A1797">
        <w:rPr>
          <w:rFonts w:ascii="Arial" w:hAnsi="Arial" w:cs="Arial"/>
          <w:b/>
          <w:i/>
          <w:color w:val="FF9900"/>
          <w:sz w:val="20"/>
        </w:rPr>
        <w:t>Social</w:t>
      </w:r>
      <w:r w:rsidRPr="006A1797">
        <w:rPr>
          <w:rFonts w:ascii="Arial" w:hAnsi="Arial" w:cs="Arial"/>
          <w:b/>
          <w:i/>
          <w:color w:val="FF9900"/>
          <w:sz w:val="20"/>
          <w:lang w:val="el-GR"/>
        </w:rPr>
        <w:t xml:space="preserve"> </w:t>
      </w:r>
      <w:r w:rsidRPr="006A1797">
        <w:rPr>
          <w:rFonts w:ascii="Arial" w:hAnsi="Arial" w:cs="Arial"/>
          <w:b/>
          <w:i/>
          <w:color w:val="FF9900"/>
          <w:sz w:val="20"/>
        </w:rPr>
        <w:t>and</w:t>
      </w:r>
      <w:r w:rsidRPr="006A1797">
        <w:rPr>
          <w:rFonts w:ascii="Arial" w:hAnsi="Arial" w:cs="Arial"/>
          <w:b/>
          <w:i/>
          <w:color w:val="FF9900"/>
          <w:sz w:val="20"/>
          <w:lang w:val="el-GR"/>
        </w:rPr>
        <w:t xml:space="preserve"> </w:t>
      </w:r>
      <w:r w:rsidRPr="006A1797">
        <w:rPr>
          <w:rFonts w:ascii="Arial" w:hAnsi="Arial" w:cs="Arial"/>
          <w:b/>
          <w:i/>
          <w:color w:val="FF9900"/>
          <w:sz w:val="20"/>
        </w:rPr>
        <w:t>Governance</w:t>
      </w:r>
      <w:r w:rsidRPr="006A1797">
        <w:rPr>
          <w:rFonts w:ascii="Arial" w:hAnsi="Arial" w:cs="Arial"/>
          <w:b/>
          <w:i/>
          <w:color w:val="FF9900"/>
          <w:sz w:val="20"/>
          <w:lang w:val="el-GR"/>
        </w:rPr>
        <w:t xml:space="preserve">, </w:t>
      </w:r>
      <w:r w:rsidRPr="006A1797">
        <w:rPr>
          <w:rFonts w:ascii="Arial" w:hAnsi="Arial" w:cs="Arial"/>
          <w:b/>
          <w:i/>
          <w:color w:val="FF9900"/>
          <w:sz w:val="20"/>
        </w:rPr>
        <w:t>ESG</w:t>
      </w:r>
      <w:r w:rsidRPr="006A1797">
        <w:rPr>
          <w:rFonts w:ascii="Arial" w:hAnsi="Arial" w:cs="Arial"/>
          <w:b/>
          <w:i/>
          <w:color w:val="FF9900"/>
          <w:sz w:val="20"/>
          <w:lang w:val="el-GR"/>
        </w:rPr>
        <w:t xml:space="preserve">) </w:t>
      </w:r>
      <w:r w:rsidRPr="006A1797">
        <w:rPr>
          <w:rFonts w:ascii="Arial" w:hAnsi="Arial" w:cs="Arial"/>
          <w:bCs/>
          <w:i/>
          <w:color w:val="FF9900"/>
          <w:sz w:val="20"/>
          <w:lang w:val="el-GR"/>
        </w:rPr>
        <w:t>(συνέχεια)</w:t>
      </w:r>
    </w:p>
    <w:p w14:paraId="4D178ABD" w14:textId="2D5EF049" w:rsidR="00CE36EC" w:rsidRPr="006A1797" w:rsidRDefault="00CE36EC" w:rsidP="00CE36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Arial" w:eastAsiaTheme="minorEastAsia" w:hAnsi="Arial" w:cs="Arial"/>
          <w:i/>
          <w:iCs/>
          <w:sz w:val="18"/>
          <w:szCs w:val="22"/>
          <w:lang w:val="el-GR"/>
        </w:rPr>
      </w:pPr>
      <w:r w:rsidRPr="006A1797">
        <w:rPr>
          <w:rFonts w:ascii="Arial" w:eastAsiaTheme="minorEastAsia" w:hAnsi="Arial" w:cs="Arial"/>
          <w:i/>
          <w:iCs/>
          <w:sz w:val="18"/>
          <w:szCs w:val="22"/>
          <w:lang w:val="el-GR"/>
        </w:rPr>
        <w:t xml:space="preserve">Διακυβέρνηση </w:t>
      </w:r>
    </w:p>
    <w:p w14:paraId="202665EA" w14:textId="77777777" w:rsidR="00262407" w:rsidRPr="006A1797" w:rsidRDefault="00262407" w:rsidP="0026240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Arial" w:eastAsiaTheme="minorEastAsia" w:hAnsi="Arial" w:cstheme="minorBidi"/>
          <w:sz w:val="18"/>
          <w:szCs w:val="22"/>
          <w:lang w:val="el-GR"/>
        </w:rPr>
      </w:pPr>
      <w:r w:rsidRPr="00727D92">
        <w:rPr>
          <w:rFonts w:ascii="Arial" w:eastAsiaTheme="minorEastAsia" w:hAnsi="Arial" w:cstheme="minorBidi"/>
          <w:sz w:val="18"/>
          <w:szCs w:val="22"/>
          <w:lang w:val="el-GR"/>
        </w:rPr>
        <w:t>Το Συγκρότημα συνεχίζει να λειτουργεί με επιτυχία μέσα σε ένα περίπλοκο ρυθμιστικό πλαίσιο. Η μητρική εταιρία είναι εγγεγραμμένη στην Ιρλανδία και εισηγμένη σε δύο Χρηματιστήρια με διαφορετικούς κανόνες και κανονισμούς. Οι δομές διακυβέρνησης και διοίκησης του Συγκροτήματος επιτρέπουν την επίτευξη τρέχουσας και μελλοντικής οικονομικής ανάπτυξης, περιβαλλοντικής ακεραιότητας και κοινωνικής ισότητας σε όλο το εύρος των δραστηριοτήτων της. Το Συγκρότημα λειτουργεί σε ένα πλαίσιο ελεγκτικών μηχανισμών που επιτρέπουν την αξιολόγηση και τη διαχείριση κινδύνων με βάση τις σχετικές πολιτικές που καθορίζει η ηγεσία του Διοικητικού Συμβουλίου. Το Συγκρότημα έχει δημιουργήσει μια Δομή Διακυβέρνησης για την παρακολούθηση της ΠΚΔ ατζέντας του.</w:t>
      </w:r>
      <w:r>
        <w:rPr>
          <w:rFonts w:ascii="Arial" w:hAnsi="Arial" w:cs="Arial"/>
          <w:b/>
          <w:color w:val="FF9900"/>
          <w:sz w:val="24"/>
          <w:szCs w:val="24"/>
          <w:lang w:val="el-GR"/>
        </w:rPr>
        <w:t xml:space="preserve"> </w:t>
      </w:r>
      <w:r w:rsidRPr="00727D92">
        <w:rPr>
          <w:rFonts w:ascii="Arial" w:eastAsiaTheme="minorEastAsia" w:hAnsi="Arial" w:cstheme="minorBidi"/>
          <w:sz w:val="18"/>
          <w:szCs w:val="22"/>
          <w:lang w:val="el-GR"/>
        </w:rPr>
        <w:t xml:space="preserve">Η πρόοδος στην εφαρμογή και εξέλιξη της στρατηγικής ΠΚΔ του Συγκροτήματος παρακολουθείται από την Επιτροπή Βιωσιμότητας και το Διοικητικό Συμβούλιο. Η Επιτροπή Βιωσιμότητας είναι μια ειδική εκτελεστική επιτροπή που συστάθηκε στις αρχές του 2021 για να επιβλέπει την ΠΚΔ ατζέντα του Συγκροτήματος, να επανεξετάζει την πρόοδο της στρατηγικής ΠΚΔ του Συγκροτήματος, να παρακολουθεί την ανάπτυξη και την εφαρμογή των στόχων ΠΚΔ και την ενσωμάτωση των προτεραιοτήτων ΠΚΔ στους επιχειρηματικούς στόχους του Συγκροτήματος. Η δομή διακυβέρνησης ΠΚΔ του Συγκροτήματος συνεχίζει να εξελίσσεται για να μπορεί να ανταποκρίνεται στις ανάγκες ΠΚΔ όπως αυτές διαμορφώνονται. Η κανονιστική συμμόρφωση του Συγκροτήματος εξακολουθεί να αποτελεί αδιαμφισβήτητη προτεραιότητα. </w:t>
      </w:r>
    </w:p>
    <w:p w14:paraId="088F1673" w14:textId="77777777" w:rsidR="00262407" w:rsidRPr="006A1797" w:rsidRDefault="00262407" w:rsidP="0026240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Arial" w:eastAsiaTheme="minorEastAsia" w:hAnsi="Arial" w:cstheme="minorBidi"/>
          <w:sz w:val="18"/>
          <w:szCs w:val="22"/>
          <w:lang w:val="el-GR"/>
        </w:rPr>
      </w:pPr>
    </w:p>
    <w:p w14:paraId="62DB116E" w14:textId="3E3C8A5A" w:rsidR="00262407" w:rsidRPr="006A1797" w:rsidRDefault="00262407" w:rsidP="006A179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Arial" w:eastAsiaTheme="minorEastAsia" w:hAnsi="Arial" w:cstheme="minorBidi"/>
          <w:sz w:val="18"/>
          <w:szCs w:val="22"/>
          <w:highlight w:val="yellow"/>
          <w:lang w:val="el-GR"/>
        </w:rPr>
      </w:pPr>
      <w:r>
        <w:rPr>
          <w:rFonts w:ascii="Arial" w:eastAsiaTheme="minorEastAsia" w:hAnsi="Arial" w:cstheme="minorBidi"/>
          <w:sz w:val="18"/>
          <w:szCs w:val="22"/>
          <w:lang w:val="el-GR"/>
        </w:rPr>
        <w:t>Ο</w:t>
      </w:r>
      <w:r w:rsidRPr="00F81466">
        <w:rPr>
          <w:rFonts w:ascii="Arial" w:eastAsiaTheme="minorEastAsia" w:hAnsi="Arial" w:cstheme="minorBidi"/>
          <w:sz w:val="18"/>
          <w:szCs w:val="22"/>
          <w:lang w:val="el-GR"/>
        </w:rPr>
        <w:t xml:space="preserve"> στόχος του Συγκροτήματος να επιτύχει τουλάχιστον 30% εκπροσώπηση των γυναικών στα Ανώτερα Διευθυντικά επίπεδα (Εκτελεστική Επιτροπή (EXCO) και Διευρυμένη Εκτελεστική Επιτροπή (Extended EXCO)) μέχρι το 2030 έχει επιτευχθεί νωρίτερα, με 33% εκπροσώπηση στις 31 </w:t>
      </w:r>
      <w:r>
        <w:rPr>
          <w:rFonts w:ascii="Arial" w:eastAsiaTheme="minorEastAsia" w:hAnsi="Arial" w:cstheme="minorBidi"/>
          <w:sz w:val="18"/>
          <w:szCs w:val="22"/>
          <w:lang w:val="el-GR"/>
        </w:rPr>
        <w:t xml:space="preserve">Δεκεμβρίου </w:t>
      </w:r>
      <w:r w:rsidRPr="00F81466">
        <w:rPr>
          <w:rFonts w:ascii="Arial" w:eastAsiaTheme="minorEastAsia" w:hAnsi="Arial" w:cstheme="minorBidi"/>
          <w:sz w:val="18"/>
          <w:szCs w:val="22"/>
          <w:lang w:val="el-GR"/>
        </w:rPr>
        <w:t>202</w:t>
      </w:r>
      <w:r>
        <w:rPr>
          <w:rFonts w:ascii="Arial" w:eastAsiaTheme="minorEastAsia" w:hAnsi="Arial" w:cstheme="minorBidi"/>
          <w:sz w:val="18"/>
          <w:szCs w:val="22"/>
          <w:lang w:val="el-GR"/>
        </w:rPr>
        <w:t xml:space="preserve">3. Η </w:t>
      </w:r>
      <w:r w:rsidRPr="00F81466">
        <w:rPr>
          <w:rFonts w:ascii="Arial" w:eastAsiaTheme="minorEastAsia" w:hAnsi="Arial" w:cstheme="minorBidi"/>
          <w:sz w:val="18"/>
          <w:szCs w:val="22"/>
          <w:lang w:val="el-GR"/>
        </w:rPr>
        <w:t>εκπροσώπηση των γυναικών στα Ανώτερα Διευθυντικά επίπεδα</w:t>
      </w:r>
      <w:r w:rsidDel="00251576">
        <w:rPr>
          <w:rFonts w:ascii="Arial" w:eastAsiaTheme="minorEastAsia" w:hAnsi="Arial" w:cstheme="minorBidi"/>
          <w:sz w:val="18"/>
          <w:szCs w:val="22"/>
          <w:lang w:val="el-GR"/>
        </w:rPr>
        <w:t xml:space="preserve"> </w:t>
      </w:r>
      <w:r>
        <w:rPr>
          <w:rFonts w:ascii="Arial" w:eastAsiaTheme="minorEastAsia" w:hAnsi="Arial" w:cstheme="minorBidi"/>
          <w:sz w:val="18"/>
          <w:szCs w:val="22"/>
          <w:lang w:val="el-GR"/>
        </w:rPr>
        <w:t>συνεχίζει να είναι στο 33% μέχρι τις 30 Ιουνίου 2024. Κατά την διάρκεια της μεταβατικής φάσης της σύνθεσης του Διοικητικού συμβουλίου στο α</w:t>
      </w:r>
      <w:r w:rsidR="003C4252">
        <w:rPr>
          <w:rFonts w:ascii="Arial" w:eastAsiaTheme="minorEastAsia" w:hAnsi="Arial" w:cstheme="minorBidi"/>
          <w:sz w:val="18"/>
          <w:szCs w:val="22"/>
          <w:lang w:val="el-GR"/>
        </w:rPr>
        <w:t>’</w:t>
      </w:r>
      <w:r>
        <w:rPr>
          <w:rFonts w:ascii="Arial" w:eastAsiaTheme="minorEastAsia" w:hAnsi="Arial" w:cstheme="minorBidi"/>
          <w:sz w:val="18"/>
          <w:szCs w:val="22"/>
          <w:lang w:val="el-GR"/>
        </w:rPr>
        <w:t xml:space="preserve"> εξάμηνο του 2024, διορίστηκαν δύο άνδρες με μεγάλη εμπειρία στους τομείς ΠΚΔ και τεχνολογίας, με αποτέλεσμα η γυναικεία εκπροσώπηση να είναι στο 37.50% στις 30 Ιουνίου 2024. Το Συγκρότημα βρίσκεται στην διαδικασία να διορίσει δύο νέα μέλη στο Διοικητικό συμβουλίου που θα έχει ως αποτέλεσμα 42% γυναικεία εκπροσώπηση στο Διοικητικό συμβουλίου.</w:t>
      </w:r>
    </w:p>
    <w:p w14:paraId="13F4F484" w14:textId="77777777" w:rsidR="00D14D65" w:rsidRPr="006B5511" w:rsidRDefault="00D14D65" w:rsidP="00D14D65">
      <w:pPr>
        <w:spacing w:after="0" w:line="360" w:lineRule="auto"/>
        <w:jc w:val="both"/>
        <w:rPr>
          <w:rFonts w:ascii="Arial" w:hAnsi="Arial" w:cs="Arial"/>
          <w:b/>
          <w:color w:val="FF9900"/>
          <w:highlight w:val="yellow"/>
          <w:lang w:val="el-GR"/>
        </w:rPr>
      </w:pPr>
    </w:p>
    <w:p w14:paraId="2EC36391" w14:textId="698E91A1" w:rsidR="00E6624C" w:rsidRPr="00211AC5" w:rsidRDefault="00B37CA8" w:rsidP="00580370">
      <w:pPr>
        <w:rPr>
          <w:rFonts w:ascii="Arial" w:hAnsi="Arial"/>
          <w:sz w:val="18"/>
          <w:highlight w:val="yellow"/>
          <w:lang w:val="el-GR"/>
        </w:rPr>
      </w:pPr>
      <w:r w:rsidRPr="006B5511">
        <w:rPr>
          <w:rFonts w:ascii="Arial" w:hAnsi="Arial"/>
          <w:sz w:val="18"/>
          <w:highlight w:val="yellow"/>
          <w:lang w:val="el-GR"/>
        </w:rPr>
        <w:br w:type="page"/>
      </w:r>
      <w:r w:rsidR="0043491F">
        <w:rPr>
          <w:rFonts w:ascii="Arial" w:hAnsi="Arial" w:cs="Arial"/>
          <w:b/>
          <w:color w:val="FF9900"/>
          <w:sz w:val="24"/>
          <w:szCs w:val="24"/>
          <w:lang w:val="en-US"/>
        </w:rPr>
        <w:lastRenderedPageBreak/>
        <w:t>E</w:t>
      </w:r>
      <w:r w:rsidR="00872227" w:rsidRPr="006A1797">
        <w:rPr>
          <w:rFonts w:ascii="Arial" w:hAnsi="Arial" w:cs="Arial"/>
          <w:b/>
          <w:color w:val="FF9900"/>
          <w:sz w:val="24"/>
          <w:szCs w:val="24"/>
          <w:lang w:val="el-GR"/>
        </w:rPr>
        <w:t>. Στρατηγική και Προοπτικές</w:t>
      </w:r>
    </w:p>
    <w:p w14:paraId="6A50D958" w14:textId="240620A2" w:rsidR="00E6624C" w:rsidRPr="006A1797" w:rsidRDefault="00E6624C" w:rsidP="004953BA">
      <w:pPr>
        <w:spacing w:after="0" w:line="240" w:lineRule="auto"/>
        <w:jc w:val="both"/>
        <w:rPr>
          <w:rFonts w:ascii="Arial" w:hAnsi="Arial" w:cs="Arial"/>
          <w:sz w:val="18"/>
          <w:lang w:val="el-GR"/>
        </w:rPr>
      </w:pPr>
      <w:r w:rsidRPr="006A1797">
        <w:rPr>
          <w:rFonts w:ascii="Arial" w:hAnsi="Arial" w:cs="Arial"/>
          <w:sz w:val="18"/>
          <w:lang w:val="el-GR"/>
        </w:rPr>
        <w:t>Το όραμα του Συγκροτήματος είναι να δημιουργήσει συνεργασί</w:t>
      </w:r>
      <w:r w:rsidR="004B332E" w:rsidRPr="006A1797">
        <w:rPr>
          <w:rFonts w:ascii="Arial" w:hAnsi="Arial" w:cs="Arial"/>
          <w:sz w:val="18"/>
          <w:lang w:val="el-GR"/>
        </w:rPr>
        <w:t>ε</w:t>
      </w:r>
      <w:r w:rsidRPr="006A1797">
        <w:rPr>
          <w:rFonts w:ascii="Arial" w:hAnsi="Arial" w:cs="Arial"/>
          <w:sz w:val="18"/>
          <w:lang w:val="el-GR"/>
        </w:rPr>
        <w:t xml:space="preserve">ς δια βίου με τους πελάτες του, καθοδηγώντας και στηρίζοντας τους σε μια </w:t>
      </w:r>
      <w:r w:rsidR="00872F1B" w:rsidRPr="006A1797">
        <w:rPr>
          <w:rFonts w:ascii="Arial" w:hAnsi="Arial" w:cs="Arial"/>
          <w:sz w:val="18"/>
          <w:lang w:val="el-GR"/>
        </w:rPr>
        <w:t xml:space="preserve">εξελισσόμενη </w:t>
      </w:r>
      <w:r w:rsidRPr="006A1797">
        <w:rPr>
          <w:rFonts w:ascii="Arial" w:hAnsi="Arial" w:cs="Arial"/>
          <w:sz w:val="18"/>
          <w:lang w:val="el-GR"/>
        </w:rPr>
        <w:t xml:space="preserve">παγκόσμια οικονομία. </w:t>
      </w:r>
    </w:p>
    <w:p w14:paraId="629AD1E0" w14:textId="77777777" w:rsidR="00E6624C" w:rsidRPr="00211AC5" w:rsidRDefault="00E6624C" w:rsidP="004953BA">
      <w:pPr>
        <w:spacing w:after="0" w:line="240" w:lineRule="auto"/>
        <w:jc w:val="both"/>
        <w:rPr>
          <w:rFonts w:ascii="Arial" w:hAnsi="Arial" w:cs="Arial"/>
          <w:sz w:val="12"/>
          <w:szCs w:val="12"/>
          <w:highlight w:val="yellow"/>
          <w:lang w:val="el-GR"/>
        </w:rPr>
      </w:pPr>
    </w:p>
    <w:p w14:paraId="77DBFE34" w14:textId="1E2DAE3B" w:rsidR="00DD2BC3" w:rsidRPr="006A1797" w:rsidRDefault="00DD2BC3" w:rsidP="00711D11">
      <w:pPr>
        <w:pStyle w:val="Footer"/>
        <w:tabs>
          <w:tab w:val="clear" w:pos="4153"/>
          <w:tab w:val="clear" w:pos="8306"/>
          <w:tab w:val="left" w:pos="540"/>
        </w:tabs>
        <w:ind w:right="57"/>
        <w:jc w:val="both"/>
        <w:rPr>
          <w:rFonts w:ascii="Arial" w:hAnsi="Arial" w:cs="Arial"/>
          <w:bCs/>
          <w:sz w:val="18"/>
          <w:szCs w:val="18"/>
          <w:lang w:val="el-GR"/>
        </w:rPr>
      </w:pPr>
      <w:r w:rsidRPr="006A1797">
        <w:rPr>
          <w:rFonts w:ascii="Arial" w:hAnsi="Arial" w:cs="Arial"/>
          <w:bCs/>
          <w:sz w:val="18"/>
          <w:szCs w:val="18"/>
          <w:lang w:val="el-GR"/>
        </w:rPr>
        <w:t xml:space="preserve">Οι βασικοί πυλώνες της στρατηγικής του Συγκροτήματος </w:t>
      </w:r>
      <w:r w:rsidR="00684E69" w:rsidRPr="006A1797">
        <w:rPr>
          <w:rFonts w:ascii="Arial" w:hAnsi="Arial" w:cs="Arial"/>
          <w:bCs/>
          <w:sz w:val="18"/>
          <w:szCs w:val="18"/>
          <w:lang w:val="el-GR"/>
        </w:rPr>
        <w:t>παραμένουν οι πιο κάτω</w:t>
      </w:r>
      <w:r w:rsidRPr="006A1797">
        <w:rPr>
          <w:rFonts w:ascii="Arial" w:hAnsi="Arial" w:cs="Arial"/>
          <w:bCs/>
          <w:sz w:val="18"/>
          <w:szCs w:val="18"/>
          <w:lang w:val="el-GR"/>
        </w:rPr>
        <w:t>:</w:t>
      </w:r>
    </w:p>
    <w:p w14:paraId="0D37B78B" w14:textId="0FA28253" w:rsidR="00DD2BC3" w:rsidRPr="006A1797" w:rsidRDefault="00DD2BC3" w:rsidP="0099729D">
      <w:pPr>
        <w:pStyle w:val="Footer"/>
        <w:numPr>
          <w:ilvl w:val="0"/>
          <w:numId w:val="6"/>
        </w:numPr>
        <w:tabs>
          <w:tab w:val="clear" w:pos="4153"/>
          <w:tab w:val="clear" w:pos="8306"/>
          <w:tab w:val="left" w:pos="709"/>
        </w:tabs>
        <w:ind w:left="567" w:right="57" w:hanging="147"/>
        <w:jc w:val="both"/>
        <w:rPr>
          <w:rFonts w:ascii="Arial" w:hAnsi="Arial" w:cs="Arial"/>
          <w:b/>
          <w:bCs/>
          <w:sz w:val="18"/>
          <w:szCs w:val="18"/>
          <w:lang w:val="el-GR"/>
        </w:rPr>
      </w:pPr>
      <w:r w:rsidRPr="006A1797">
        <w:rPr>
          <w:rFonts w:ascii="Arial" w:hAnsi="Arial" w:cs="Arial"/>
          <w:b/>
          <w:bCs/>
          <w:sz w:val="18"/>
          <w:szCs w:val="18"/>
          <w:lang w:val="el-GR"/>
        </w:rPr>
        <w:t>Ενίσχυση εσόδων με βέλτιστη διαχείριση κεφαλαίων</w:t>
      </w:r>
      <w:r w:rsidRPr="006A1797">
        <w:rPr>
          <w:rFonts w:ascii="Arial" w:hAnsi="Arial" w:cs="Arial"/>
          <w:sz w:val="18"/>
          <w:szCs w:val="18"/>
          <w:lang w:val="el-GR"/>
        </w:rPr>
        <w:t xml:space="preserve">, μέσω δημιουργίας εσόδων από αύξηση </w:t>
      </w:r>
      <w:r w:rsidR="009E3516" w:rsidRPr="006A1797">
        <w:rPr>
          <w:rFonts w:ascii="Arial" w:hAnsi="Arial" w:cs="Arial"/>
          <w:sz w:val="18"/>
          <w:szCs w:val="18"/>
          <w:lang w:val="el-GR"/>
        </w:rPr>
        <w:t>ποιοτικού</w:t>
      </w:r>
      <w:r w:rsidR="008D3F28" w:rsidRPr="006A1797">
        <w:rPr>
          <w:rFonts w:ascii="Arial" w:hAnsi="Arial" w:cs="Arial"/>
          <w:sz w:val="18"/>
          <w:szCs w:val="18"/>
          <w:lang w:val="el-GR"/>
        </w:rPr>
        <w:t xml:space="preserve"> νέου</w:t>
      </w:r>
      <w:r w:rsidR="009E3516" w:rsidRPr="006A1797">
        <w:rPr>
          <w:rFonts w:ascii="Arial" w:hAnsi="Arial" w:cs="Arial"/>
          <w:sz w:val="18"/>
          <w:szCs w:val="18"/>
          <w:lang w:val="el-GR"/>
        </w:rPr>
        <w:t xml:space="preserve"> δανεισμού,</w:t>
      </w:r>
      <w:r w:rsidRPr="006A1797">
        <w:rPr>
          <w:rFonts w:ascii="Arial" w:hAnsi="Arial" w:cs="Arial"/>
          <w:sz w:val="18"/>
          <w:szCs w:val="18"/>
          <w:lang w:val="el-GR"/>
        </w:rPr>
        <w:t xml:space="preserve"> </w:t>
      </w:r>
      <w:r w:rsidR="009E3516" w:rsidRPr="006A1797">
        <w:rPr>
          <w:rFonts w:ascii="Arial" w:hAnsi="Arial" w:cs="Arial"/>
          <w:sz w:val="18"/>
          <w:szCs w:val="18"/>
          <w:lang w:val="el-GR"/>
        </w:rPr>
        <w:t xml:space="preserve">διαφοροποίηση σε </w:t>
      </w:r>
      <w:r w:rsidRPr="006A1797">
        <w:rPr>
          <w:rFonts w:ascii="Arial" w:hAnsi="Arial" w:cs="Arial"/>
          <w:sz w:val="18"/>
          <w:szCs w:val="18"/>
          <w:lang w:val="el-GR"/>
        </w:rPr>
        <w:t>τραπεζικές και χρηματοοικονομικές δραστηριότητες με χαμηλότερες απαιτήσεις κεφαλαίου (όπως Ασφαλιστικού κλάδου και Ψηφιακής Οικονομίας)</w:t>
      </w:r>
      <w:r w:rsidR="009E3516" w:rsidRPr="006A1797">
        <w:rPr>
          <w:rFonts w:ascii="Arial" w:hAnsi="Arial" w:cs="Arial"/>
          <w:sz w:val="18"/>
          <w:szCs w:val="18"/>
          <w:lang w:val="el-GR"/>
        </w:rPr>
        <w:t xml:space="preserve"> και συνετή διαχείριση της ρευστότητας του Συγκροτήματος</w:t>
      </w:r>
    </w:p>
    <w:p w14:paraId="463435B6" w14:textId="41A18F6C" w:rsidR="0023397F" w:rsidRPr="006A1797" w:rsidRDefault="009E3516" w:rsidP="00A21CB9">
      <w:pPr>
        <w:pStyle w:val="Footer"/>
        <w:numPr>
          <w:ilvl w:val="0"/>
          <w:numId w:val="6"/>
        </w:numPr>
        <w:tabs>
          <w:tab w:val="clear" w:pos="4153"/>
          <w:tab w:val="clear" w:pos="8306"/>
          <w:tab w:val="left" w:pos="709"/>
        </w:tabs>
        <w:ind w:left="567" w:right="57" w:hanging="147"/>
        <w:jc w:val="both"/>
        <w:rPr>
          <w:rFonts w:ascii="Arial" w:hAnsi="Arial" w:cs="Arial"/>
          <w:sz w:val="18"/>
          <w:szCs w:val="18"/>
          <w:lang w:val="el-GR"/>
        </w:rPr>
      </w:pPr>
      <w:r w:rsidRPr="006A1797">
        <w:rPr>
          <w:rFonts w:ascii="Arial" w:hAnsi="Arial" w:cs="Arial"/>
          <w:b/>
          <w:bCs/>
          <w:sz w:val="18"/>
          <w:szCs w:val="18"/>
          <w:lang w:val="el-GR"/>
        </w:rPr>
        <w:t>Επίτευξη</w:t>
      </w:r>
      <w:r w:rsidR="00DD2BC3" w:rsidRPr="006A1797">
        <w:rPr>
          <w:rFonts w:ascii="Arial" w:hAnsi="Arial" w:cs="Arial"/>
          <w:sz w:val="18"/>
          <w:szCs w:val="18"/>
          <w:lang w:val="el-GR"/>
        </w:rPr>
        <w:t xml:space="preserve"> </w:t>
      </w:r>
      <w:r w:rsidR="00DD2BC3" w:rsidRPr="006A1797">
        <w:rPr>
          <w:rFonts w:ascii="Arial" w:hAnsi="Arial" w:cs="Arial"/>
          <w:b/>
          <w:bCs/>
          <w:sz w:val="18"/>
          <w:szCs w:val="18"/>
          <w:lang w:val="el-GR"/>
        </w:rPr>
        <w:t>ορθολογιστικού μοντέλου λειτουργίας</w:t>
      </w:r>
      <w:r w:rsidR="00DD2BC3" w:rsidRPr="006A1797">
        <w:rPr>
          <w:rFonts w:ascii="Arial" w:hAnsi="Arial" w:cs="Arial"/>
          <w:sz w:val="18"/>
          <w:szCs w:val="18"/>
          <w:lang w:val="el-GR"/>
        </w:rPr>
        <w:t xml:space="preserve">, </w:t>
      </w:r>
      <w:r w:rsidRPr="006A1797">
        <w:rPr>
          <w:rFonts w:ascii="Arial" w:hAnsi="Arial" w:cs="Arial"/>
          <w:sz w:val="18"/>
          <w:szCs w:val="18"/>
          <w:lang w:val="el-GR"/>
        </w:rPr>
        <w:t>με συνεχής</w:t>
      </w:r>
      <w:r w:rsidR="00516EDD" w:rsidRPr="006A1797">
        <w:rPr>
          <w:rFonts w:ascii="Arial" w:hAnsi="Arial" w:cs="Arial"/>
          <w:sz w:val="18"/>
          <w:szCs w:val="18"/>
          <w:lang w:val="el-GR"/>
        </w:rPr>
        <w:t xml:space="preserve"> επικέντρωση στην αποδοτικότητα μέσω των αυτοματοποιήσεων</w:t>
      </w:r>
      <w:r w:rsidRPr="006A1797">
        <w:rPr>
          <w:rFonts w:ascii="Arial" w:hAnsi="Arial" w:cs="Arial"/>
          <w:sz w:val="18"/>
          <w:szCs w:val="18"/>
          <w:lang w:val="el-GR"/>
        </w:rPr>
        <w:t xml:space="preserve"> </w:t>
      </w:r>
      <w:r w:rsidR="00DD2BC3" w:rsidRPr="006A1797">
        <w:rPr>
          <w:rFonts w:ascii="Arial" w:hAnsi="Arial" w:cs="Arial"/>
          <w:sz w:val="18"/>
          <w:szCs w:val="18"/>
          <w:lang w:val="el-GR"/>
        </w:rPr>
        <w:t>που στηρίζ</w:t>
      </w:r>
      <w:r w:rsidR="0023397F" w:rsidRPr="006A1797">
        <w:rPr>
          <w:rFonts w:ascii="Arial" w:hAnsi="Arial" w:cs="Arial"/>
          <w:sz w:val="18"/>
          <w:szCs w:val="18"/>
          <w:lang w:val="el-GR"/>
        </w:rPr>
        <w:t xml:space="preserve">ονται </w:t>
      </w:r>
      <w:r w:rsidR="00DD2BC3" w:rsidRPr="006A1797">
        <w:rPr>
          <w:rFonts w:ascii="Arial" w:hAnsi="Arial" w:cs="Arial"/>
          <w:sz w:val="18"/>
          <w:szCs w:val="18"/>
          <w:lang w:val="el-GR"/>
        </w:rPr>
        <w:t xml:space="preserve">στον ψηφιακό μετασχηματισμό </w:t>
      </w:r>
    </w:p>
    <w:p w14:paraId="7B2D08AC" w14:textId="2C6A2835" w:rsidR="00DD2BC3" w:rsidRPr="006A1797" w:rsidRDefault="0023397F" w:rsidP="00A21CB9">
      <w:pPr>
        <w:pStyle w:val="Footer"/>
        <w:numPr>
          <w:ilvl w:val="0"/>
          <w:numId w:val="6"/>
        </w:numPr>
        <w:tabs>
          <w:tab w:val="clear" w:pos="4153"/>
          <w:tab w:val="clear" w:pos="8306"/>
          <w:tab w:val="left" w:pos="709"/>
        </w:tabs>
        <w:ind w:left="567" w:right="57" w:hanging="147"/>
        <w:jc w:val="both"/>
        <w:rPr>
          <w:rFonts w:ascii="Arial" w:hAnsi="Arial" w:cs="Arial"/>
          <w:sz w:val="18"/>
          <w:szCs w:val="18"/>
          <w:lang w:val="el-GR"/>
        </w:rPr>
      </w:pPr>
      <w:r w:rsidRPr="006A1797">
        <w:rPr>
          <w:rFonts w:ascii="Arial" w:hAnsi="Arial" w:cs="Arial"/>
          <w:b/>
          <w:bCs/>
          <w:sz w:val="18"/>
          <w:szCs w:val="18"/>
          <w:lang w:val="el-GR"/>
        </w:rPr>
        <w:t>Διατήρηση της ισχυρής ποιότητας δανειακού χαρτοφυλακίου</w:t>
      </w:r>
      <w:r w:rsidR="00DD2BC3" w:rsidRPr="006A1797">
        <w:rPr>
          <w:rFonts w:ascii="Arial" w:hAnsi="Arial" w:cs="Arial"/>
          <w:b/>
          <w:bCs/>
          <w:sz w:val="18"/>
          <w:szCs w:val="18"/>
          <w:lang w:val="el-GR"/>
        </w:rPr>
        <w:t xml:space="preserve">, </w:t>
      </w:r>
      <w:r w:rsidR="00DD2BC3" w:rsidRPr="006A1797">
        <w:rPr>
          <w:rFonts w:ascii="Arial" w:hAnsi="Arial" w:cs="Arial"/>
          <w:sz w:val="18"/>
          <w:szCs w:val="18"/>
          <w:lang w:val="el-GR"/>
        </w:rPr>
        <w:t>μέσω διατήρησης ποιοτικού νέου δανεισμού</w:t>
      </w:r>
      <w:r w:rsidRPr="006A1797">
        <w:rPr>
          <w:rFonts w:ascii="Arial" w:hAnsi="Arial" w:cs="Arial"/>
          <w:sz w:val="18"/>
          <w:szCs w:val="18"/>
          <w:lang w:val="el-GR"/>
        </w:rPr>
        <w:t xml:space="preserve"> μέσω αυστηρών πρακτικών</w:t>
      </w:r>
      <w:r w:rsidR="00DD2BC3" w:rsidRPr="006A1797">
        <w:rPr>
          <w:rFonts w:ascii="Arial" w:hAnsi="Arial" w:cs="Arial"/>
          <w:sz w:val="18"/>
          <w:szCs w:val="18"/>
          <w:lang w:val="el-GR"/>
        </w:rPr>
        <w:t xml:space="preserve">, </w:t>
      </w:r>
      <w:r w:rsidR="005A1491" w:rsidRPr="006A1797">
        <w:rPr>
          <w:rFonts w:ascii="Arial" w:hAnsi="Arial" w:cs="Arial"/>
          <w:sz w:val="18"/>
          <w:szCs w:val="18"/>
          <w:lang w:val="el-GR"/>
        </w:rPr>
        <w:t xml:space="preserve">της </w:t>
      </w:r>
      <w:r w:rsidR="00516299" w:rsidRPr="006A1797">
        <w:rPr>
          <w:rFonts w:ascii="Arial" w:hAnsi="Arial" w:cs="Arial"/>
          <w:sz w:val="18"/>
          <w:szCs w:val="18"/>
          <w:lang w:val="el-GR"/>
        </w:rPr>
        <w:t>μείωσης</w:t>
      </w:r>
      <w:r w:rsidR="005A1491" w:rsidRPr="006A1797">
        <w:rPr>
          <w:rFonts w:ascii="Arial" w:hAnsi="Arial" w:cs="Arial"/>
          <w:sz w:val="18"/>
          <w:szCs w:val="18"/>
          <w:lang w:val="el-GR"/>
        </w:rPr>
        <w:t xml:space="preserve"> της</w:t>
      </w:r>
      <w:r w:rsidR="00DD2BC3" w:rsidRPr="006A1797">
        <w:rPr>
          <w:rFonts w:ascii="Arial" w:hAnsi="Arial" w:cs="Arial"/>
          <w:sz w:val="18"/>
          <w:szCs w:val="18"/>
          <w:lang w:val="el-GR"/>
        </w:rPr>
        <w:t xml:space="preserve"> χρέωσης πιστωτικών ζημιών δανείων (</w:t>
      </w:r>
      <w:r w:rsidR="00DD2BC3" w:rsidRPr="006A1797">
        <w:rPr>
          <w:rFonts w:ascii="Arial" w:hAnsi="Arial" w:cs="Arial"/>
          <w:sz w:val="18"/>
          <w:lang w:val="el-GR"/>
        </w:rPr>
        <w:t>cost</w:t>
      </w:r>
      <w:r w:rsidR="00DD2BC3" w:rsidRPr="006A1797">
        <w:rPr>
          <w:rFonts w:ascii="Arial" w:hAnsi="Arial" w:cs="Arial"/>
          <w:sz w:val="18"/>
          <w:szCs w:val="18"/>
          <w:lang w:val="el-GR"/>
        </w:rPr>
        <w:t xml:space="preserve"> </w:t>
      </w:r>
      <w:r w:rsidR="00DD2BC3" w:rsidRPr="006A1797">
        <w:rPr>
          <w:rFonts w:ascii="Arial" w:hAnsi="Arial" w:cs="Arial"/>
          <w:sz w:val="18"/>
          <w:lang w:val="el-GR"/>
        </w:rPr>
        <w:t>of</w:t>
      </w:r>
      <w:r w:rsidR="00DD2BC3" w:rsidRPr="006A1797">
        <w:rPr>
          <w:rFonts w:ascii="Arial" w:hAnsi="Arial" w:cs="Arial"/>
          <w:sz w:val="18"/>
          <w:szCs w:val="18"/>
          <w:lang w:val="el-GR"/>
        </w:rPr>
        <w:t xml:space="preserve"> </w:t>
      </w:r>
      <w:r w:rsidR="00DD2BC3" w:rsidRPr="006A1797">
        <w:rPr>
          <w:rFonts w:ascii="Arial" w:hAnsi="Arial" w:cs="Arial"/>
          <w:sz w:val="18"/>
          <w:lang w:val="el-GR"/>
        </w:rPr>
        <w:t>risk</w:t>
      </w:r>
      <w:r w:rsidR="00DD2BC3" w:rsidRPr="006A1797">
        <w:rPr>
          <w:rFonts w:ascii="Arial" w:hAnsi="Arial" w:cs="Arial"/>
          <w:sz w:val="18"/>
          <w:szCs w:val="18"/>
          <w:lang w:val="el-GR"/>
        </w:rPr>
        <w:t>) σε κανονικά επίπεδα και της μείωσης των άλλων απομειώσεων</w:t>
      </w:r>
    </w:p>
    <w:p w14:paraId="4D8B8061" w14:textId="4052DD0A" w:rsidR="003D23C4" w:rsidRPr="006A1797" w:rsidRDefault="00DD2BC3" w:rsidP="0099729D">
      <w:pPr>
        <w:pStyle w:val="Footer"/>
        <w:numPr>
          <w:ilvl w:val="0"/>
          <w:numId w:val="6"/>
        </w:numPr>
        <w:tabs>
          <w:tab w:val="clear" w:pos="4153"/>
          <w:tab w:val="clear" w:pos="8306"/>
          <w:tab w:val="left" w:pos="709"/>
        </w:tabs>
        <w:ind w:left="567" w:right="57" w:hanging="147"/>
        <w:jc w:val="both"/>
        <w:rPr>
          <w:rFonts w:ascii="Arial" w:hAnsi="Arial" w:cs="Arial"/>
          <w:b/>
          <w:bCs/>
          <w:sz w:val="18"/>
          <w:szCs w:val="18"/>
          <w:lang w:val="el-GR"/>
        </w:rPr>
      </w:pPr>
      <w:r w:rsidRPr="006A1797">
        <w:rPr>
          <w:rFonts w:ascii="Arial" w:hAnsi="Arial" w:cs="Arial"/>
          <w:b/>
          <w:bCs/>
          <w:sz w:val="18"/>
          <w:szCs w:val="18"/>
          <w:lang w:val="el-GR"/>
        </w:rPr>
        <w:t xml:space="preserve">Ενίσχυση οργανωτικής ανθεκτικότητας και πολιτικής για Περιβαλλοντικά, Κοινωνικά και σχετικά µε τη Διακυβέρνηση (ΠΚΔ) θέματα (Environmental, Social and Governance, </w:t>
      </w:r>
      <w:r w:rsidRPr="006A1797">
        <w:rPr>
          <w:rFonts w:ascii="Arial" w:hAnsi="Arial" w:cs="Arial"/>
          <w:b/>
          <w:bCs/>
          <w:sz w:val="18"/>
          <w:szCs w:val="18"/>
          <w:lang w:val="en-US"/>
        </w:rPr>
        <w:t>ESG</w:t>
      </w:r>
      <w:r w:rsidRPr="006A1797">
        <w:rPr>
          <w:rFonts w:ascii="Arial" w:hAnsi="Arial" w:cs="Arial"/>
          <w:b/>
          <w:bCs/>
          <w:sz w:val="18"/>
          <w:szCs w:val="18"/>
          <w:lang w:val="el-GR"/>
        </w:rPr>
        <w:t>)</w:t>
      </w:r>
      <w:r w:rsidRPr="006A1797">
        <w:rPr>
          <w:rFonts w:ascii="Arial" w:hAnsi="Arial" w:cs="Arial"/>
          <w:sz w:val="18"/>
          <w:szCs w:val="18"/>
          <w:lang w:val="el-GR"/>
        </w:rPr>
        <w:t xml:space="preserve">, </w:t>
      </w:r>
      <w:r w:rsidR="00C50A8C" w:rsidRPr="006A1797">
        <w:rPr>
          <w:rFonts w:ascii="Arial" w:hAnsi="Arial" w:cs="Arial"/>
          <w:sz w:val="18"/>
          <w:szCs w:val="18"/>
          <w:lang w:val="el-GR"/>
        </w:rPr>
        <w:t>με το να έχει ηγετικ</w:t>
      </w:r>
      <w:r w:rsidR="004B332E" w:rsidRPr="006A1797">
        <w:rPr>
          <w:rFonts w:ascii="Arial" w:hAnsi="Arial" w:cs="Arial"/>
          <w:sz w:val="18"/>
          <w:szCs w:val="18"/>
          <w:lang w:val="el-GR"/>
        </w:rPr>
        <w:t>ή</w:t>
      </w:r>
      <w:r w:rsidR="00C50A8C" w:rsidRPr="006A1797">
        <w:rPr>
          <w:rFonts w:ascii="Arial" w:hAnsi="Arial" w:cs="Arial"/>
          <w:sz w:val="18"/>
          <w:szCs w:val="18"/>
          <w:lang w:val="el-GR"/>
        </w:rPr>
        <w:t xml:space="preserve"> θέση </w:t>
      </w:r>
      <w:r w:rsidR="003D23C4" w:rsidRPr="006A1797">
        <w:rPr>
          <w:rFonts w:ascii="Arial" w:hAnsi="Arial" w:cs="Arial"/>
          <w:sz w:val="18"/>
          <w:szCs w:val="18"/>
          <w:lang w:val="el-GR"/>
        </w:rPr>
        <w:t>στη μετάβαση της Κύπρου σε ένα βιώσιμο μέλλον</w:t>
      </w:r>
      <w:r w:rsidR="00C50A8C" w:rsidRPr="006A1797">
        <w:rPr>
          <w:rFonts w:ascii="Arial" w:hAnsi="Arial" w:cs="Arial"/>
          <w:sz w:val="18"/>
          <w:szCs w:val="18"/>
          <w:lang w:val="el-GR"/>
        </w:rPr>
        <w:t xml:space="preserve"> και να εργάζεται στη δημιουργία ενός οργανισμού με όραμα για το μέλλον συμπεριλαμβάνοντας τα θέματα ΠΚΔ σε όλους τους τομείς.</w:t>
      </w:r>
    </w:p>
    <w:p w14:paraId="53FF2BB1" w14:textId="77777777" w:rsidR="00CC10C5" w:rsidRPr="00211AC5" w:rsidRDefault="00CC10C5" w:rsidP="00CC10C5">
      <w:pPr>
        <w:pStyle w:val="Footer"/>
        <w:tabs>
          <w:tab w:val="clear" w:pos="4153"/>
          <w:tab w:val="clear" w:pos="8306"/>
          <w:tab w:val="left" w:pos="709"/>
        </w:tabs>
        <w:ind w:right="57"/>
        <w:jc w:val="both"/>
        <w:rPr>
          <w:rFonts w:ascii="Arial" w:hAnsi="Arial" w:cs="Arial"/>
          <w:b/>
          <w:bCs/>
          <w:sz w:val="12"/>
          <w:szCs w:val="12"/>
          <w:lang w:val="el-GR"/>
        </w:rPr>
      </w:pPr>
    </w:p>
    <w:p w14:paraId="1F504BC1" w14:textId="091381B7" w:rsidR="00CC10C5" w:rsidRPr="006A1797" w:rsidRDefault="00CC10C5" w:rsidP="006A1797">
      <w:pPr>
        <w:pStyle w:val="Footer"/>
        <w:tabs>
          <w:tab w:val="left" w:pos="709"/>
        </w:tabs>
        <w:ind w:right="57"/>
        <w:jc w:val="both"/>
        <w:rPr>
          <w:rFonts w:ascii="Arial" w:hAnsi="Arial" w:cs="Arial"/>
          <w:b/>
          <w:bCs/>
          <w:sz w:val="18"/>
          <w:lang w:val="el-GR"/>
        </w:rPr>
      </w:pPr>
      <w:r w:rsidRPr="00132262">
        <w:rPr>
          <w:rFonts w:ascii="Arial" w:hAnsi="Arial" w:cs="Arial"/>
          <w:sz w:val="18"/>
          <w:lang w:val="el-GR"/>
        </w:rPr>
        <w:t xml:space="preserve">Κατά το </w:t>
      </w:r>
      <w:r>
        <w:rPr>
          <w:rFonts w:ascii="Arial" w:hAnsi="Arial" w:cs="Arial"/>
          <w:sz w:val="18"/>
          <w:lang w:val="el-GR"/>
        </w:rPr>
        <w:t>α’ εξάμηνο 2024</w:t>
      </w:r>
      <w:r w:rsidRPr="00132262">
        <w:rPr>
          <w:rFonts w:ascii="Arial" w:hAnsi="Arial" w:cs="Arial"/>
          <w:sz w:val="18"/>
          <w:lang w:val="el-GR"/>
        </w:rPr>
        <w:t>, το Συγκρότημα</w:t>
      </w:r>
      <w:r w:rsidRPr="006A1797">
        <w:rPr>
          <w:rFonts w:ascii="Arial" w:hAnsi="Arial" w:cs="Arial"/>
          <w:sz w:val="18"/>
          <w:lang w:val="el-GR"/>
        </w:rPr>
        <w:t xml:space="preserve"> </w:t>
      </w:r>
      <w:r>
        <w:rPr>
          <w:rFonts w:ascii="Arial" w:hAnsi="Arial" w:cs="Arial"/>
          <w:sz w:val="18"/>
          <w:lang w:val="el-GR"/>
        </w:rPr>
        <w:t>πέτυχε για ακόμη μία φορά ισχυρά οικονομικά και λειτουργικά αποτελέσματα, αποδεικνύοντας τη βιωσιμότητα του επιχειρηματικού του μοντέλου.</w:t>
      </w:r>
      <w:r w:rsidR="00262407" w:rsidRPr="006A1797">
        <w:rPr>
          <w:rFonts w:ascii="Arial" w:hAnsi="Arial" w:cs="Arial"/>
          <w:sz w:val="18"/>
          <w:lang w:val="el-GR"/>
        </w:rPr>
        <w:t xml:space="preserve"> </w:t>
      </w:r>
      <w:r w:rsidR="003D4FFF" w:rsidRPr="006A1797">
        <w:rPr>
          <w:rFonts w:ascii="Arial" w:hAnsi="Arial" w:cs="Arial"/>
          <w:b/>
          <w:bCs/>
          <w:sz w:val="18"/>
          <w:szCs w:val="18"/>
          <w:lang w:val="el-GR"/>
        </w:rPr>
        <w:t>Λαμβάνοντας υπόψη αυτή την ισχυρή επίδοση, το Συγκρότημα αναβάθμισε τους οικονομικούς του στόχους για το 2024 και 2025.</w:t>
      </w:r>
    </w:p>
    <w:p w14:paraId="64F5E2A9" w14:textId="77777777" w:rsidR="001135BF" w:rsidRPr="00A96CBE" w:rsidRDefault="001135BF" w:rsidP="001135BF">
      <w:pPr>
        <w:pStyle w:val="Footer"/>
        <w:tabs>
          <w:tab w:val="clear" w:pos="4153"/>
          <w:tab w:val="clear" w:pos="8306"/>
          <w:tab w:val="left" w:pos="709"/>
        </w:tabs>
        <w:ind w:right="57"/>
        <w:jc w:val="both"/>
        <w:rPr>
          <w:rFonts w:ascii="Arial" w:hAnsi="Arial" w:cs="Arial"/>
          <w:b/>
          <w:bCs/>
          <w:sz w:val="16"/>
          <w:szCs w:val="16"/>
          <w:highlight w:val="yellow"/>
          <w:lang w:val="el-GR"/>
        </w:rPr>
      </w:pPr>
    </w:p>
    <w:p w14:paraId="50012089" w14:textId="59735485" w:rsidR="003D4FFF" w:rsidRPr="006A1797" w:rsidRDefault="00330D47" w:rsidP="00FA3706">
      <w:pPr>
        <w:pStyle w:val="BodyText3"/>
        <w:jc w:val="both"/>
        <w:rPr>
          <w:rFonts w:ascii="Arial" w:hAnsi="Arial" w:cs="Arial"/>
          <w:i/>
          <w:iCs/>
          <w:sz w:val="18"/>
          <w:szCs w:val="18"/>
          <w:lang w:val="el-GR" w:eastAsia="en-GB"/>
        </w:rPr>
      </w:pPr>
      <w:r>
        <w:rPr>
          <w:rFonts w:ascii="Arial" w:hAnsi="Arial" w:cs="Arial"/>
          <w:i/>
          <w:iCs/>
          <w:sz w:val="18"/>
          <w:szCs w:val="18"/>
          <w:lang w:val="el-GR"/>
        </w:rPr>
        <w:t>Κύριοι παράγοντες</w:t>
      </w:r>
      <w:r w:rsidR="003D4FFF" w:rsidRPr="006A1797">
        <w:rPr>
          <w:rFonts w:ascii="Arial" w:hAnsi="Arial" w:cs="Arial"/>
          <w:i/>
          <w:iCs/>
          <w:sz w:val="18"/>
          <w:szCs w:val="18"/>
          <w:lang w:val="el-GR"/>
        </w:rPr>
        <w:t xml:space="preserve"> των Αναβαθμισμένων Οικονομικών Στόχων</w:t>
      </w:r>
    </w:p>
    <w:p w14:paraId="745B0548" w14:textId="77777777" w:rsidR="003D4FFF" w:rsidRPr="00211AC5" w:rsidRDefault="003D4FFF" w:rsidP="00FA3706">
      <w:pPr>
        <w:pStyle w:val="BodyText3"/>
        <w:jc w:val="both"/>
        <w:rPr>
          <w:rFonts w:ascii="Arial" w:hAnsi="Arial" w:cs="Arial"/>
          <w:i/>
          <w:iCs/>
          <w:sz w:val="12"/>
          <w:szCs w:val="12"/>
          <w:lang w:val="el-GR"/>
        </w:rPr>
      </w:pPr>
    </w:p>
    <w:p w14:paraId="3F93C0E0" w14:textId="5CF8AACB" w:rsidR="00330D47" w:rsidRPr="006A1797" w:rsidRDefault="003D4FFF" w:rsidP="006A1797">
      <w:pPr>
        <w:pStyle w:val="BodyText3"/>
        <w:jc w:val="both"/>
        <w:rPr>
          <w:rFonts w:ascii="Arial" w:hAnsi="Arial" w:cs="Arial"/>
          <w:sz w:val="18"/>
          <w:szCs w:val="18"/>
          <w:lang w:val="el-GR"/>
        </w:rPr>
      </w:pPr>
      <w:r w:rsidRPr="006A1797">
        <w:rPr>
          <w:rFonts w:ascii="Arial" w:hAnsi="Arial" w:cs="Arial"/>
          <w:sz w:val="18"/>
          <w:szCs w:val="18"/>
          <w:lang w:val="el-GR"/>
        </w:rPr>
        <w:t xml:space="preserve">Υποστηριζόμενα από το ευνοϊκότερο περιβάλλον επιτοκίων και τη θετική </w:t>
      </w:r>
      <w:r w:rsidR="00AA12B1">
        <w:rPr>
          <w:rFonts w:ascii="Arial" w:hAnsi="Arial" w:cs="Arial"/>
          <w:sz w:val="18"/>
          <w:szCs w:val="18"/>
          <w:lang w:val="el-GR"/>
        </w:rPr>
        <w:t>τάση</w:t>
      </w:r>
      <w:r w:rsidRPr="006A1797">
        <w:rPr>
          <w:rFonts w:ascii="Arial" w:hAnsi="Arial" w:cs="Arial"/>
          <w:sz w:val="18"/>
          <w:szCs w:val="18"/>
          <w:lang w:val="el-GR"/>
        </w:rPr>
        <w:t xml:space="preserve"> των καταθέσεων,</w:t>
      </w:r>
      <w:r w:rsidR="00330D47" w:rsidRPr="006A1797">
        <w:rPr>
          <w:rFonts w:ascii="Arial" w:hAnsi="Arial" w:cs="Arial"/>
          <w:sz w:val="18"/>
          <w:szCs w:val="18"/>
          <w:lang w:val="el-GR"/>
        </w:rPr>
        <w:t xml:space="preserve"> </w:t>
      </w:r>
      <w:r w:rsidR="00AA12B1">
        <w:rPr>
          <w:rFonts w:ascii="Arial" w:hAnsi="Arial" w:cs="Arial"/>
          <w:sz w:val="18"/>
          <w:szCs w:val="18"/>
          <w:lang w:val="el-GR"/>
        </w:rPr>
        <w:t xml:space="preserve">ο </w:t>
      </w:r>
      <w:r w:rsidR="00330D47" w:rsidRPr="006A1797">
        <w:rPr>
          <w:rFonts w:ascii="Arial" w:hAnsi="Arial" w:cs="Arial"/>
          <w:sz w:val="18"/>
          <w:szCs w:val="18"/>
          <w:lang w:val="el-GR"/>
        </w:rPr>
        <w:t xml:space="preserve">στόχος για </w:t>
      </w:r>
      <w:r w:rsidRPr="006A1797">
        <w:rPr>
          <w:rFonts w:ascii="Arial" w:hAnsi="Arial" w:cs="Arial"/>
          <w:sz w:val="18"/>
          <w:szCs w:val="18"/>
          <w:lang w:val="el-GR"/>
        </w:rPr>
        <w:t xml:space="preserve">καθαρά έσοδα από τόκους για το 2024 </w:t>
      </w:r>
      <w:r w:rsidR="00330D47" w:rsidRPr="006A1797">
        <w:rPr>
          <w:rFonts w:ascii="Arial" w:hAnsi="Arial" w:cs="Arial"/>
          <w:sz w:val="18"/>
          <w:szCs w:val="18"/>
          <w:lang w:val="el-GR"/>
        </w:rPr>
        <w:t xml:space="preserve">αναβαθμίζεται </w:t>
      </w:r>
      <w:r w:rsidRPr="006A1797">
        <w:rPr>
          <w:rFonts w:ascii="Arial" w:hAnsi="Arial" w:cs="Arial"/>
          <w:sz w:val="18"/>
          <w:szCs w:val="18"/>
          <w:lang w:val="el-GR"/>
        </w:rPr>
        <w:t xml:space="preserve">από </w:t>
      </w:r>
      <w:r w:rsidR="00330D47" w:rsidRPr="006A1797">
        <w:rPr>
          <w:rFonts w:ascii="Arial" w:hAnsi="Arial" w:cs="Arial"/>
          <w:sz w:val="18"/>
          <w:szCs w:val="18"/>
          <w:lang w:val="el-GR"/>
        </w:rPr>
        <w:t>μεγαλύτερος</w:t>
      </w:r>
      <w:r w:rsidRPr="006A1797">
        <w:rPr>
          <w:rFonts w:ascii="Arial" w:hAnsi="Arial" w:cs="Arial"/>
          <w:sz w:val="18"/>
          <w:szCs w:val="18"/>
          <w:lang w:val="el-GR"/>
        </w:rPr>
        <w:t xml:space="preserve"> από €670 εκατ. σε περίπου €800 εκατ. Η αναβάθμιση αυτή οφείλεται κυρίως </w:t>
      </w:r>
      <w:r w:rsidR="00E51DFD" w:rsidRPr="006A1797">
        <w:rPr>
          <w:rFonts w:ascii="Arial" w:hAnsi="Arial" w:cs="Arial"/>
          <w:sz w:val="18"/>
          <w:szCs w:val="18"/>
          <w:lang w:val="el-GR"/>
        </w:rPr>
        <w:t xml:space="preserve">στο γεγονός ότι το περιβάλλον </w:t>
      </w:r>
      <w:r w:rsidR="00330D47" w:rsidRPr="006A1797">
        <w:rPr>
          <w:rFonts w:ascii="Arial" w:hAnsi="Arial" w:cs="Arial"/>
          <w:sz w:val="18"/>
          <w:szCs w:val="18"/>
          <w:lang w:val="el-GR"/>
        </w:rPr>
        <w:t>επιτοκίων</w:t>
      </w:r>
      <w:r w:rsidR="00E51DFD" w:rsidRPr="006A1797">
        <w:rPr>
          <w:rFonts w:ascii="Arial" w:hAnsi="Arial" w:cs="Arial"/>
          <w:sz w:val="18"/>
          <w:szCs w:val="18"/>
          <w:lang w:val="el-GR"/>
        </w:rPr>
        <w:t xml:space="preserve"> </w:t>
      </w:r>
      <w:r w:rsidR="00330D47" w:rsidRPr="006A1797">
        <w:rPr>
          <w:rFonts w:ascii="Arial" w:hAnsi="Arial" w:cs="Arial"/>
          <w:sz w:val="18"/>
          <w:szCs w:val="18"/>
          <w:lang w:val="el-GR"/>
        </w:rPr>
        <w:t>αποδείχθηκε πιο ανθεκτικό από ό,τι αρχικά αναμενόταν</w:t>
      </w:r>
      <w:r w:rsidR="00E51DFD" w:rsidRPr="006A1797">
        <w:rPr>
          <w:rFonts w:ascii="Arial" w:hAnsi="Arial" w:cs="Arial"/>
          <w:sz w:val="18"/>
          <w:szCs w:val="18"/>
          <w:lang w:val="el-GR"/>
        </w:rPr>
        <w:t>, με τον ρυθμό της μείωσης των επιτοκίων να παρατείνεται.</w:t>
      </w:r>
      <w:r w:rsidR="00262407" w:rsidRPr="006A1797">
        <w:rPr>
          <w:rFonts w:ascii="Arial" w:hAnsi="Arial" w:cs="Arial"/>
          <w:sz w:val="18"/>
          <w:szCs w:val="18"/>
          <w:lang w:val="el-GR"/>
        </w:rPr>
        <w:t xml:space="preserve"> </w:t>
      </w:r>
      <w:r w:rsidR="00262407">
        <w:rPr>
          <w:rFonts w:ascii="Arial" w:hAnsi="Arial" w:cs="Arial"/>
          <w:sz w:val="18"/>
          <w:szCs w:val="18"/>
          <w:lang w:val="el-GR"/>
        </w:rPr>
        <w:t>Σύμφωνα με τ</w:t>
      </w:r>
      <w:r w:rsidR="00330D47" w:rsidRPr="006A1797">
        <w:rPr>
          <w:rFonts w:ascii="Arial" w:hAnsi="Arial" w:cs="Arial"/>
          <w:sz w:val="18"/>
          <w:szCs w:val="18"/>
          <w:lang w:val="el-GR"/>
        </w:rPr>
        <w:t>α εκτιμόμενα επιτόκια της αγοράς τον Ιούλιο 2024</w:t>
      </w:r>
      <w:r w:rsidR="00262407">
        <w:rPr>
          <w:rFonts w:ascii="Arial" w:hAnsi="Arial" w:cs="Arial"/>
          <w:sz w:val="18"/>
          <w:szCs w:val="18"/>
          <w:lang w:val="el-GR"/>
        </w:rPr>
        <w:t xml:space="preserve">, </w:t>
      </w:r>
      <w:r w:rsidR="00330D47" w:rsidRPr="006A1797">
        <w:rPr>
          <w:rFonts w:ascii="Arial" w:hAnsi="Arial" w:cs="Arial"/>
          <w:sz w:val="18"/>
          <w:szCs w:val="18"/>
          <w:lang w:val="el-GR"/>
        </w:rPr>
        <w:t xml:space="preserve">το επιτόκιο διευκόλυνσης αποδοχής καταθέσεων της ΕΚΤ </w:t>
      </w:r>
      <w:r w:rsidR="00262407">
        <w:rPr>
          <w:rFonts w:ascii="Arial" w:hAnsi="Arial" w:cs="Arial"/>
          <w:sz w:val="18"/>
          <w:szCs w:val="18"/>
          <w:lang w:val="el-GR"/>
        </w:rPr>
        <w:t>αναμένεται να</w:t>
      </w:r>
      <w:r w:rsidR="00330D47" w:rsidRPr="006A1797">
        <w:rPr>
          <w:rFonts w:ascii="Arial" w:hAnsi="Arial" w:cs="Arial"/>
          <w:sz w:val="18"/>
          <w:szCs w:val="18"/>
          <w:lang w:val="el-GR"/>
        </w:rPr>
        <w:t xml:space="preserve"> διαμορφωθεί κατά μέσο όρο στο 3.8% για το 2024 και το Euribor 6 μηνών</w:t>
      </w:r>
      <w:r w:rsidR="00262407">
        <w:rPr>
          <w:rFonts w:ascii="Arial" w:hAnsi="Arial" w:cs="Arial"/>
          <w:sz w:val="18"/>
          <w:szCs w:val="18"/>
          <w:lang w:val="el-GR"/>
        </w:rPr>
        <w:t xml:space="preserve"> αναμένεται να</w:t>
      </w:r>
      <w:r w:rsidR="00262407" w:rsidRPr="007C2558">
        <w:rPr>
          <w:rFonts w:ascii="Arial" w:hAnsi="Arial" w:cs="Arial"/>
          <w:sz w:val="18"/>
          <w:szCs w:val="18"/>
          <w:lang w:val="el-GR"/>
        </w:rPr>
        <w:t xml:space="preserve"> διαμορφωθεί </w:t>
      </w:r>
      <w:r w:rsidR="00330D47" w:rsidRPr="006A1797">
        <w:rPr>
          <w:rFonts w:ascii="Arial" w:hAnsi="Arial" w:cs="Arial"/>
          <w:sz w:val="18"/>
          <w:szCs w:val="18"/>
          <w:lang w:val="el-GR"/>
        </w:rPr>
        <w:t xml:space="preserve">κατά μέσο όρο στο 3.6% </w:t>
      </w:r>
      <w:r w:rsidR="00262407" w:rsidRPr="007C2558">
        <w:rPr>
          <w:rFonts w:ascii="Arial" w:hAnsi="Arial" w:cs="Arial"/>
          <w:sz w:val="18"/>
          <w:szCs w:val="18"/>
          <w:lang w:val="el-GR"/>
        </w:rPr>
        <w:t>για το</w:t>
      </w:r>
      <w:r w:rsidR="00262407">
        <w:rPr>
          <w:rFonts w:ascii="Arial" w:hAnsi="Arial" w:cs="Arial"/>
          <w:sz w:val="18"/>
          <w:szCs w:val="18"/>
          <w:lang w:val="el-GR"/>
        </w:rPr>
        <w:t xml:space="preserve"> </w:t>
      </w:r>
      <w:r w:rsidR="00330D47" w:rsidRPr="006A1797">
        <w:rPr>
          <w:rFonts w:ascii="Arial" w:hAnsi="Arial" w:cs="Arial"/>
          <w:sz w:val="18"/>
          <w:szCs w:val="18"/>
          <w:lang w:val="el-GR"/>
        </w:rPr>
        <w:t xml:space="preserve">2024, έναντι του </w:t>
      </w:r>
      <w:r w:rsidR="00AA12B1" w:rsidRPr="00E86FC0">
        <w:rPr>
          <w:rFonts w:ascii="Arial" w:hAnsi="Arial" w:cs="Arial"/>
          <w:sz w:val="18"/>
          <w:szCs w:val="18"/>
          <w:lang w:val="el-GR"/>
        </w:rPr>
        <w:t>επιτοκίου</w:t>
      </w:r>
      <w:r w:rsidR="00330D47" w:rsidRPr="006A1797">
        <w:rPr>
          <w:rFonts w:ascii="Arial" w:hAnsi="Arial" w:cs="Arial"/>
          <w:sz w:val="18"/>
          <w:szCs w:val="18"/>
          <w:lang w:val="el-GR"/>
        </w:rPr>
        <w:t xml:space="preserve"> διευκόλυνσης αποδοχής καταθέσεων της ΕΚΤ ύψους 3.4% και του Euribor 6 μηνών ύψους </w:t>
      </w:r>
      <w:r w:rsidR="00330D47" w:rsidRPr="00E86FC0">
        <w:rPr>
          <w:rFonts w:ascii="Arial" w:hAnsi="Arial" w:cs="Arial"/>
          <w:sz w:val="18"/>
          <w:szCs w:val="18"/>
          <w:lang w:val="el-GR"/>
        </w:rPr>
        <w:t>3.2% που αναμενόταν τον Φεβρουάριο 2024.</w:t>
      </w:r>
      <w:r w:rsidR="00330D47">
        <w:rPr>
          <w:rFonts w:ascii="Arial" w:hAnsi="Arial" w:cs="Arial"/>
          <w:sz w:val="18"/>
          <w:szCs w:val="18"/>
          <w:lang w:val="el-GR"/>
        </w:rPr>
        <w:t xml:space="preserve"> </w:t>
      </w:r>
      <w:r w:rsidR="00330D47" w:rsidRPr="00330D47">
        <w:rPr>
          <w:rFonts w:ascii="Arial" w:hAnsi="Arial" w:cs="Arial"/>
          <w:sz w:val="18"/>
          <w:szCs w:val="18"/>
          <w:lang w:val="el-GR"/>
        </w:rPr>
        <w:t xml:space="preserve">Άλλοι παράγοντες που </w:t>
      </w:r>
      <w:r w:rsidR="00262407">
        <w:rPr>
          <w:rFonts w:ascii="Arial" w:hAnsi="Arial" w:cs="Arial"/>
          <w:sz w:val="18"/>
          <w:szCs w:val="18"/>
          <w:lang w:val="el-GR"/>
        </w:rPr>
        <w:t xml:space="preserve">οδήγησαν στην αναβάθμιση του στόχου για </w:t>
      </w:r>
      <w:r w:rsidR="00330D47" w:rsidRPr="00330D47">
        <w:rPr>
          <w:rFonts w:ascii="Arial" w:hAnsi="Arial" w:cs="Arial"/>
          <w:sz w:val="18"/>
          <w:szCs w:val="18"/>
          <w:lang w:val="el-GR"/>
        </w:rPr>
        <w:t xml:space="preserve">καθαρά έσοδα από τόκους περιλαμβάνουν: </w:t>
      </w:r>
      <w:r w:rsidR="00330D47">
        <w:rPr>
          <w:rFonts w:ascii="Arial" w:hAnsi="Arial" w:cs="Arial"/>
          <w:sz w:val="18"/>
          <w:szCs w:val="18"/>
          <w:lang w:val="el-GR"/>
        </w:rPr>
        <w:t xml:space="preserve"> </w:t>
      </w:r>
    </w:p>
    <w:p w14:paraId="5B906BA3" w14:textId="77777777" w:rsidR="00FA3706" w:rsidRPr="00211AC5" w:rsidRDefault="00FA3706" w:rsidP="00FA3706">
      <w:pPr>
        <w:pStyle w:val="BodyText3"/>
        <w:jc w:val="both"/>
        <w:rPr>
          <w:rFonts w:ascii="Arial" w:hAnsi="Arial" w:cs="Arial"/>
          <w:sz w:val="12"/>
          <w:szCs w:val="12"/>
          <w:lang w:val="el-GR"/>
        </w:rPr>
      </w:pPr>
    </w:p>
    <w:p w14:paraId="4E7E37E3" w14:textId="18A254F0" w:rsidR="00FA3706" w:rsidRPr="006A1797" w:rsidRDefault="00686A2C" w:rsidP="008D10DD">
      <w:pPr>
        <w:pStyle w:val="BodyText3"/>
        <w:numPr>
          <w:ilvl w:val="0"/>
          <w:numId w:val="19"/>
        </w:numPr>
        <w:jc w:val="both"/>
        <w:rPr>
          <w:rFonts w:ascii="Arial" w:hAnsi="Arial" w:cs="Arial"/>
          <w:sz w:val="18"/>
          <w:szCs w:val="18"/>
          <w:lang w:val="el-GR"/>
        </w:rPr>
      </w:pPr>
      <w:r w:rsidRPr="006A1797">
        <w:rPr>
          <w:rFonts w:ascii="Arial" w:hAnsi="Arial" w:cs="Arial"/>
          <w:sz w:val="18"/>
          <w:szCs w:val="18"/>
          <w:lang w:val="el-GR"/>
        </w:rPr>
        <w:t>Το κόστος των</w:t>
      </w:r>
      <w:r w:rsidR="00FA3706" w:rsidRPr="006A1797">
        <w:rPr>
          <w:rFonts w:ascii="Arial" w:hAnsi="Arial" w:cs="Arial"/>
          <w:sz w:val="18"/>
          <w:szCs w:val="18"/>
          <w:lang w:val="el-GR"/>
        </w:rPr>
        <w:t xml:space="preserve"> καταθέσεων </w:t>
      </w:r>
      <w:r w:rsidRPr="006A1797">
        <w:rPr>
          <w:rFonts w:ascii="Arial" w:hAnsi="Arial" w:cs="Arial"/>
          <w:sz w:val="18"/>
          <w:szCs w:val="18"/>
          <w:lang w:val="el-GR"/>
        </w:rPr>
        <w:t>αναμένεται να ανέλθει σε περίπου 35 μ.β</w:t>
      </w:r>
      <w:r w:rsidR="0043491F" w:rsidRPr="0043491F">
        <w:rPr>
          <w:rFonts w:ascii="Arial" w:hAnsi="Arial" w:cs="Arial"/>
          <w:sz w:val="18"/>
          <w:szCs w:val="18"/>
          <w:lang w:val="el-GR"/>
        </w:rPr>
        <w:t>.</w:t>
      </w:r>
      <w:r w:rsidR="00262407">
        <w:rPr>
          <w:rFonts w:ascii="Arial" w:hAnsi="Arial" w:cs="Arial"/>
          <w:sz w:val="18"/>
          <w:szCs w:val="18"/>
          <w:lang w:val="el-GR"/>
        </w:rPr>
        <w:t xml:space="preserve"> </w:t>
      </w:r>
      <w:r w:rsidRPr="006A1797">
        <w:rPr>
          <w:rFonts w:ascii="Arial" w:hAnsi="Arial" w:cs="Arial"/>
          <w:sz w:val="18"/>
          <w:szCs w:val="18"/>
          <w:lang w:val="el-GR"/>
        </w:rPr>
        <w:t>κατά μέσο όρο</w:t>
      </w:r>
      <w:r w:rsidR="00262407">
        <w:rPr>
          <w:rFonts w:ascii="Arial" w:hAnsi="Arial" w:cs="Arial"/>
          <w:sz w:val="18"/>
          <w:szCs w:val="18"/>
          <w:lang w:val="el-GR"/>
        </w:rPr>
        <w:t xml:space="preserve"> το 2024</w:t>
      </w:r>
      <w:r w:rsidRPr="006A1797">
        <w:rPr>
          <w:rFonts w:ascii="Arial" w:hAnsi="Arial" w:cs="Arial"/>
          <w:sz w:val="18"/>
          <w:szCs w:val="18"/>
          <w:lang w:val="el-GR"/>
        </w:rPr>
        <w:t>, υποστηριζόμενο από τον τραπεζικό τομέα της Κύπρου που χαρακτηρίζεται από υψηλή ρευστότητα</w:t>
      </w:r>
      <w:r w:rsidR="00C74936">
        <w:rPr>
          <w:rFonts w:ascii="Arial" w:hAnsi="Arial" w:cs="Arial"/>
          <w:sz w:val="18"/>
          <w:szCs w:val="18"/>
          <w:lang w:val="el-GR"/>
        </w:rPr>
        <w:t>.</w:t>
      </w:r>
    </w:p>
    <w:p w14:paraId="5B32D9FA" w14:textId="765C5E6D" w:rsidR="00FA3706" w:rsidRPr="006A1797" w:rsidRDefault="00E72898" w:rsidP="008D10DD">
      <w:pPr>
        <w:pStyle w:val="BodyText3"/>
        <w:numPr>
          <w:ilvl w:val="0"/>
          <w:numId w:val="19"/>
        </w:numPr>
        <w:jc w:val="both"/>
        <w:rPr>
          <w:rFonts w:ascii="Arial" w:hAnsi="Arial" w:cs="Arial"/>
          <w:sz w:val="18"/>
          <w:szCs w:val="18"/>
          <w:lang w:val="el-GR"/>
        </w:rPr>
      </w:pPr>
      <w:r w:rsidRPr="006A1797">
        <w:rPr>
          <w:rFonts w:ascii="Arial" w:hAnsi="Arial" w:cs="Arial"/>
          <w:sz w:val="18"/>
          <w:szCs w:val="18"/>
          <w:lang w:val="el-GR"/>
        </w:rPr>
        <w:t>Σ</w:t>
      </w:r>
      <w:r w:rsidR="00FA3706" w:rsidRPr="006A1797">
        <w:rPr>
          <w:rFonts w:ascii="Arial" w:hAnsi="Arial" w:cs="Arial"/>
          <w:sz w:val="18"/>
          <w:szCs w:val="18"/>
          <w:lang w:val="el-GR"/>
        </w:rPr>
        <w:t xml:space="preserve">ταδιακή αλλαγή στο μείγμα καταθέσεων, ως προς τις εμπρόθεσμες καταθέσεις, σε περίπου </w:t>
      </w:r>
      <w:r w:rsidR="00686A2C" w:rsidRPr="006A1797">
        <w:rPr>
          <w:rFonts w:ascii="Arial" w:hAnsi="Arial" w:cs="Arial"/>
          <w:sz w:val="18"/>
          <w:szCs w:val="18"/>
          <w:lang w:val="el-GR"/>
        </w:rPr>
        <w:t>43</w:t>
      </w:r>
      <w:r w:rsidR="00FA3706" w:rsidRPr="006A1797">
        <w:rPr>
          <w:rFonts w:ascii="Arial" w:hAnsi="Arial" w:cs="Arial"/>
          <w:sz w:val="18"/>
          <w:szCs w:val="18"/>
          <w:lang w:val="el-GR"/>
        </w:rPr>
        <w:t>% μέχρι τις 31 Δεκεμβρίου 2024</w:t>
      </w:r>
      <w:r w:rsidR="00C74936" w:rsidRPr="00E86FC0">
        <w:rPr>
          <w:rFonts w:ascii="Arial" w:hAnsi="Arial" w:cs="Arial"/>
          <w:sz w:val="18"/>
          <w:szCs w:val="18"/>
          <w:lang w:val="el-GR"/>
        </w:rPr>
        <w:t>.</w:t>
      </w:r>
    </w:p>
    <w:p w14:paraId="48E135D8" w14:textId="509F6206" w:rsidR="00FA3706" w:rsidRPr="006A1797" w:rsidRDefault="00FA3706" w:rsidP="008D10DD">
      <w:pPr>
        <w:pStyle w:val="ListParagraph"/>
        <w:numPr>
          <w:ilvl w:val="0"/>
          <w:numId w:val="19"/>
        </w:numPr>
        <w:jc w:val="both"/>
        <w:rPr>
          <w:rFonts w:ascii="Arial" w:hAnsi="Arial" w:cs="Arial"/>
          <w:b/>
          <w:bCs/>
          <w:sz w:val="18"/>
          <w:lang w:val="el-GR"/>
        </w:rPr>
      </w:pPr>
      <w:r w:rsidRPr="006A1797">
        <w:rPr>
          <w:rFonts w:ascii="Arial" w:hAnsi="Arial" w:cs="Arial"/>
          <w:sz w:val="18"/>
          <w:szCs w:val="18"/>
          <w:lang w:val="el-GR"/>
        </w:rPr>
        <w:t xml:space="preserve">Χαμηλή μονοψήφια ετήσια αύξηση </w:t>
      </w:r>
      <w:r w:rsidRPr="006A1797">
        <w:rPr>
          <w:rFonts w:ascii="Arial" w:hAnsi="Arial" w:cs="Arial"/>
          <w:sz w:val="18"/>
          <w:lang w:val="el-GR"/>
        </w:rPr>
        <w:t>των δανείων</w:t>
      </w:r>
      <w:r w:rsidR="00C74936" w:rsidRPr="006A1797">
        <w:rPr>
          <w:rFonts w:ascii="Arial" w:hAnsi="Arial" w:cs="Arial"/>
          <w:sz w:val="18"/>
          <w:lang w:val="el-GR"/>
        </w:rPr>
        <w:t xml:space="preserve"> για το 2024-2025, υποστηριζόμενη από τον ρυθμό ανάπτυξης της οικονομίας. Η αύξηση του δανειακού χαρτοφυλακίου περιορίζεται από τις αποπληρωμές.</w:t>
      </w:r>
    </w:p>
    <w:p w14:paraId="1A5712C8" w14:textId="33A75C66" w:rsidR="00C74936" w:rsidRPr="006A1797" w:rsidRDefault="00C74936" w:rsidP="008D10DD">
      <w:pPr>
        <w:pStyle w:val="ListParagraph"/>
        <w:numPr>
          <w:ilvl w:val="0"/>
          <w:numId w:val="19"/>
        </w:numPr>
        <w:jc w:val="both"/>
        <w:rPr>
          <w:rFonts w:ascii="Arial" w:hAnsi="Arial" w:cs="Arial"/>
          <w:b/>
          <w:bCs/>
          <w:sz w:val="18"/>
          <w:lang w:val="el-GR"/>
        </w:rPr>
      </w:pPr>
      <w:r w:rsidRPr="00E86FC0">
        <w:rPr>
          <w:rFonts w:ascii="Arial" w:hAnsi="Arial" w:cs="Arial"/>
          <w:sz w:val="18"/>
          <w:lang w:val="el-GR"/>
        </w:rPr>
        <w:t xml:space="preserve">Οι ενέργειες </w:t>
      </w:r>
      <w:r w:rsidRPr="006A1797">
        <w:rPr>
          <w:rFonts w:ascii="Arial" w:eastAsia="Batang" w:hAnsi="Arial" w:cs="Arial"/>
          <w:sz w:val="18"/>
          <w:szCs w:val="18"/>
          <w:lang w:val="el-GR" w:eastAsia="en-US"/>
        </w:rPr>
        <w:t>αντιστάθμισης</w:t>
      </w:r>
      <w:r w:rsidRPr="00E86FC0">
        <w:rPr>
          <w:rFonts w:ascii="Arial" w:eastAsia="Batang" w:hAnsi="Arial" w:cs="Arial"/>
          <w:sz w:val="18"/>
          <w:szCs w:val="18"/>
          <w:lang w:val="el-GR" w:eastAsia="en-US"/>
        </w:rPr>
        <w:t xml:space="preserve"> </w:t>
      </w:r>
      <w:r w:rsidRPr="006A1797">
        <w:rPr>
          <w:rFonts w:ascii="Arial" w:eastAsia="Batang" w:hAnsi="Arial" w:cs="Arial"/>
          <w:sz w:val="18"/>
          <w:szCs w:val="18"/>
          <w:lang w:val="el-GR" w:eastAsia="en-US"/>
        </w:rPr>
        <w:t>(‘hedging’)</w:t>
      </w:r>
      <w:r w:rsidRPr="00E86FC0">
        <w:rPr>
          <w:rFonts w:ascii="Arial" w:eastAsia="Batang" w:hAnsi="Arial" w:cs="Arial"/>
          <w:sz w:val="18"/>
          <w:szCs w:val="18"/>
          <w:lang w:val="el-GR" w:eastAsia="en-US"/>
        </w:rPr>
        <w:t xml:space="preserve"> θα συνεχιστούν κατά το 2024, με σκοπό τη συμμόρφωση με τον στόχο που έθεσε το Συγκρότημα ύψους €4-5 δις. Μέχρι τις 30 Ιουνίου 2024, </w:t>
      </w:r>
      <w:r w:rsidRPr="00E86FC0">
        <w:rPr>
          <w:rFonts w:ascii="Arial" w:hAnsi="Arial" w:cs="Arial"/>
          <w:sz w:val="18"/>
          <w:lang w:val="el-GR"/>
        </w:rPr>
        <w:t xml:space="preserve">ενέργειες </w:t>
      </w:r>
      <w:r w:rsidRPr="00E86FC0">
        <w:rPr>
          <w:rFonts w:ascii="Arial" w:eastAsia="Batang" w:hAnsi="Arial" w:cs="Arial"/>
          <w:sz w:val="18"/>
          <w:szCs w:val="18"/>
          <w:lang w:val="el-GR" w:eastAsia="en-US"/>
        </w:rPr>
        <w:t>αντιστάθμισης (‘hedging’) ύψους €3.4 δις έχουν ήδη πραγματοποιηθεί.</w:t>
      </w:r>
    </w:p>
    <w:p w14:paraId="529CD1E2" w14:textId="27B472BF" w:rsidR="00C74936" w:rsidRPr="006A1797" w:rsidRDefault="00E72898" w:rsidP="00E86FC0">
      <w:pPr>
        <w:pStyle w:val="ListParagraph"/>
        <w:numPr>
          <w:ilvl w:val="0"/>
          <w:numId w:val="19"/>
        </w:numPr>
        <w:jc w:val="both"/>
        <w:rPr>
          <w:rFonts w:ascii="Arial" w:hAnsi="Arial" w:cs="Arial"/>
          <w:sz w:val="18"/>
          <w:lang w:val="el-GR"/>
        </w:rPr>
      </w:pPr>
      <w:r w:rsidRPr="006A1797">
        <w:rPr>
          <w:rFonts w:ascii="Arial" w:hAnsi="Arial" w:cs="Arial"/>
          <w:sz w:val="18"/>
          <w:szCs w:val="18"/>
          <w:lang w:val="el-GR"/>
        </w:rPr>
        <w:t xml:space="preserve">Συνεχιζόμενη αύξηση στο </w:t>
      </w:r>
      <w:r w:rsidR="00FA3706" w:rsidRPr="006A1797">
        <w:rPr>
          <w:rFonts w:ascii="Arial" w:hAnsi="Arial" w:cs="Arial"/>
          <w:sz w:val="18"/>
          <w:szCs w:val="18"/>
          <w:lang w:val="el-GR"/>
        </w:rPr>
        <w:t>χαρτοφυλάκιο ομολόγω</w:t>
      </w:r>
      <w:r w:rsidRPr="006A1797">
        <w:rPr>
          <w:rFonts w:ascii="Arial" w:hAnsi="Arial" w:cs="Arial"/>
          <w:sz w:val="18"/>
          <w:szCs w:val="18"/>
          <w:lang w:val="el-GR"/>
        </w:rPr>
        <w:t>ν</w:t>
      </w:r>
      <w:r w:rsidR="00FA3706" w:rsidRPr="006A1797">
        <w:rPr>
          <w:rFonts w:ascii="Arial" w:hAnsi="Arial" w:cs="Arial"/>
          <w:sz w:val="18"/>
          <w:szCs w:val="18"/>
          <w:lang w:val="el-GR"/>
        </w:rPr>
        <w:t xml:space="preserve">, ανάλογα με τις συνθήκες αγοράς, με αποτέλεσμα να αντιπροσωπεύει περίπου το </w:t>
      </w:r>
      <w:r w:rsidR="00C74936" w:rsidRPr="006A1797">
        <w:rPr>
          <w:rFonts w:ascii="Arial" w:hAnsi="Arial" w:cs="Arial"/>
          <w:sz w:val="18"/>
          <w:szCs w:val="18"/>
          <w:lang w:val="el-GR"/>
        </w:rPr>
        <w:t>17</w:t>
      </w:r>
      <w:r w:rsidR="00FA3706" w:rsidRPr="006A1797">
        <w:rPr>
          <w:rFonts w:ascii="Arial" w:hAnsi="Arial" w:cs="Arial"/>
          <w:sz w:val="18"/>
          <w:szCs w:val="18"/>
          <w:lang w:val="el-GR"/>
        </w:rPr>
        <w:t>% του συνόλου των περιουσιακών στοιχείων στις 31 Δεκεμβρίου 2024</w:t>
      </w:r>
      <w:r w:rsidR="00C74936" w:rsidRPr="006A1797">
        <w:rPr>
          <w:rFonts w:ascii="Arial" w:hAnsi="Arial" w:cs="Arial"/>
          <w:sz w:val="18"/>
          <w:szCs w:val="18"/>
          <w:lang w:val="el-GR"/>
        </w:rPr>
        <w:t xml:space="preserve"> (σε σύγκριση με τον προηγούμενο στόχο ύψους </w:t>
      </w:r>
      <w:r w:rsidR="00C74936" w:rsidRPr="006A1797">
        <w:rPr>
          <w:rFonts w:ascii="Arial" w:hAnsi="Arial" w:cs="Arial"/>
          <w:sz w:val="18"/>
          <w:lang w:val="el-GR"/>
        </w:rPr>
        <w:t>16%)</w:t>
      </w:r>
      <w:r w:rsidR="00FA3706" w:rsidRPr="006A1797">
        <w:rPr>
          <w:rFonts w:ascii="Arial" w:hAnsi="Arial" w:cs="Arial"/>
          <w:sz w:val="18"/>
          <w:lang w:val="el-GR"/>
        </w:rPr>
        <w:t>, επωφελούμενο επίσης από την αντικατάσταση των  ομολόγων που λήγουν  σε υψηλότερα επιτόκια</w:t>
      </w:r>
      <w:r w:rsidR="00C74936" w:rsidRPr="00E86FC0">
        <w:rPr>
          <w:rFonts w:ascii="Arial" w:hAnsi="Arial" w:cs="Arial"/>
          <w:sz w:val="18"/>
          <w:lang w:val="el-GR"/>
        </w:rPr>
        <w:t>.</w:t>
      </w:r>
    </w:p>
    <w:p w14:paraId="7390F62A" w14:textId="1E4C7AD3" w:rsidR="00C74936" w:rsidRPr="006A1797" w:rsidRDefault="00FA3706" w:rsidP="006A1797">
      <w:pPr>
        <w:pStyle w:val="ListParagraph"/>
        <w:numPr>
          <w:ilvl w:val="0"/>
          <w:numId w:val="19"/>
        </w:numPr>
        <w:jc w:val="both"/>
        <w:rPr>
          <w:rFonts w:ascii="Arial" w:hAnsi="Arial" w:cs="Arial"/>
          <w:sz w:val="18"/>
          <w:lang w:val="el-GR"/>
        </w:rPr>
      </w:pPr>
      <w:r w:rsidRPr="006A1797">
        <w:rPr>
          <w:rFonts w:ascii="Arial" w:hAnsi="Arial" w:cs="Arial"/>
          <w:sz w:val="18"/>
          <w:lang w:val="el-GR"/>
        </w:rPr>
        <w:t xml:space="preserve">Υψηλότερο κόστος χρηματοδότησης, αντικατοπτρίζοντας τη συνολική επίδραση που προκύπτει από την έκδοση ομολόγου υψηλής εξοφλητικής προτεραιότητας το 2023 καθώς </w:t>
      </w:r>
      <w:r w:rsidR="00E72898" w:rsidRPr="006A1797">
        <w:rPr>
          <w:rFonts w:ascii="Arial" w:hAnsi="Arial" w:cs="Arial"/>
          <w:sz w:val="18"/>
          <w:lang w:val="el-GR"/>
        </w:rPr>
        <w:t xml:space="preserve">και την έκδοση </w:t>
      </w:r>
      <w:r w:rsidR="00C74936" w:rsidRPr="006A1797">
        <w:rPr>
          <w:rFonts w:ascii="Arial" w:hAnsi="Arial" w:cs="Arial"/>
          <w:sz w:val="18"/>
          <w:lang w:val="el-GR"/>
        </w:rPr>
        <w:t xml:space="preserve">πράσινου ομολόγου υψηλής εξοφλητικής προτεραιότητας </w:t>
      </w:r>
      <w:r w:rsidR="00E72898" w:rsidRPr="006A1797">
        <w:rPr>
          <w:rFonts w:ascii="Arial" w:hAnsi="Arial" w:cs="Arial"/>
          <w:sz w:val="18"/>
          <w:lang w:val="el-GR"/>
        </w:rPr>
        <w:t>που πραγματοποιήθηκε τον Απρίλιο 202</w:t>
      </w:r>
      <w:r w:rsidR="00C74936" w:rsidRPr="006A1797">
        <w:rPr>
          <w:rFonts w:ascii="Arial" w:hAnsi="Arial" w:cs="Arial"/>
          <w:sz w:val="18"/>
          <w:lang w:val="el-GR"/>
        </w:rPr>
        <w:t>4.</w:t>
      </w:r>
    </w:p>
    <w:p w14:paraId="4EE03F39" w14:textId="77777777" w:rsidR="00C74936" w:rsidRDefault="00C74936" w:rsidP="00A3340B">
      <w:pPr>
        <w:pStyle w:val="BodyText3"/>
        <w:tabs>
          <w:tab w:val="clear" w:pos="0"/>
          <w:tab w:val="clear" w:pos="1416"/>
          <w:tab w:val="clear" w:pos="4962"/>
          <w:tab w:val="clear" w:pos="6521"/>
          <w:tab w:val="clear" w:pos="7560"/>
          <w:tab w:val="clear" w:pos="8220"/>
          <w:tab w:val="clear" w:pos="8640"/>
          <w:tab w:val="clear" w:pos="9000"/>
        </w:tabs>
        <w:suppressAutoHyphens w:val="0"/>
        <w:jc w:val="both"/>
        <w:rPr>
          <w:rFonts w:ascii="Arial" w:hAnsi="Arial" w:cs="Arial"/>
          <w:sz w:val="18"/>
          <w:szCs w:val="18"/>
          <w:highlight w:val="yellow"/>
          <w:lang w:val="el-GR"/>
        </w:rPr>
      </w:pPr>
    </w:p>
    <w:p w14:paraId="417E0C24" w14:textId="7568CF6C" w:rsidR="00D76A1D" w:rsidRPr="006A1797" w:rsidRDefault="00D76A1D" w:rsidP="00A3340B">
      <w:pPr>
        <w:pStyle w:val="BodyText3"/>
        <w:tabs>
          <w:tab w:val="clear" w:pos="0"/>
          <w:tab w:val="clear" w:pos="1416"/>
          <w:tab w:val="clear" w:pos="4962"/>
          <w:tab w:val="clear" w:pos="6521"/>
          <w:tab w:val="clear" w:pos="7560"/>
          <w:tab w:val="clear" w:pos="8220"/>
          <w:tab w:val="clear" w:pos="8640"/>
          <w:tab w:val="clear" w:pos="9000"/>
        </w:tabs>
        <w:suppressAutoHyphens w:val="0"/>
        <w:jc w:val="both"/>
        <w:rPr>
          <w:rFonts w:ascii="Arial" w:hAnsi="Arial" w:cs="Arial"/>
          <w:sz w:val="18"/>
          <w:szCs w:val="18"/>
          <w:lang w:val="el-GR"/>
        </w:rPr>
      </w:pPr>
      <w:r w:rsidRPr="006A1797">
        <w:rPr>
          <w:rFonts w:ascii="Arial" w:hAnsi="Arial" w:cs="Arial"/>
          <w:sz w:val="18"/>
          <w:szCs w:val="18"/>
          <w:lang w:val="el-GR"/>
        </w:rPr>
        <w:t xml:space="preserve">Για το 2025, τα καθαρά έσοδα από τόκους αναμένεται να είναι χαμηλότερα από τα επίπεδα του 2024, αλλά να παραμείνουν ισχυρά, ξεπερνώντας τα €700 εκατ., </w:t>
      </w:r>
      <w:r w:rsidR="00841EC1">
        <w:rPr>
          <w:rFonts w:ascii="Arial" w:hAnsi="Arial" w:cs="Arial"/>
          <w:sz w:val="18"/>
          <w:szCs w:val="18"/>
          <w:lang w:val="el-GR"/>
        </w:rPr>
        <w:t xml:space="preserve">βασισμένα σε </w:t>
      </w:r>
      <w:r w:rsidR="00841EC1" w:rsidRPr="006A1797">
        <w:rPr>
          <w:rFonts w:ascii="Arial" w:hAnsi="Arial" w:cs="Arial"/>
          <w:sz w:val="18"/>
          <w:szCs w:val="18"/>
          <w:lang w:val="el-GR"/>
        </w:rPr>
        <w:t xml:space="preserve">επιτόκιο διευκόλυνσης αποδοχής καταθέσεων της ΕΚΤ </w:t>
      </w:r>
      <w:r w:rsidR="00841EC1">
        <w:rPr>
          <w:rFonts w:ascii="Arial" w:hAnsi="Arial" w:cs="Arial"/>
          <w:sz w:val="18"/>
          <w:szCs w:val="18"/>
          <w:lang w:val="el-GR"/>
        </w:rPr>
        <w:t xml:space="preserve">και </w:t>
      </w:r>
      <w:r w:rsidR="00841EC1" w:rsidRPr="006A1797">
        <w:rPr>
          <w:rFonts w:ascii="Arial" w:hAnsi="Arial" w:cs="Arial"/>
          <w:sz w:val="18"/>
          <w:szCs w:val="18"/>
          <w:lang w:val="el-GR"/>
        </w:rPr>
        <w:t>Euribor 6 μηνών</w:t>
      </w:r>
      <w:r w:rsidR="00841EC1">
        <w:rPr>
          <w:rFonts w:ascii="Arial" w:hAnsi="Arial" w:cs="Arial"/>
          <w:sz w:val="18"/>
          <w:szCs w:val="18"/>
          <w:lang w:val="el-GR"/>
        </w:rPr>
        <w:t xml:space="preserve"> </w:t>
      </w:r>
      <w:r w:rsidR="00841EC1" w:rsidRPr="006A1797">
        <w:rPr>
          <w:rFonts w:ascii="Arial" w:hAnsi="Arial" w:cs="Arial"/>
          <w:sz w:val="18"/>
          <w:szCs w:val="18"/>
          <w:lang w:val="el-GR"/>
        </w:rPr>
        <w:t xml:space="preserve">στο </w:t>
      </w:r>
      <w:r w:rsidR="00841EC1">
        <w:rPr>
          <w:rFonts w:ascii="Arial" w:hAnsi="Arial" w:cs="Arial"/>
          <w:sz w:val="18"/>
          <w:szCs w:val="18"/>
          <w:lang w:val="el-GR"/>
        </w:rPr>
        <w:t xml:space="preserve">3.0% </w:t>
      </w:r>
      <w:r w:rsidR="00841EC1" w:rsidRPr="006A1797">
        <w:rPr>
          <w:rFonts w:ascii="Arial" w:hAnsi="Arial" w:cs="Arial"/>
          <w:sz w:val="18"/>
          <w:szCs w:val="18"/>
          <w:lang w:val="el-GR"/>
        </w:rPr>
        <w:t>κατά μέσο όρο</w:t>
      </w:r>
      <w:r w:rsidR="00841EC1">
        <w:rPr>
          <w:rFonts w:ascii="Arial" w:hAnsi="Arial" w:cs="Arial"/>
          <w:sz w:val="18"/>
          <w:szCs w:val="18"/>
          <w:lang w:val="el-GR"/>
        </w:rPr>
        <w:t xml:space="preserve">, </w:t>
      </w:r>
      <w:r w:rsidRPr="00E86FC0">
        <w:rPr>
          <w:rFonts w:ascii="Arial" w:hAnsi="Arial" w:cs="Arial"/>
          <w:sz w:val="18"/>
          <w:szCs w:val="18"/>
          <w:lang w:val="el-GR"/>
        </w:rPr>
        <w:t xml:space="preserve">αντανακλώντας κυρίως τα προβλεπόμενα χαμηλότερα επιτόκια και </w:t>
      </w:r>
      <w:r w:rsidR="00262407">
        <w:rPr>
          <w:rFonts w:ascii="Arial" w:hAnsi="Arial" w:cs="Arial"/>
          <w:sz w:val="18"/>
          <w:szCs w:val="18"/>
          <w:lang w:val="el-GR"/>
        </w:rPr>
        <w:t>το υψηλότερο</w:t>
      </w:r>
      <w:r>
        <w:rPr>
          <w:rFonts w:ascii="Arial" w:hAnsi="Arial" w:cs="Arial"/>
          <w:sz w:val="18"/>
          <w:szCs w:val="18"/>
          <w:lang w:val="el-GR"/>
        </w:rPr>
        <w:t xml:space="preserve"> κόστος των καταθέσεων</w:t>
      </w:r>
      <w:r w:rsidR="00262407">
        <w:rPr>
          <w:rFonts w:ascii="Arial" w:hAnsi="Arial" w:cs="Arial"/>
          <w:sz w:val="18"/>
          <w:szCs w:val="18"/>
          <w:lang w:val="el-GR"/>
        </w:rPr>
        <w:t>, σε σύγκριση με το 2024.</w:t>
      </w:r>
      <w:r>
        <w:rPr>
          <w:rFonts w:ascii="Arial" w:hAnsi="Arial" w:cs="Arial"/>
          <w:sz w:val="18"/>
          <w:szCs w:val="18"/>
          <w:lang w:val="el-GR"/>
        </w:rPr>
        <w:t xml:space="preserve"> </w:t>
      </w:r>
    </w:p>
    <w:p w14:paraId="35C7320C" w14:textId="77777777" w:rsidR="00935D7C" w:rsidRPr="00211AC5" w:rsidRDefault="00935D7C" w:rsidP="00126749">
      <w:pPr>
        <w:pStyle w:val="BodyText3"/>
        <w:jc w:val="both"/>
        <w:rPr>
          <w:rFonts w:ascii="Arial" w:eastAsia="Batang" w:hAnsi="Arial" w:cs="Arial"/>
          <w:sz w:val="12"/>
          <w:szCs w:val="12"/>
          <w:lang w:val="el-GR" w:eastAsia="en-US"/>
        </w:rPr>
      </w:pPr>
    </w:p>
    <w:p w14:paraId="177DD527" w14:textId="47AD3A89" w:rsidR="00933297" w:rsidRPr="006B5511" w:rsidRDefault="00196326" w:rsidP="00196326">
      <w:pPr>
        <w:pStyle w:val="Default"/>
        <w:jc w:val="both"/>
        <w:rPr>
          <w:rFonts w:eastAsia="Times New Roman"/>
          <w:color w:val="auto"/>
          <w:sz w:val="18"/>
          <w:szCs w:val="18"/>
          <w:highlight w:val="yellow"/>
          <w:lang w:val="el-GR" w:eastAsia="el-GR"/>
        </w:rPr>
      </w:pPr>
      <w:r w:rsidRPr="006A1797">
        <w:rPr>
          <w:rFonts w:eastAsia="Times New Roman"/>
          <w:color w:val="auto"/>
          <w:sz w:val="18"/>
          <w:szCs w:val="18"/>
          <w:lang w:val="el-GR" w:eastAsia="el-GR"/>
        </w:rPr>
        <w:t xml:space="preserve">Επιπρόσθετα, το Συγκρότημα στοχεύει στη συνεχή αύξηση των εσόδων μέσω διάφορων πρωτοβουλιών με χαμηλότερες κεφαλαιακές απαιτήσεις, με έμφαση στα καθαρά έσοδα από αμοιβές και προμήθειες, στις ασφαλιστικές και στις μη </w:t>
      </w:r>
      <w:r w:rsidR="00935D7C" w:rsidRPr="006A1797">
        <w:rPr>
          <w:rFonts w:eastAsia="Times New Roman"/>
          <w:color w:val="auto"/>
          <w:sz w:val="18"/>
          <w:szCs w:val="18"/>
          <w:lang w:val="el-GR" w:eastAsia="el-GR"/>
        </w:rPr>
        <w:t xml:space="preserve"> </w:t>
      </w:r>
      <w:r w:rsidRPr="006A1797">
        <w:rPr>
          <w:rFonts w:eastAsia="Times New Roman"/>
          <w:color w:val="auto"/>
          <w:sz w:val="18"/>
          <w:szCs w:val="18"/>
          <w:lang w:val="el-GR" w:eastAsia="el-GR"/>
        </w:rPr>
        <w:t>τραπεζικές υπηρεσίες, ενισχύοντας περαιτέρω το διαφοροποιημένο επιχειρηματικό μοντέλο του. Τα μη επιτοκιακά έσοδα συμβάλλουν σημαντικά στην κερδοφορία του Συγκροτήματος και κάλυπταν κατά μέσο όρο στο παρελθόν περίπου 80% των συνολικών λειτουργικών εξόδων.</w:t>
      </w:r>
      <w:r w:rsidR="00B43BF8" w:rsidRPr="006A1797">
        <w:rPr>
          <w:rFonts w:eastAsia="Times New Roman"/>
          <w:color w:val="auto"/>
          <w:sz w:val="18"/>
          <w:szCs w:val="18"/>
          <w:lang w:val="el-GR" w:eastAsia="el-GR"/>
        </w:rPr>
        <w:t xml:space="preserve"> </w:t>
      </w:r>
      <w:r w:rsidR="000F589D">
        <w:rPr>
          <w:rFonts w:eastAsia="Times New Roman"/>
          <w:color w:val="auto"/>
          <w:sz w:val="18"/>
          <w:szCs w:val="18"/>
          <w:lang w:val="el-GR" w:eastAsia="el-GR"/>
        </w:rPr>
        <w:t>Τ</w:t>
      </w:r>
      <w:r w:rsidRPr="006A1797">
        <w:rPr>
          <w:rFonts w:eastAsia="Times New Roman"/>
          <w:color w:val="auto"/>
          <w:sz w:val="18"/>
          <w:szCs w:val="18"/>
          <w:lang w:val="el-GR" w:eastAsia="el-GR"/>
        </w:rPr>
        <w:t>α μη επιτοκιακά έσοδα αναμένεται να συνεχίσουν να καλύπτουν περίπου 70-80% των συνολικών λειτουργικών εξόδων του Συγκροτήματος, υποστηριζόμενα από την αύξηση στα καθαρά έσοδα από αμοιβές και προμήθειες με ρυθμό ανάλογο περίπου με την αναμενόμενη οικονομική ανάπτυξη</w:t>
      </w:r>
      <w:r w:rsidR="000F589D">
        <w:rPr>
          <w:rFonts w:eastAsia="Times New Roman"/>
          <w:color w:val="auto"/>
          <w:sz w:val="18"/>
          <w:szCs w:val="18"/>
          <w:lang w:val="el-GR" w:eastAsia="el-GR"/>
        </w:rPr>
        <w:t xml:space="preserve"> για το 2024-2025</w:t>
      </w:r>
      <w:r w:rsidR="004E500D" w:rsidRPr="006A1797">
        <w:rPr>
          <w:rFonts w:eastAsia="Times New Roman"/>
          <w:color w:val="auto"/>
          <w:sz w:val="18"/>
          <w:szCs w:val="18"/>
          <w:lang w:val="el-GR" w:eastAsia="el-GR"/>
        </w:rPr>
        <w:t xml:space="preserve">. </w:t>
      </w:r>
    </w:p>
    <w:p w14:paraId="73D66411" w14:textId="77777777" w:rsidR="00196326" w:rsidRPr="00211AC5" w:rsidRDefault="00196326" w:rsidP="00196326">
      <w:pPr>
        <w:pStyle w:val="Default"/>
        <w:jc w:val="both"/>
        <w:rPr>
          <w:color w:val="auto"/>
          <w:sz w:val="12"/>
          <w:szCs w:val="12"/>
          <w:highlight w:val="yellow"/>
          <w:lang w:val="el-GR" w:eastAsia="el-GR"/>
        </w:rPr>
      </w:pPr>
    </w:p>
    <w:p w14:paraId="55A12E4D" w14:textId="21C0C9C2" w:rsidR="00A96CBE" w:rsidRPr="00A96CBE" w:rsidRDefault="00A96CBE" w:rsidP="00A96CBE">
      <w:pPr>
        <w:spacing w:line="240" w:lineRule="auto"/>
        <w:jc w:val="both"/>
        <w:rPr>
          <w:rFonts w:ascii="Arial" w:hAnsi="Arial" w:cs="Arial"/>
          <w:sz w:val="18"/>
          <w:szCs w:val="18"/>
          <w:lang w:val="el-GR" w:eastAsia="el-GR"/>
        </w:rPr>
      </w:pPr>
      <w:r w:rsidRPr="006A1797">
        <w:rPr>
          <w:rFonts w:ascii="Arial" w:hAnsi="Arial" w:cs="Arial"/>
          <w:sz w:val="18"/>
          <w:szCs w:val="18"/>
          <w:lang w:val="el-GR" w:eastAsia="el-GR"/>
        </w:rPr>
        <w:t xml:space="preserve">Η πειθαρχημένη διαχείριση εξόδων παραμένει σημαντική προτεραιότητα του Συγκροτήματος. Ο στόχος για το δείκτη κόστος προς έσοδα αναπροσαρμοσμένος για τον ειδικό φόρο επί των καταθέσεων για το 2024 μειώνεται σε μικρότερος από 35% (σε σύγκριση με τον </w:t>
      </w:r>
      <w:r>
        <w:rPr>
          <w:rFonts w:ascii="Arial" w:hAnsi="Arial" w:cs="Arial"/>
          <w:sz w:val="18"/>
          <w:szCs w:val="18"/>
          <w:lang w:val="el-GR" w:eastAsia="el-GR"/>
        </w:rPr>
        <w:t xml:space="preserve">προηγούμενο </w:t>
      </w:r>
      <w:r w:rsidRPr="006A1797">
        <w:rPr>
          <w:rFonts w:ascii="Arial" w:hAnsi="Arial" w:cs="Arial"/>
          <w:sz w:val="18"/>
          <w:szCs w:val="18"/>
          <w:lang w:val="el-GR" w:eastAsia="el-GR"/>
        </w:rPr>
        <w:t xml:space="preserve">στόχο ύψους περίπου 40%), αντανακλώντας κυρίως τα υψηλότερα έσοδα ως αποτέλεσμα του βελτιωμένου επιτοκιακού περιβάλλοντος. </w:t>
      </w:r>
    </w:p>
    <w:p w14:paraId="64F963B3" w14:textId="123B60E2" w:rsidR="00211AC5" w:rsidRPr="00CF1753" w:rsidRDefault="0043491F" w:rsidP="00211AC5">
      <w:pPr>
        <w:spacing w:line="240" w:lineRule="auto"/>
        <w:jc w:val="both"/>
        <w:rPr>
          <w:rFonts w:ascii="Arial" w:hAnsi="Arial" w:cs="Arial"/>
          <w:bCs/>
          <w:color w:val="FF9900"/>
          <w:sz w:val="24"/>
          <w:szCs w:val="24"/>
          <w:lang w:val="el-GR"/>
        </w:rPr>
      </w:pPr>
      <w:r>
        <w:rPr>
          <w:rFonts w:ascii="Arial" w:hAnsi="Arial" w:cs="Arial"/>
          <w:b/>
          <w:color w:val="FF9900"/>
          <w:sz w:val="24"/>
          <w:szCs w:val="24"/>
          <w:lang w:val="en-US"/>
        </w:rPr>
        <w:lastRenderedPageBreak/>
        <w:t>E</w:t>
      </w:r>
      <w:r w:rsidR="00211AC5" w:rsidRPr="00132262">
        <w:rPr>
          <w:rFonts w:ascii="Arial" w:hAnsi="Arial" w:cs="Arial"/>
          <w:b/>
          <w:color w:val="FF9900"/>
          <w:sz w:val="24"/>
          <w:szCs w:val="24"/>
          <w:lang w:val="el-GR"/>
        </w:rPr>
        <w:t>. Σ</w:t>
      </w:r>
      <w:r w:rsidR="00211AC5" w:rsidRPr="00E86FC0">
        <w:rPr>
          <w:rFonts w:ascii="Arial" w:hAnsi="Arial" w:cs="Arial"/>
          <w:b/>
          <w:color w:val="FF9900"/>
          <w:sz w:val="24"/>
          <w:szCs w:val="24"/>
          <w:lang w:val="el-GR"/>
        </w:rPr>
        <w:t xml:space="preserve">τρατηγική και Προοπτικές </w:t>
      </w:r>
      <w:r w:rsidR="00211AC5" w:rsidRPr="007C2558">
        <w:rPr>
          <w:rFonts w:ascii="Arial" w:hAnsi="Arial" w:cs="Arial"/>
          <w:bCs/>
          <w:color w:val="FF9900"/>
          <w:sz w:val="24"/>
          <w:szCs w:val="24"/>
          <w:lang w:val="el-GR"/>
        </w:rPr>
        <w:t>(συνέχεια)</w:t>
      </w:r>
    </w:p>
    <w:p w14:paraId="740D6414" w14:textId="77777777" w:rsidR="00A96CBE" w:rsidRPr="00A96CBE" w:rsidRDefault="00A96CBE" w:rsidP="00A96CBE">
      <w:pPr>
        <w:spacing w:line="240" w:lineRule="auto"/>
        <w:jc w:val="both"/>
        <w:rPr>
          <w:rFonts w:ascii="Arial" w:hAnsi="Arial" w:cs="Arial"/>
          <w:sz w:val="18"/>
          <w:szCs w:val="18"/>
          <w:lang w:val="el-GR" w:eastAsia="el-GR"/>
        </w:rPr>
      </w:pPr>
      <w:r>
        <w:rPr>
          <w:rFonts w:ascii="Arial" w:hAnsi="Arial" w:cs="Arial"/>
          <w:sz w:val="18"/>
          <w:szCs w:val="18"/>
          <w:lang w:val="el-GR" w:eastAsia="el-GR"/>
        </w:rPr>
        <w:t xml:space="preserve">Για το 2025, ο </w:t>
      </w:r>
      <w:r w:rsidRPr="00132262">
        <w:rPr>
          <w:rFonts w:ascii="Arial" w:hAnsi="Arial" w:cs="Arial"/>
          <w:sz w:val="18"/>
          <w:szCs w:val="18"/>
          <w:lang w:val="el-GR" w:eastAsia="el-GR"/>
        </w:rPr>
        <w:t>δείκτη</w:t>
      </w:r>
      <w:r>
        <w:rPr>
          <w:rFonts w:ascii="Arial" w:hAnsi="Arial" w:cs="Arial"/>
          <w:sz w:val="18"/>
          <w:szCs w:val="18"/>
          <w:lang w:val="el-GR" w:eastAsia="el-GR"/>
        </w:rPr>
        <w:t>ς</w:t>
      </w:r>
      <w:r w:rsidRPr="00132262">
        <w:rPr>
          <w:rFonts w:ascii="Arial" w:hAnsi="Arial" w:cs="Arial"/>
          <w:sz w:val="18"/>
          <w:szCs w:val="18"/>
          <w:lang w:val="el-GR" w:eastAsia="el-GR"/>
        </w:rPr>
        <w:t xml:space="preserve"> κόστος προς έσοδα αναπροσαρμοσμένος για τον ειδικό φόρο επί των καταθέσεων</w:t>
      </w:r>
      <w:r>
        <w:rPr>
          <w:rFonts w:ascii="Arial" w:hAnsi="Arial" w:cs="Arial"/>
          <w:sz w:val="18"/>
          <w:szCs w:val="18"/>
          <w:lang w:val="el-GR" w:eastAsia="el-GR"/>
        </w:rPr>
        <w:t xml:space="preserve"> αναμένεται μικρότερος από 40%, </w:t>
      </w:r>
      <w:r w:rsidRPr="004C6D03">
        <w:rPr>
          <w:rFonts w:ascii="Arial" w:hAnsi="Arial" w:cs="Arial"/>
          <w:sz w:val="18"/>
          <w:szCs w:val="18"/>
          <w:lang w:val="el-GR" w:eastAsia="el-GR"/>
        </w:rPr>
        <w:t>αντανακλώντας κυρίως χαμηλότερα έσοδα ως αποτέλεσμα της σταδιακής μείωσης των επιτοκίων</w:t>
      </w:r>
      <w:r w:rsidRPr="00A96CBE">
        <w:rPr>
          <w:rFonts w:ascii="Arial" w:hAnsi="Arial" w:cs="Arial"/>
          <w:sz w:val="18"/>
          <w:szCs w:val="18"/>
          <w:lang w:val="el-GR" w:eastAsia="el-GR"/>
        </w:rPr>
        <w:t>.</w:t>
      </w:r>
    </w:p>
    <w:p w14:paraId="557B7279" w14:textId="2B17CC2E" w:rsidR="002B0E4C" w:rsidRPr="006B5511" w:rsidRDefault="00A10DF9" w:rsidP="006A1797">
      <w:pPr>
        <w:spacing w:line="240" w:lineRule="auto"/>
        <w:jc w:val="both"/>
        <w:rPr>
          <w:highlight w:val="yellow"/>
          <w:lang w:val="el-GR" w:eastAsia="el-GR"/>
        </w:rPr>
      </w:pPr>
      <w:r w:rsidRPr="006A1797">
        <w:rPr>
          <w:rFonts w:ascii="Arial" w:hAnsi="Arial" w:cs="Arial"/>
          <w:sz w:val="18"/>
          <w:szCs w:val="18"/>
          <w:lang w:val="el-GR" w:eastAsia="el-GR"/>
        </w:rPr>
        <w:t>Όσο αφορά την ποιότητα δανειακού χαρτοφυλακίου</w:t>
      </w:r>
      <w:r w:rsidR="00F9555B" w:rsidRPr="006A1797">
        <w:rPr>
          <w:rFonts w:ascii="Arial" w:hAnsi="Arial" w:cs="Arial"/>
          <w:sz w:val="18"/>
          <w:szCs w:val="18"/>
          <w:lang w:val="el-GR" w:eastAsia="el-GR"/>
        </w:rPr>
        <w:t xml:space="preserve">, </w:t>
      </w:r>
      <w:r w:rsidR="00F9555B" w:rsidRPr="00E86FC0">
        <w:rPr>
          <w:rFonts w:ascii="Arial" w:hAnsi="Arial" w:cs="Arial"/>
          <w:sz w:val="18"/>
          <w:szCs w:val="16"/>
          <w:lang w:val="el-GR"/>
        </w:rPr>
        <w:t xml:space="preserve">το ποσοστό ΜΕΔ προς δάνεια του Συγκροτήματος </w:t>
      </w:r>
      <w:r w:rsidR="00F9555B">
        <w:rPr>
          <w:rFonts w:ascii="Arial" w:hAnsi="Arial" w:cs="Arial"/>
          <w:sz w:val="18"/>
          <w:szCs w:val="16"/>
          <w:lang w:val="el-GR"/>
        </w:rPr>
        <w:t>μειώθηκε</w:t>
      </w:r>
      <w:r w:rsidR="00F9555B" w:rsidRPr="00E86FC0">
        <w:rPr>
          <w:rFonts w:ascii="Arial" w:hAnsi="Arial" w:cs="Arial"/>
          <w:sz w:val="18"/>
          <w:szCs w:val="16"/>
          <w:lang w:val="el-GR"/>
        </w:rPr>
        <w:t xml:space="preserve"> σε 2.8% στις 30 Ιουνίου 2024, </w:t>
      </w:r>
      <w:r w:rsidR="00F9555B">
        <w:rPr>
          <w:rFonts w:ascii="Arial" w:hAnsi="Arial" w:cs="Arial"/>
          <w:sz w:val="18"/>
          <w:szCs w:val="16"/>
          <w:lang w:val="el-GR"/>
        </w:rPr>
        <w:t>υ</w:t>
      </w:r>
      <w:r w:rsidR="00F9555B" w:rsidRPr="00E86FC0">
        <w:rPr>
          <w:rFonts w:ascii="Arial" w:hAnsi="Arial" w:cs="Arial"/>
          <w:sz w:val="18"/>
          <w:szCs w:val="16"/>
          <w:lang w:val="el-GR"/>
        </w:rPr>
        <w:t xml:space="preserve">ποδεικνύοντας ότι </w:t>
      </w:r>
      <w:r w:rsidR="00317AF1">
        <w:rPr>
          <w:rFonts w:ascii="Arial" w:hAnsi="Arial" w:cs="Arial"/>
          <w:sz w:val="18"/>
          <w:szCs w:val="16"/>
          <w:lang w:val="el-GR"/>
        </w:rPr>
        <w:t xml:space="preserve">το Συγκρότημα </w:t>
      </w:r>
      <w:r w:rsidR="00F9555B" w:rsidRPr="00E86FC0">
        <w:rPr>
          <w:rFonts w:ascii="Arial" w:hAnsi="Arial" w:cs="Arial"/>
          <w:sz w:val="18"/>
          <w:szCs w:val="16"/>
          <w:lang w:val="el-GR"/>
        </w:rPr>
        <w:t xml:space="preserve">έχει ήδη ευθυγραμμιστεί </w:t>
      </w:r>
      <w:r w:rsidR="00F9555B">
        <w:rPr>
          <w:rFonts w:ascii="Arial" w:hAnsi="Arial" w:cs="Arial"/>
          <w:sz w:val="18"/>
          <w:szCs w:val="16"/>
          <w:lang w:val="el-GR"/>
        </w:rPr>
        <w:t xml:space="preserve">με </w:t>
      </w:r>
      <w:r w:rsidR="00F9555B" w:rsidRPr="00E86FC0">
        <w:rPr>
          <w:rFonts w:ascii="Arial" w:hAnsi="Arial" w:cs="Arial"/>
          <w:sz w:val="18"/>
          <w:szCs w:val="16"/>
          <w:lang w:val="el-GR"/>
        </w:rPr>
        <w:t>τον στόχο του για ποσοστό ΜΕΔ προς δάνεια που έθεσε για το 2024.</w:t>
      </w:r>
      <w:r w:rsidR="00F9555B">
        <w:rPr>
          <w:rFonts w:ascii="Arial" w:hAnsi="Arial" w:cs="Arial"/>
          <w:sz w:val="18"/>
          <w:szCs w:val="16"/>
          <w:lang w:val="el-GR"/>
        </w:rPr>
        <w:t xml:space="preserve"> Στο πλαίσιο αυτό, το Συγκρότημα στοχεύει για </w:t>
      </w:r>
      <w:r w:rsidR="00F9555B" w:rsidRPr="00132262">
        <w:rPr>
          <w:rFonts w:ascii="Arial" w:hAnsi="Arial" w:cs="Arial"/>
          <w:sz w:val="18"/>
          <w:szCs w:val="16"/>
          <w:lang w:val="el-GR"/>
        </w:rPr>
        <w:t>ποσοστό ΜΕΔ προ</w:t>
      </w:r>
      <w:r w:rsidR="00F9555B" w:rsidRPr="00E86FC0">
        <w:rPr>
          <w:rFonts w:ascii="Arial" w:hAnsi="Arial" w:cs="Arial"/>
          <w:sz w:val="18"/>
          <w:szCs w:val="16"/>
          <w:lang w:val="el-GR"/>
        </w:rPr>
        <w:t>ς δάνεια χαμηλότερο από 3% μέχρι τις 31 Δεκεμβρίου 2024 και χαμηλότερο από 2.5% μέχρι τις 31 Δεκεμβρίου 2025. Επιπρόσθετα</w:t>
      </w:r>
      <w:r w:rsidR="00317AF1" w:rsidRPr="00E86FC0">
        <w:rPr>
          <w:rFonts w:ascii="Arial" w:hAnsi="Arial" w:cs="Arial"/>
          <w:sz w:val="18"/>
          <w:szCs w:val="16"/>
          <w:lang w:val="el-GR"/>
        </w:rPr>
        <w:t xml:space="preserve">, λαμβάνοντας υπόψη </w:t>
      </w:r>
      <w:r w:rsidR="00317AF1" w:rsidRPr="00E86FC0">
        <w:rPr>
          <w:rFonts w:ascii="Arial" w:hAnsi="Arial" w:cs="Arial"/>
          <w:sz w:val="18"/>
          <w:szCs w:val="18"/>
          <w:lang w:val="el-GR"/>
        </w:rPr>
        <w:t xml:space="preserve">τις συνεχιζόμενες ισχυρές επιδόσεις του δανειακού χαρτοφυλακίου, </w:t>
      </w:r>
      <w:r w:rsidR="00317AF1" w:rsidRPr="00E86FC0">
        <w:rPr>
          <w:rFonts w:ascii="Arial" w:hAnsi="Arial" w:cs="Arial"/>
          <w:sz w:val="18"/>
          <w:szCs w:val="16"/>
          <w:lang w:val="el-GR"/>
        </w:rPr>
        <w:t xml:space="preserve">ο στόχος για </w:t>
      </w:r>
      <w:r w:rsidR="00317AF1" w:rsidRPr="006A1797">
        <w:rPr>
          <w:rFonts w:ascii="Arial" w:hAnsi="Arial" w:cs="Arial"/>
          <w:sz w:val="18"/>
          <w:szCs w:val="18"/>
          <w:lang w:val="el-GR" w:eastAsia="el-GR"/>
        </w:rPr>
        <w:t xml:space="preserve">χρέωση πιστωτικών ζημιών δανείων (cost of risk) </w:t>
      </w:r>
      <w:r w:rsidR="00317AF1" w:rsidRPr="006A1797">
        <w:rPr>
          <w:rFonts w:ascii="Arial" w:hAnsi="Arial" w:cs="Arial"/>
          <w:sz w:val="18"/>
          <w:szCs w:val="16"/>
          <w:lang w:val="el-GR"/>
        </w:rPr>
        <w:t>μειώνεται και αναμένεται να ανέλθει σε περίπου 40 μ.β. για το 2024 και να ομαλοποιηθεί σε 40-50 μ.β. το 2025.</w:t>
      </w:r>
    </w:p>
    <w:p w14:paraId="37869F80" w14:textId="20DFB2DE" w:rsidR="00EA4F55" w:rsidRPr="006A1797" w:rsidRDefault="002B0E4C" w:rsidP="00EA4F55">
      <w:pPr>
        <w:pStyle w:val="Footer"/>
        <w:tabs>
          <w:tab w:val="left" w:pos="709"/>
        </w:tabs>
        <w:ind w:right="57"/>
        <w:jc w:val="both"/>
        <w:rPr>
          <w:rFonts w:ascii="Arial" w:hAnsi="Arial" w:cs="Arial"/>
          <w:i/>
          <w:iCs/>
          <w:sz w:val="18"/>
          <w:lang w:val="el-GR"/>
        </w:rPr>
      </w:pPr>
      <w:r w:rsidRPr="006A1797">
        <w:rPr>
          <w:rFonts w:ascii="Arial" w:hAnsi="Arial" w:cs="Arial"/>
          <w:i/>
          <w:iCs/>
          <w:sz w:val="18"/>
          <w:lang w:val="el-GR"/>
        </w:rPr>
        <w:t>Αναβαθμισμένοι Στόχοι Απόδοσης Ενσώματων Ιδίων Κεφαλαίων (ROTE)</w:t>
      </w:r>
    </w:p>
    <w:p w14:paraId="1208F2A5" w14:textId="77777777" w:rsidR="002B0E4C" w:rsidRPr="006B5511" w:rsidRDefault="002B0E4C" w:rsidP="00EA4F55">
      <w:pPr>
        <w:pStyle w:val="Footer"/>
        <w:tabs>
          <w:tab w:val="left" w:pos="709"/>
        </w:tabs>
        <w:ind w:right="57"/>
        <w:jc w:val="both"/>
        <w:rPr>
          <w:rFonts w:ascii="Arial" w:hAnsi="Arial" w:cs="Arial"/>
          <w:b/>
          <w:bCs/>
          <w:sz w:val="18"/>
          <w:szCs w:val="18"/>
          <w:highlight w:val="yellow"/>
          <w:lang w:val="el-GR"/>
        </w:rPr>
      </w:pPr>
    </w:p>
    <w:p w14:paraId="71B9D825" w14:textId="5CE5089F" w:rsidR="002B0E4C" w:rsidRPr="006A1797" w:rsidRDefault="00EA4F55" w:rsidP="00EA4F55">
      <w:pPr>
        <w:pStyle w:val="Footer"/>
        <w:tabs>
          <w:tab w:val="left" w:pos="709"/>
        </w:tabs>
        <w:ind w:right="57"/>
        <w:jc w:val="both"/>
        <w:rPr>
          <w:rFonts w:ascii="Arial" w:eastAsiaTheme="minorEastAsia" w:hAnsi="Arial" w:cs="Arial"/>
          <w:sz w:val="18"/>
          <w:szCs w:val="18"/>
          <w:lang w:val="el-GR" w:eastAsia="el-GR"/>
        </w:rPr>
      </w:pPr>
      <w:r w:rsidRPr="006A1797">
        <w:rPr>
          <w:rFonts w:ascii="Arial" w:eastAsiaTheme="minorEastAsia" w:hAnsi="Arial" w:cs="Arial"/>
          <w:sz w:val="18"/>
          <w:szCs w:val="18"/>
          <w:lang w:val="el-GR" w:eastAsia="el-GR"/>
        </w:rPr>
        <w:t xml:space="preserve">Συνολικά, το Συγκρότημα αναμένει </w:t>
      </w:r>
      <w:r w:rsidR="002B0E4C" w:rsidRPr="006A1797">
        <w:rPr>
          <w:rFonts w:ascii="Arial" w:eastAsiaTheme="minorEastAsia" w:hAnsi="Arial" w:cs="Arial"/>
          <w:sz w:val="18"/>
          <w:szCs w:val="18"/>
          <w:lang w:val="el-GR" w:eastAsia="el-GR"/>
        </w:rPr>
        <w:t xml:space="preserve">να επιτύχει </w:t>
      </w:r>
      <w:r w:rsidRPr="006A1797">
        <w:rPr>
          <w:rFonts w:ascii="Arial" w:eastAsiaTheme="minorEastAsia" w:hAnsi="Arial" w:cs="Arial"/>
          <w:sz w:val="18"/>
          <w:szCs w:val="18"/>
          <w:lang w:val="el-GR" w:eastAsia="el-GR"/>
        </w:rPr>
        <w:t xml:space="preserve">δημιουργία Απόδοσης Ενσώματων Ιδίων Κεφαλαίων (ROTE) πάνω από </w:t>
      </w:r>
      <w:r w:rsidR="002B0E4C" w:rsidRPr="006A1797">
        <w:rPr>
          <w:rFonts w:ascii="Arial" w:eastAsiaTheme="minorEastAsia" w:hAnsi="Arial" w:cs="Arial"/>
          <w:sz w:val="18"/>
          <w:szCs w:val="18"/>
          <w:lang w:val="el-GR" w:eastAsia="el-GR"/>
        </w:rPr>
        <w:t>19</w:t>
      </w:r>
      <w:r w:rsidRPr="006A1797">
        <w:rPr>
          <w:rFonts w:ascii="Arial" w:eastAsiaTheme="minorEastAsia" w:hAnsi="Arial" w:cs="Arial"/>
          <w:sz w:val="18"/>
          <w:szCs w:val="18"/>
          <w:lang w:val="el-GR" w:eastAsia="el-GR"/>
        </w:rPr>
        <w:t>%</w:t>
      </w:r>
      <w:r w:rsidR="002B0E4C" w:rsidRPr="006A1797">
        <w:rPr>
          <w:rFonts w:ascii="Arial" w:eastAsiaTheme="minorEastAsia" w:hAnsi="Arial" w:cs="Arial"/>
          <w:sz w:val="18"/>
          <w:szCs w:val="18"/>
          <w:lang w:val="el-GR" w:eastAsia="el-GR"/>
        </w:rPr>
        <w:t>, που μεταφράζεται σε πάνω από 24%</w:t>
      </w:r>
      <w:r w:rsidR="002B0E4C">
        <w:rPr>
          <w:rFonts w:ascii="Arial" w:eastAsiaTheme="minorEastAsia" w:hAnsi="Arial" w:cs="Arial"/>
          <w:sz w:val="18"/>
          <w:szCs w:val="18"/>
          <w:lang w:val="el-GR" w:eastAsia="el-GR"/>
        </w:rPr>
        <w:t xml:space="preserve"> </w:t>
      </w:r>
      <w:r w:rsidR="006716AB" w:rsidRPr="006A1797">
        <w:rPr>
          <w:rFonts w:ascii="Arial" w:eastAsiaTheme="minorEastAsia" w:hAnsi="Arial" w:cs="Arial"/>
          <w:sz w:val="18"/>
          <w:szCs w:val="18"/>
          <w:lang w:val="el-GR" w:eastAsia="el-GR"/>
        </w:rPr>
        <w:t>υπολογισμέν</w:t>
      </w:r>
      <w:r w:rsidR="002B0E4C" w:rsidRPr="006A1797">
        <w:rPr>
          <w:rFonts w:ascii="Arial" w:eastAsiaTheme="minorEastAsia" w:hAnsi="Arial" w:cs="Arial"/>
          <w:sz w:val="18"/>
          <w:szCs w:val="18"/>
          <w:lang w:val="el-GR" w:eastAsia="el-GR"/>
        </w:rPr>
        <w:t>η</w:t>
      </w:r>
      <w:r w:rsidR="006716AB" w:rsidRPr="006A1797">
        <w:rPr>
          <w:rFonts w:ascii="Arial" w:eastAsiaTheme="minorEastAsia" w:hAnsi="Arial" w:cs="Arial"/>
          <w:sz w:val="18"/>
          <w:szCs w:val="18"/>
          <w:lang w:val="el-GR" w:eastAsia="el-GR"/>
        </w:rPr>
        <w:t xml:space="preserve"> </w:t>
      </w:r>
      <w:r w:rsidRPr="006A1797">
        <w:rPr>
          <w:rFonts w:ascii="Arial" w:eastAsiaTheme="minorEastAsia" w:hAnsi="Arial" w:cs="Arial"/>
          <w:sz w:val="18"/>
          <w:szCs w:val="18"/>
          <w:lang w:val="el-GR" w:eastAsia="el-GR"/>
        </w:rPr>
        <w:t>σε Δείκτη Κεφαλαίου Κοινών Μετοχών Κατηγορίας 1 (CET1) ύψους 15%</w:t>
      </w:r>
      <w:r w:rsidR="002B0E4C" w:rsidRPr="006A1797">
        <w:rPr>
          <w:rFonts w:ascii="Arial" w:eastAsiaTheme="minorEastAsia" w:hAnsi="Arial" w:cs="Arial"/>
          <w:sz w:val="18"/>
          <w:szCs w:val="18"/>
          <w:lang w:val="el-GR" w:eastAsia="el-GR"/>
        </w:rPr>
        <w:t xml:space="preserve"> για το 2024.</w:t>
      </w:r>
      <w:r w:rsidR="002B0E4C">
        <w:rPr>
          <w:rFonts w:ascii="Arial" w:eastAsiaTheme="minorEastAsia" w:hAnsi="Arial" w:cs="Arial"/>
          <w:sz w:val="18"/>
          <w:szCs w:val="18"/>
          <w:lang w:val="el-GR" w:eastAsia="el-GR"/>
        </w:rPr>
        <w:t xml:space="preserve"> Για το 2025, το Συγκρότημα </w:t>
      </w:r>
      <w:r w:rsidR="002B0E4C" w:rsidRPr="00132262">
        <w:rPr>
          <w:rFonts w:ascii="Arial" w:eastAsiaTheme="minorEastAsia" w:hAnsi="Arial" w:cs="Arial"/>
          <w:sz w:val="18"/>
          <w:szCs w:val="18"/>
          <w:lang w:val="el-GR" w:eastAsia="el-GR"/>
        </w:rPr>
        <w:t xml:space="preserve">αναμένει </w:t>
      </w:r>
      <w:r w:rsidR="002B0E4C">
        <w:rPr>
          <w:rFonts w:ascii="Arial" w:eastAsiaTheme="minorEastAsia" w:hAnsi="Arial" w:cs="Arial"/>
          <w:sz w:val="18"/>
          <w:szCs w:val="18"/>
          <w:lang w:val="el-GR" w:eastAsia="el-GR"/>
        </w:rPr>
        <w:t xml:space="preserve">δημιουργία </w:t>
      </w:r>
      <w:r w:rsidR="002B0E4C" w:rsidRPr="00132262">
        <w:rPr>
          <w:rFonts w:ascii="Arial" w:eastAsiaTheme="minorEastAsia" w:hAnsi="Arial" w:cs="Arial"/>
          <w:sz w:val="18"/>
          <w:szCs w:val="18"/>
          <w:lang w:val="el-GR" w:eastAsia="el-GR"/>
        </w:rPr>
        <w:t>Απόδοσης Ενσώματων Ιδίων Κεφαλαίων (ROTE)</w:t>
      </w:r>
      <w:r w:rsidR="002B0E4C" w:rsidRPr="006A1797">
        <w:rPr>
          <w:rFonts w:ascii="Arial" w:eastAsiaTheme="minorEastAsia" w:hAnsi="Arial" w:cs="Arial"/>
          <w:sz w:val="18"/>
          <w:szCs w:val="18"/>
          <w:lang w:val="el-GR" w:eastAsia="el-GR"/>
        </w:rPr>
        <w:t xml:space="preserve"> σε επίπεδα mid-teens, </w:t>
      </w:r>
      <w:r w:rsidR="002B0E4C">
        <w:rPr>
          <w:rFonts w:ascii="Arial" w:eastAsiaTheme="minorEastAsia" w:hAnsi="Arial" w:cs="Arial"/>
          <w:sz w:val="18"/>
          <w:szCs w:val="18"/>
          <w:lang w:val="el-GR" w:eastAsia="el-GR"/>
        </w:rPr>
        <w:t xml:space="preserve">που </w:t>
      </w:r>
      <w:r w:rsidR="00A95915" w:rsidRPr="006A1797">
        <w:rPr>
          <w:rFonts w:ascii="Arial" w:eastAsiaTheme="minorEastAsia" w:hAnsi="Arial" w:cs="Arial"/>
          <w:sz w:val="18"/>
          <w:szCs w:val="18"/>
          <w:lang w:val="el-GR" w:eastAsia="el-GR"/>
        </w:rPr>
        <w:t>αντιστοιχεί</w:t>
      </w:r>
      <w:r w:rsidR="00A95915">
        <w:rPr>
          <w:rFonts w:ascii="Arial" w:eastAsiaTheme="minorEastAsia" w:hAnsi="Arial" w:cs="Arial"/>
          <w:sz w:val="18"/>
          <w:szCs w:val="18"/>
          <w:lang w:val="el-GR" w:eastAsia="el-GR"/>
        </w:rPr>
        <w:t xml:space="preserve"> </w:t>
      </w:r>
      <w:r w:rsidR="002B0E4C">
        <w:rPr>
          <w:rFonts w:ascii="Arial" w:eastAsiaTheme="minorEastAsia" w:hAnsi="Arial" w:cs="Arial"/>
          <w:sz w:val="18"/>
          <w:szCs w:val="18"/>
          <w:lang w:val="el-GR" w:eastAsia="el-GR"/>
        </w:rPr>
        <w:t xml:space="preserve">σε </w:t>
      </w:r>
      <w:r w:rsidR="00401D24" w:rsidRPr="006A1797">
        <w:rPr>
          <w:rFonts w:ascii="Arial" w:eastAsiaTheme="minorEastAsia" w:hAnsi="Arial" w:cs="Arial"/>
          <w:sz w:val="18"/>
          <w:szCs w:val="18"/>
          <w:lang w:val="el-GR" w:eastAsia="el-GR"/>
        </w:rPr>
        <w:t xml:space="preserve">επίπεδα </w:t>
      </w:r>
      <w:r w:rsidR="00401D24">
        <w:rPr>
          <w:rFonts w:ascii="Arial" w:eastAsiaTheme="minorEastAsia" w:hAnsi="Arial" w:cs="Arial"/>
          <w:sz w:val="18"/>
          <w:szCs w:val="18"/>
          <w:lang w:val="en-US" w:eastAsia="el-GR"/>
        </w:rPr>
        <w:t>high</w:t>
      </w:r>
      <w:r w:rsidR="00401D24" w:rsidRPr="006A1797">
        <w:rPr>
          <w:rFonts w:ascii="Arial" w:eastAsiaTheme="minorEastAsia" w:hAnsi="Arial" w:cs="Arial"/>
          <w:sz w:val="18"/>
          <w:szCs w:val="18"/>
          <w:lang w:val="el-GR" w:eastAsia="el-GR"/>
        </w:rPr>
        <w:t>-teens</w:t>
      </w:r>
      <w:r w:rsidR="00401D24" w:rsidRPr="00401D24">
        <w:rPr>
          <w:rFonts w:ascii="Arial" w:eastAsiaTheme="minorEastAsia" w:hAnsi="Arial" w:cs="Arial"/>
          <w:sz w:val="18"/>
          <w:szCs w:val="18"/>
          <w:lang w:val="el-GR" w:eastAsia="el-GR"/>
        </w:rPr>
        <w:t xml:space="preserve"> </w:t>
      </w:r>
      <w:r w:rsidR="002B0E4C" w:rsidRPr="00132262">
        <w:rPr>
          <w:rFonts w:ascii="Arial" w:eastAsiaTheme="minorEastAsia" w:hAnsi="Arial" w:cs="Arial"/>
          <w:sz w:val="18"/>
          <w:szCs w:val="18"/>
          <w:lang w:val="el-GR" w:eastAsia="el-GR"/>
        </w:rPr>
        <w:t>υπολογισμένη σε Δείκτη Κεφαλαίου Κοινών Μετοχών Κα</w:t>
      </w:r>
      <w:r w:rsidR="002B0E4C" w:rsidRPr="00E86FC0">
        <w:rPr>
          <w:rFonts w:ascii="Arial" w:eastAsiaTheme="minorEastAsia" w:hAnsi="Arial" w:cs="Arial"/>
          <w:sz w:val="18"/>
          <w:szCs w:val="18"/>
          <w:lang w:val="el-GR" w:eastAsia="el-GR"/>
        </w:rPr>
        <w:t xml:space="preserve">τηγορίας 1 (CET1) ύψους 15%. </w:t>
      </w:r>
      <w:r w:rsidR="00A95915" w:rsidRPr="00E86FC0">
        <w:rPr>
          <w:rFonts w:ascii="Arial" w:eastAsiaTheme="minorEastAsia" w:hAnsi="Arial" w:cs="Arial"/>
          <w:sz w:val="18"/>
          <w:szCs w:val="18"/>
          <w:lang w:val="el-GR" w:eastAsia="el-GR"/>
        </w:rPr>
        <w:t xml:space="preserve">Αυτή η ισχυρή επίδοση για το 2024 και 2025, θα συμβάλλει στην ταχεία δημιουργία κεφαλαίου, </w:t>
      </w:r>
      <w:r w:rsidR="00A95915" w:rsidRPr="006A1797">
        <w:rPr>
          <w:rFonts w:ascii="Arial" w:eastAsiaTheme="minorEastAsia" w:hAnsi="Arial" w:cs="Arial"/>
          <w:sz w:val="18"/>
          <w:szCs w:val="18"/>
          <w:lang w:val="el-GR" w:eastAsia="el-GR"/>
        </w:rPr>
        <w:t xml:space="preserve">με τη δημιουργία CET1 κεφαλαίου να αναμένεται να ξεπεράσει τις 300 μ.β. ετησίως, πριν την αφαίρεση των </w:t>
      </w:r>
      <w:r w:rsidR="00AD75DA">
        <w:rPr>
          <w:rFonts w:ascii="Arial" w:eastAsiaTheme="minorEastAsia" w:hAnsi="Arial" w:cs="Arial"/>
          <w:sz w:val="18"/>
          <w:szCs w:val="18"/>
          <w:lang w:val="el-GR" w:eastAsia="el-GR"/>
        </w:rPr>
        <w:t>διανομών</w:t>
      </w:r>
      <w:r w:rsidR="00A95915" w:rsidRPr="006A1797">
        <w:rPr>
          <w:rFonts w:ascii="Arial" w:eastAsiaTheme="minorEastAsia" w:hAnsi="Arial" w:cs="Arial"/>
          <w:sz w:val="18"/>
          <w:szCs w:val="18"/>
          <w:lang w:val="el-GR" w:eastAsia="el-GR"/>
        </w:rPr>
        <w:t>.</w:t>
      </w:r>
    </w:p>
    <w:p w14:paraId="3CE03C47" w14:textId="776A9340" w:rsidR="00A95915" w:rsidRPr="006A1797" w:rsidRDefault="00A95915" w:rsidP="00EA4F55">
      <w:pPr>
        <w:pStyle w:val="Footer"/>
        <w:tabs>
          <w:tab w:val="left" w:pos="709"/>
        </w:tabs>
        <w:ind w:right="57"/>
        <w:jc w:val="both"/>
        <w:rPr>
          <w:rFonts w:ascii="Arial" w:eastAsiaTheme="minorEastAsia" w:hAnsi="Arial" w:cs="Arial"/>
          <w:sz w:val="18"/>
          <w:szCs w:val="18"/>
          <w:lang w:val="el-GR" w:eastAsia="el-GR"/>
        </w:rPr>
      </w:pPr>
    </w:p>
    <w:p w14:paraId="6BCBF00E" w14:textId="49970E5B" w:rsidR="00A95915" w:rsidRPr="006A1797" w:rsidRDefault="00436FC6" w:rsidP="00EA4F55">
      <w:pPr>
        <w:pStyle w:val="Footer"/>
        <w:tabs>
          <w:tab w:val="left" w:pos="709"/>
        </w:tabs>
        <w:ind w:right="57"/>
        <w:jc w:val="both"/>
        <w:rPr>
          <w:rFonts w:ascii="Arial" w:eastAsiaTheme="minorEastAsia" w:hAnsi="Arial" w:cs="Arial"/>
          <w:sz w:val="18"/>
          <w:szCs w:val="18"/>
          <w:lang w:val="el-GR" w:eastAsia="el-GR"/>
        </w:rPr>
      </w:pPr>
      <w:r>
        <w:rPr>
          <w:rFonts w:ascii="Arial" w:eastAsiaTheme="minorEastAsia" w:hAnsi="Arial" w:cs="Arial"/>
          <w:sz w:val="18"/>
          <w:szCs w:val="18"/>
          <w:lang w:val="el-GR" w:eastAsia="el-GR"/>
        </w:rPr>
        <w:t>Σε</w:t>
      </w:r>
      <w:r w:rsidR="00A95915" w:rsidRPr="006A1797">
        <w:rPr>
          <w:rFonts w:ascii="Arial" w:eastAsiaTheme="minorEastAsia" w:hAnsi="Arial" w:cs="Arial"/>
          <w:sz w:val="18"/>
          <w:szCs w:val="18"/>
          <w:lang w:val="el-GR" w:eastAsia="el-GR"/>
        </w:rPr>
        <w:t xml:space="preserve"> ένα περιβάλλον ομαλοποιημένων επιτοκίων (περίπου 2.5%),</w:t>
      </w:r>
      <w:r>
        <w:rPr>
          <w:rFonts w:ascii="Arial" w:eastAsiaTheme="minorEastAsia" w:hAnsi="Arial" w:cs="Arial"/>
          <w:sz w:val="18"/>
          <w:szCs w:val="18"/>
          <w:lang w:val="el-GR" w:eastAsia="el-GR"/>
        </w:rPr>
        <w:t xml:space="preserve"> </w:t>
      </w:r>
      <w:r w:rsidR="00A95915" w:rsidRPr="006A1797">
        <w:rPr>
          <w:rFonts w:ascii="Arial" w:eastAsiaTheme="minorEastAsia" w:hAnsi="Arial" w:cs="Arial"/>
          <w:sz w:val="18"/>
          <w:szCs w:val="18"/>
          <w:lang w:val="el-GR" w:eastAsia="el-GR"/>
        </w:rPr>
        <w:t xml:space="preserve">ο στόχος του Συγκροτήματος για </w:t>
      </w:r>
      <w:r w:rsidR="00A95915" w:rsidRPr="00E86FC0">
        <w:rPr>
          <w:rFonts w:ascii="Arial" w:eastAsiaTheme="minorEastAsia" w:hAnsi="Arial" w:cs="Arial"/>
          <w:sz w:val="18"/>
          <w:szCs w:val="18"/>
          <w:lang w:val="el-GR" w:eastAsia="el-GR"/>
        </w:rPr>
        <w:t xml:space="preserve">δημιουργία Απόδοσης Ενσώματων Ιδίων Κεφαλαίων (ROTE) σε επίπεδα mid-teens παραμένει. </w:t>
      </w:r>
      <w:r w:rsidR="00A95915" w:rsidRPr="006A1797">
        <w:rPr>
          <w:rFonts w:ascii="Arial" w:eastAsiaTheme="minorEastAsia" w:hAnsi="Arial" w:cs="Arial"/>
          <w:sz w:val="18"/>
          <w:szCs w:val="18"/>
          <w:lang w:val="el-GR" w:eastAsia="el-GR"/>
        </w:rPr>
        <w:t xml:space="preserve">  </w:t>
      </w:r>
    </w:p>
    <w:p w14:paraId="512B37D6" w14:textId="77777777" w:rsidR="00EA4F55" w:rsidRPr="006B5511" w:rsidRDefault="00EA4F55" w:rsidP="00EA4F55">
      <w:pPr>
        <w:pStyle w:val="Footer"/>
        <w:tabs>
          <w:tab w:val="left" w:pos="709"/>
        </w:tabs>
        <w:ind w:right="57"/>
        <w:jc w:val="both"/>
        <w:rPr>
          <w:rFonts w:ascii="Arial" w:eastAsiaTheme="minorEastAsia" w:hAnsi="Arial" w:cs="Arial"/>
          <w:sz w:val="18"/>
          <w:szCs w:val="18"/>
          <w:highlight w:val="yellow"/>
          <w:lang w:val="el-GR" w:eastAsia="el-GR"/>
        </w:rPr>
      </w:pPr>
    </w:p>
    <w:p w14:paraId="617D18F1" w14:textId="2CAEFDEB" w:rsidR="00A95915" w:rsidRPr="00132262" w:rsidRDefault="00A95915" w:rsidP="00A95915">
      <w:pPr>
        <w:pStyle w:val="Footer"/>
        <w:tabs>
          <w:tab w:val="left" w:pos="709"/>
        </w:tabs>
        <w:ind w:right="57"/>
        <w:jc w:val="both"/>
        <w:rPr>
          <w:rFonts w:ascii="Arial" w:hAnsi="Arial" w:cs="Arial"/>
          <w:i/>
          <w:iCs/>
          <w:sz w:val="18"/>
          <w:lang w:val="el-GR"/>
        </w:rPr>
      </w:pPr>
      <w:r>
        <w:rPr>
          <w:rFonts w:ascii="Arial" w:hAnsi="Arial" w:cs="Arial"/>
          <w:i/>
          <w:iCs/>
          <w:sz w:val="18"/>
          <w:lang w:val="el-GR"/>
        </w:rPr>
        <w:t>Διανομές</w:t>
      </w:r>
    </w:p>
    <w:p w14:paraId="0D0370A2" w14:textId="77777777" w:rsidR="0074241C" w:rsidRPr="006B5511" w:rsidRDefault="0074241C" w:rsidP="00D35D03">
      <w:pPr>
        <w:spacing w:after="0" w:line="240" w:lineRule="auto"/>
        <w:jc w:val="both"/>
        <w:rPr>
          <w:rFonts w:ascii="Arial" w:hAnsi="Arial" w:cs="Arial"/>
          <w:sz w:val="18"/>
          <w:szCs w:val="18"/>
          <w:highlight w:val="yellow"/>
          <w:lang w:val="el-GR"/>
        </w:rPr>
      </w:pPr>
    </w:p>
    <w:p w14:paraId="7EF61F50" w14:textId="77777777" w:rsidR="004A6139" w:rsidRDefault="004A6139" w:rsidP="004A6139">
      <w:pPr>
        <w:spacing w:after="0" w:line="240" w:lineRule="auto"/>
        <w:jc w:val="both"/>
        <w:rPr>
          <w:rFonts w:ascii="Arial" w:hAnsi="Arial" w:cs="Arial"/>
          <w:bCs/>
          <w:sz w:val="18"/>
          <w:szCs w:val="28"/>
          <w:lang w:val="el-GR"/>
        </w:rPr>
      </w:pPr>
      <w:r w:rsidRPr="00E716AA">
        <w:rPr>
          <w:rFonts w:ascii="Arial" w:hAnsi="Arial" w:cs="Arial"/>
          <w:bCs/>
          <w:sz w:val="18"/>
          <w:szCs w:val="28"/>
          <w:lang w:val="el-GR"/>
        </w:rPr>
        <w:t>Στόχος του Συγκροτήματος είναι η παροχή σταθερής απόδοσης στους μετόχους. Σύμφωνα με την πολιτική διανομής του Συγκροτήματος, οι διανομές αναμένεται να σημειώνουν σταδιακή αύξηση με στόχο το ποσοστό (payout ratio) να κυμαίνεται μεταξύ 30-50% της προσαρμοσμένης κερδοφορίας πριν των μη επαναλαμβανόμενων στοιχείων του Συγκροτήματος, και να περιλαμβάνουν μερίσματα σε μετρητά και επαναγορά ιδίων μετοχών</w:t>
      </w:r>
      <w:r w:rsidRPr="004A6139">
        <w:rPr>
          <w:rFonts w:ascii="Arial" w:hAnsi="Arial" w:cs="Arial"/>
          <w:bCs/>
          <w:sz w:val="18"/>
          <w:szCs w:val="28"/>
          <w:lang w:val="el-GR"/>
        </w:rPr>
        <w:t xml:space="preserve">, </w:t>
      </w:r>
      <w:r>
        <w:rPr>
          <w:rFonts w:ascii="Arial" w:hAnsi="Arial" w:cs="Arial"/>
          <w:bCs/>
          <w:sz w:val="18"/>
          <w:szCs w:val="28"/>
          <w:lang w:val="el-GR"/>
        </w:rPr>
        <w:t>με οποιαδήποτε διανομή να υπόκειται σε κανονιστικές εγκρίσεις</w:t>
      </w:r>
      <w:r w:rsidRPr="00E716AA">
        <w:rPr>
          <w:rFonts w:ascii="Arial" w:hAnsi="Arial" w:cs="Arial"/>
          <w:bCs/>
          <w:sz w:val="18"/>
          <w:szCs w:val="28"/>
          <w:lang w:val="el-GR"/>
        </w:rPr>
        <w:t xml:space="preserve">. Σύμφωνα με την πολιτική διανομής του Συγκροτήματος, το Συγκρότημα είναι προσηλωμένο στην παροχή σταθερών και αυξανόμενων διανομών, συνδυάζοντας μέρισμα σε μετρητά και επαναγορά ιδίων μετοχών, διατηρώντας παράλληλα την ισχυρή κεφαλαιακή του θέση, στηρίζοντας έτσι την αύξηση της κερδοφορίας και τη συνετή ετοιμασία του Συγκροτήματος ως προς τις επερχόμενες πιθανές κανονιστικές αλλαγές. Υποστηριζόμενο από την συνεχή του πρόοδο ως προς τους στρατηγικούς του στόχους, το Συγκρότημα, για το 2024, επιδιώκει να κινηθεί ως </w:t>
      </w:r>
      <w:r w:rsidRPr="00A92737">
        <w:rPr>
          <w:rFonts w:ascii="Arial" w:hAnsi="Arial" w:cs="Arial"/>
          <w:bCs/>
          <w:sz w:val="18"/>
          <w:szCs w:val="28"/>
          <w:lang w:val="el-GR"/>
        </w:rPr>
        <w:t>προς το υψηλότερο άκρο του εύρους του ποσοστού διανομής (δηλαδή 50%), ανάλογα με τις απαιτούμενες εγκρίσεις</w:t>
      </w:r>
      <w:r w:rsidRPr="00E716AA">
        <w:rPr>
          <w:rFonts w:ascii="Arial" w:hAnsi="Arial" w:cs="Arial"/>
          <w:bCs/>
          <w:sz w:val="18"/>
          <w:szCs w:val="28"/>
          <w:lang w:val="el-GR"/>
        </w:rPr>
        <w:t>. Οποιοδήποτε προτεινόμενο ποσό διανομής, καθώς και η προβλεπόμενη κατανομή μεταξύ μερίσματος σε μετρητά και επαναγοράς ιδίων μετοχών, θα λαμβάνει υπόψη τις συνθήκες της αγοράς όπως επίσης και τα αποτελέσματα του σχεδιασμού κεφαλαίου και ρευστότητας κατά τη δεδομένη χρονική στιγμή. Δεδομένης της ισχυρής δημιουργίας κεφαλαίου, η πολιτική διανομής του Συγκροτήματος αναμένεται να επανεξεταστεί με τα οικονομικά αποτελέσματα για το έτος 2024, στο πλαίσιο των εκάστοτε συνθηκών της αγοράς</w:t>
      </w:r>
      <w:r>
        <w:rPr>
          <w:rFonts w:ascii="Arial" w:hAnsi="Arial" w:cs="Arial"/>
          <w:bCs/>
          <w:sz w:val="18"/>
          <w:szCs w:val="28"/>
          <w:lang w:val="el-GR"/>
        </w:rPr>
        <w:t>.</w:t>
      </w:r>
    </w:p>
    <w:p w14:paraId="29394B53" w14:textId="77777777" w:rsidR="00C710CB" w:rsidRPr="00CF1753" w:rsidRDefault="00C710CB" w:rsidP="00D35D03">
      <w:pPr>
        <w:spacing w:after="0" w:line="240" w:lineRule="auto"/>
        <w:jc w:val="both"/>
        <w:rPr>
          <w:rFonts w:ascii="Arial" w:hAnsi="Arial"/>
          <w:sz w:val="18"/>
          <w:highlight w:val="yellow"/>
          <w:lang w:val="el-GR"/>
        </w:rPr>
      </w:pPr>
    </w:p>
    <w:p w14:paraId="2D232EB5" w14:textId="1741C564" w:rsidR="003524F2" w:rsidRPr="006A1797" w:rsidRDefault="003524F2" w:rsidP="00004707">
      <w:pPr>
        <w:spacing w:line="240" w:lineRule="auto"/>
        <w:jc w:val="both"/>
        <w:rPr>
          <w:rFonts w:ascii="Arial" w:hAnsi="Arial" w:cs="Arial"/>
          <w:i/>
          <w:iCs/>
          <w:sz w:val="18"/>
          <w:szCs w:val="18"/>
          <w:highlight w:val="yellow"/>
          <w:lang w:val="el-GR"/>
        </w:rPr>
      </w:pPr>
      <w:bookmarkStart w:id="34" w:name="_Hlk173502792"/>
      <w:r w:rsidRPr="006A1797">
        <w:rPr>
          <w:rFonts w:ascii="Arial" w:hAnsi="Arial" w:cs="Arial"/>
          <w:i/>
          <w:iCs/>
          <w:sz w:val="18"/>
          <w:szCs w:val="18"/>
          <w:lang w:val="el-GR"/>
        </w:rPr>
        <w:t xml:space="preserve">Πρόταση για ενίσχυση </w:t>
      </w:r>
      <w:r w:rsidR="008A11BC">
        <w:rPr>
          <w:rFonts w:ascii="Arial" w:hAnsi="Arial" w:cs="Arial"/>
          <w:i/>
          <w:iCs/>
          <w:sz w:val="18"/>
          <w:szCs w:val="18"/>
          <w:lang w:val="el-GR"/>
        </w:rPr>
        <w:t>της παρουσίας του Συγκροτήματος στις αγορές και βελτίωση της</w:t>
      </w:r>
      <w:r w:rsidRPr="006A1797">
        <w:rPr>
          <w:rFonts w:ascii="Arial" w:hAnsi="Arial" w:cs="Arial"/>
          <w:i/>
          <w:iCs/>
          <w:sz w:val="18"/>
          <w:szCs w:val="18"/>
          <w:lang w:val="el-GR"/>
        </w:rPr>
        <w:t xml:space="preserve"> ρευστότητας</w:t>
      </w:r>
      <w:r w:rsidR="008A11BC">
        <w:rPr>
          <w:rFonts w:ascii="Arial" w:hAnsi="Arial" w:cs="Arial"/>
          <w:i/>
          <w:iCs/>
          <w:sz w:val="18"/>
          <w:szCs w:val="18"/>
          <w:lang w:val="el-GR"/>
        </w:rPr>
        <w:t xml:space="preserve"> της μετοχής</w:t>
      </w:r>
      <w:r w:rsidRPr="006A1797">
        <w:rPr>
          <w:rFonts w:ascii="Arial" w:hAnsi="Arial" w:cs="Arial"/>
          <w:i/>
          <w:iCs/>
          <w:sz w:val="18"/>
          <w:szCs w:val="18"/>
          <w:lang w:val="el-GR"/>
        </w:rPr>
        <w:t xml:space="preserve"> μέσω της εισαγωγής στο Χρηματιστήριο Αθηνών</w:t>
      </w:r>
    </w:p>
    <w:p w14:paraId="0E15A096" w14:textId="4B988DD5" w:rsidR="003524F2" w:rsidRPr="00874358" w:rsidRDefault="003524F2" w:rsidP="00004707">
      <w:pPr>
        <w:spacing w:line="240" w:lineRule="auto"/>
        <w:jc w:val="both"/>
        <w:rPr>
          <w:rFonts w:ascii="Arial" w:hAnsi="Arial" w:cs="Arial"/>
          <w:sz w:val="18"/>
          <w:szCs w:val="18"/>
          <w:lang w:val="el-GR"/>
        </w:rPr>
      </w:pPr>
      <w:r w:rsidRPr="006A1797">
        <w:rPr>
          <w:rFonts w:ascii="Arial" w:hAnsi="Arial" w:cs="Arial"/>
          <w:sz w:val="18"/>
          <w:szCs w:val="18"/>
          <w:lang w:val="el-GR"/>
        </w:rPr>
        <w:t xml:space="preserve">Στο πλαίσιο της αξιολόγησης </w:t>
      </w:r>
      <w:r w:rsidR="00CA05EE">
        <w:rPr>
          <w:rFonts w:ascii="Arial" w:hAnsi="Arial" w:cs="Arial"/>
          <w:sz w:val="18"/>
          <w:szCs w:val="18"/>
          <w:lang w:val="el-GR"/>
        </w:rPr>
        <w:t>της στρατηγικής</w:t>
      </w:r>
      <w:r w:rsidRPr="006A1797">
        <w:rPr>
          <w:rFonts w:ascii="Arial" w:hAnsi="Arial" w:cs="Arial"/>
          <w:sz w:val="18"/>
          <w:szCs w:val="18"/>
          <w:lang w:val="el-GR"/>
        </w:rPr>
        <w:t xml:space="preserve"> του Συγκροτήματος για την επίτευξη των μακροπρόθεσμων στρατηγικών του στόχων και τη δημιουργία σταθερής αξίας για τους μετόχους, το Διοικητικό Συμβούλιο αξιολογεί τον τρόπο ενίσχυσης </w:t>
      </w:r>
      <w:r>
        <w:rPr>
          <w:rFonts w:ascii="Arial" w:hAnsi="Arial" w:cs="Arial"/>
          <w:sz w:val="18"/>
          <w:szCs w:val="18"/>
          <w:lang w:val="el-GR"/>
        </w:rPr>
        <w:t xml:space="preserve">της </w:t>
      </w:r>
      <w:r w:rsidRPr="006A1797">
        <w:rPr>
          <w:rFonts w:ascii="Arial" w:hAnsi="Arial" w:cs="Arial"/>
          <w:sz w:val="18"/>
          <w:szCs w:val="18"/>
          <w:lang w:val="el-GR"/>
        </w:rPr>
        <w:t>ρευστότητας των κοινών μετοχών του Συγκροτήματος, οι οποίες επί του παρόντος είναι εισηγμένες στο Χρηματιστήριο Αξιών Λονδίνου και στο Χρηματιστήριο Αξιών Κύπρου</w:t>
      </w:r>
      <w:r>
        <w:rPr>
          <w:rFonts w:ascii="Arial" w:hAnsi="Arial" w:cs="Arial"/>
          <w:sz w:val="18"/>
          <w:szCs w:val="18"/>
          <w:lang w:val="el-GR"/>
        </w:rPr>
        <w:t xml:space="preserve">. </w:t>
      </w:r>
      <w:r w:rsidRPr="003524F2">
        <w:rPr>
          <w:rFonts w:ascii="Arial" w:hAnsi="Arial" w:cs="Arial"/>
          <w:sz w:val="18"/>
          <w:szCs w:val="18"/>
          <w:lang w:val="el-GR"/>
        </w:rPr>
        <w:t>Σε συνέχεια εκτεταμένης επικοινωνίας με τα ενδιαφερόμενα μέρη του Συγκροτήματος</w:t>
      </w:r>
      <w:r>
        <w:rPr>
          <w:rFonts w:ascii="Arial" w:hAnsi="Arial" w:cs="Arial"/>
          <w:sz w:val="18"/>
          <w:szCs w:val="18"/>
          <w:lang w:val="el-GR"/>
        </w:rPr>
        <w:t xml:space="preserve">, </w:t>
      </w:r>
      <w:r w:rsidRPr="006A1797">
        <w:rPr>
          <w:rFonts w:ascii="Arial" w:hAnsi="Arial" w:cs="Arial"/>
          <w:sz w:val="18"/>
          <w:szCs w:val="18"/>
          <w:lang w:val="el-GR"/>
        </w:rPr>
        <w:t xml:space="preserve">το Διοικητικό Συμβούλιο κατέληξε πως η εισαγωγή στο Χρηματιστήριο Αθηνών, σε συνδυασμό με τη διαγραφή από το Χρηματιστήριο Αξιών του Λονδίνου, θα αποφέρει μια σειρά από μακροπρόθεσμα στρατηγικά οφέλη και θα </w:t>
      </w:r>
      <w:r w:rsidR="00CA4027">
        <w:rPr>
          <w:rFonts w:ascii="Arial" w:hAnsi="Arial" w:cs="Arial"/>
          <w:sz w:val="18"/>
          <w:szCs w:val="18"/>
          <w:lang w:val="el-GR"/>
        </w:rPr>
        <w:t>ενισχύσει</w:t>
      </w:r>
      <w:r w:rsidRPr="006A1797">
        <w:rPr>
          <w:rFonts w:ascii="Arial" w:hAnsi="Arial" w:cs="Arial"/>
          <w:sz w:val="18"/>
          <w:szCs w:val="18"/>
          <w:lang w:val="el-GR"/>
        </w:rPr>
        <w:t xml:space="preserve"> την παρουσία του Συγκροτήματος στις αγορές.</w:t>
      </w:r>
      <w:r w:rsidR="006261EF" w:rsidRPr="00874358">
        <w:rPr>
          <w:rFonts w:ascii="Arial" w:hAnsi="Arial" w:cs="Arial"/>
          <w:sz w:val="18"/>
          <w:szCs w:val="18"/>
          <w:lang w:val="el-GR"/>
        </w:rPr>
        <w:t xml:space="preserve"> </w:t>
      </w:r>
      <w:r w:rsidR="001065FE" w:rsidRPr="00874358">
        <w:rPr>
          <w:rFonts w:ascii="Arial" w:hAnsi="Arial" w:cs="Arial"/>
          <w:sz w:val="18"/>
          <w:szCs w:val="18"/>
          <w:lang w:val="el-GR"/>
        </w:rPr>
        <w:t>Αυτές περιλαμβάνουν την ενίσχυση</w:t>
      </w:r>
      <w:r w:rsidR="004D3485" w:rsidRPr="004D3485">
        <w:rPr>
          <w:rFonts w:ascii="Arial" w:hAnsi="Arial" w:cs="Arial"/>
          <w:sz w:val="18"/>
          <w:szCs w:val="18"/>
          <w:lang w:val="el-GR"/>
        </w:rPr>
        <w:t xml:space="preserve"> </w:t>
      </w:r>
      <w:r w:rsidR="004D3485">
        <w:rPr>
          <w:rFonts w:ascii="Arial" w:hAnsi="Arial" w:cs="Arial"/>
          <w:sz w:val="18"/>
          <w:szCs w:val="18"/>
          <w:lang w:val="el-GR"/>
        </w:rPr>
        <w:t>του</w:t>
      </w:r>
      <w:r w:rsidR="001065FE" w:rsidRPr="00874358">
        <w:rPr>
          <w:rFonts w:ascii="Arial" w:hAnsi="Arial" w:cs="Arial"/>
          <w:sz w:val="18"/>
          <w:szCs w:val="18"/>
          <w:lang w:val="el-GR"/>
        </w:rPr>
        <w:t xml:space="preserve"> </w:t>
      </w:r>
      <w:r w:rsidR="004D3485">
        <w:rPr>
          <w:rFonts w:ascii="Arial" w:hAnsi="Arial" w:cs="Arial"/>
          <w:sz w:val="18"/>
          <w:szCs w:val="18"/>
          <w:lang w:val="el-GR"/>
        </w:rPr>
        <w:t xml:space="preserve">προφίλ </w:t>
      </w:r>
      <w:r w:rsidR="001065FE" w:rsidRPr="00874358">
        <w:rPr>
          <w:rFonts w:ascii="Arial" w:hAnsi="Arial" w:cs="Arial"/>
          <w:sz w:val="18"/>
          <w:szCs w:val="18"/>
          <w:lang w:val="el-GR"/>
        </w:rPr>
        <w:t xml:space="preserve">του Συγκροτήματος στους επενδυτές που επικεντρώνονται στην περιοχή, επιτρέποντας τους να συγκρίνουν άμεσα τις επιδόσεις του Συγκροτήματος με άλλες τράπεζες τις περιοχής, προσελκύοντας έτσι μακροπρόθεσμους θεσμικούς επενδυτές </w:t>
      </w:r>
      <w:r w:rsidR="006261EF" w:rsidRPr="00874358">
        <w:rPr>
          <w:rFonts w:ascii="Arial" w:hAnsi="Arial" w:cs="Arial"/>
          <w:sz w:val="18"/>
          <w:szCs w:val="18"/>
          <w:lang w:val="el-GR"/>
        </w:rPr>
        <w:t xml:space="preserve">σε μια πιο επικεντρωμένη αγορά εντός του Χρηματιστήριο Αθηνών και παρέχοντας περιθώριο για ένταξη της μετοχής του Συγκροτήματος σε </w:t>
      </w:r>
      <w:r w:rsidR="00FD57C8">
        <w:rPr>
          <w:rFonts w:ascii="Arial" w:hAnsi="Arial" w:cs="Arial"/>
          <w:sz w:val="18"/>
          <w:szCs w:val="18"/>
          <w:lang w:val="el-GR"/>
        </w:rPr>
        <w:t xml:space="preserve">χρηματιστηριακούς </w:t>
      </w:r>
      <w:r w:rsidR="006261EF" w:rsidRPr="00874358">
        <w:rPr>
          <w:rFonts w:ascii="Arial" w:hAnsi="Arial" w:cs="Arial"/>
          <w:sz w:val="18"/>
          <w:szCs w:val="18"/>
          <w:lang w:val="el-GR"/>
        </w:rPr>
        <w:t>δείκτες με την πάροδο του χρόνου. Λαμβάνοντας υπόψη τα εν λόγω οφέλη, το Διοικητικό Συμβούλιο του Συγκροτήματος πιστεύει ότι η εισαγωγή των κοινών μετοχών</w:t>
      </w:r>
      <w:r w:rsidR="00874358" w:rsidRPr="00874358">
        <w:rPr>
          <w:rFonts w:ascii="Arial" w:hAnsi="Arial" w:cs="Arial"/>
          <w:sz w:val="18"/>
          <w:szCs w:val="18"/>
          <w:lang w:val="el-GR"/>
        </w:rPr>
        <w:t xml:space="preserve"> στο </w:t>
      </w:r>
      <w:r w:rsidR="006261EF" w:rsidRPr="006A1797">
        <w:rPr>
          <w:rFonts w:ascii="Arial" w:hAnsi="Arial" w:cs="Arial"/>
          <w:sz w:val="18"/>
          <w:szCs w:val="18"/>
          <w:lang w:val="el-GR"/>
        </w:rPr>
        <w:t>Χρηματιστήριο Αθηνών</w:t>
      </w:r>
      <w:r w:rsidR="006261EF" w:rsidRPr="00874358">
        <w:rPr>
          <w:rFonts w:ascii="Arial" w:hAnsi="Arial" w:cs="Arial"/>
          <w:sz w:val="18"/>
          <w:szCs w:val="18"/>
          <w:lang w:val="el-GR"/>
        </w:rPr>
        <w:t xml:space="preserve"> και η διαγραφή</w:t>
      </w:r>
      <w:r w:rsidR="006261EF">
        <w:rPr>
          <w:rFonts w:ascii="Arial" w:hAnsi="Arial" w:cs="Arial"/>
          <w:sz w:val="18"/>
          <w:szCs w:val="18"/>
          <w:lang w:val="el-GR"/>
        </w:rPr>
        <w:t xml:space="preserve"> </w:t>
      </w:r>
      <w:r w:rsidR="00874358">
        <w:rPr>
          <w:rFonts w:ascii="Arial" w:hAnsi="Arial" w:cs="Arial"/>
          <w:sz w:val="18"/>
          <w:szCs w:val="18"/>
          <w:lang w:val="el-GR"/>
        </w:rPr>
        <w:t>τους</w:t>
      </w:r>
      <w:r w:rsidR="006261EF">
        <w:rPr>
          <w:rFonts w:ascii="Arial" w:hAnsi="Arial" w:cs="Arial"/>
          <w:sz w:val="18"/>
          <w:szCs w:val="18"/>
          <w:lang w:val="el-GR"/>
        </w:rPr>
        <w:t xml:space="preserve"> </w:t>
      </w:r>
      <w:r w:rsidR="006261EF" w:rsidRPr="00793CB2">
        <w:rPr>
          <w:rFonts w:ascii="Arial" w:hAnsi="Arial" w:cs="Arial"/>
          <w:sz w:val="18"/>
          <w:szCs w:val="18"/>
          <w:lang w:val="el-GR"/>
        </w:rPr>
        <w:t>από το Χρηματιστήριο Αξιών του Λονδίνου</w:t>
      </w:r>
      <w:r w:rsidR="00874358">
        <w:rPr>
          <w:rFonts w:ascii="Arial" w:hAnsi="Arial" w:cs="Arial"/>
          <w:sz w:val="18"/>
          <w:szCs w:val="18"/>
          <w:lang w:val="el-GR"/>
        </w:rPr>
        <w:t xml:space="preserve"> </w:t>
      </w:r>
      <w:r w:rsidR="00874358" w:rsidRPr="00874358">
        <w:rPr>
          <w:rFonts w:ascii="Arial" w:hAnsi="Arial" w:cs="Arial"/>
          <w:sz w:val="18"/>
          <w:szCs w:val="18"/>
          <w:lang w:val="el-GR"/>
        </w:rPr>
        <w:t xml:space="preserve">έχει τη δυνατότητα να ενισχύσει τη ρευστότητα των κοινών μετοχών και </w:t>
      </w:r>
      <w:r w:rsidR="00874358" w:rsidRPr="005620F5">
        <w:rPr>
          <w:rFonts w:ascii="Arial" w:hAnsi="Arial" w:cs="Arial"/>
          <w:sz w:val="18"/>
          <w:szCs w:val="18"/>
          <w:lang w:val="el-GR"/>
        </w:rPr>
        <w:t xml:space="preserve">μπορεί να </w:t>
      </w:r>
      <w:r w:rsidR="004D3485" w:rsidRPr="005620F5">
        <w:rPr>
          <w:rFonts w:ascii="Arial" w:hAnsi="Arial" w:cs="Arial"/>
          <w:sz w:val="18"/>
          <w:szCs w:val="18"/>
          <w:lang w:val="el-GR"/>
        </w:rPr>
        <w:t>αυξήσει</w:t>
      </w:r>
      <w:r w:rsidR="00874358" w:rsidRPr="005620F5">
        <w:rPr>
          <w:rFonts w:ascii="Arial" w:hAnsi="Arial" w:cs="Arial"/>
          <w:sz w:val="18"/>
          <w:szCs w:val="18"/>
          <w:lang w:val="el-GR"/>
        </w:rPr>
        <w:t xml:space="preserve"> τ</w:t>
      </w:r>
      <w:r w:rsidR="004D3485" w:rsidRPr="005620F5">
        <w:rPr>
          <w:rFonts w:ascii="Arial" w:hAnsi="Arial" w:cs="Arial"/>
          <w:sz w:val="18"/>
          <w:szCs w:val="18"/>
          <w:lang w:val="el-GR"/>
        </w:rPr>
        <w:t>ην προβολή</w:t>
      </w:r>
      <w:r w:rsidR="00874358" w:rsidRPr="005620F5">
        <w:rPr>
          <w:rFonts w:ascii="Arial" w:hAnsi="Arial" w:cs="Arial"/>
          <w:sz w:val="18"/>
          <w:szCs w:val="18"/>
          <w:lang w:val="el-GR"/>
        </w:rPr>
        <w:t xml:space="preserve"> του Συγκροτήματος προς όφελος των μετόχων</w:t>
      </w:r>
      <w:r w:rsidR="00874358" w:rsidRPr="00874358">
        <w:rPr>
          <w:rFonts w:ascii="Arial" w:hAnsi="Arial" w:cs="Arial"/>
          <w:sz w:val="18"/>
          <w:szCs w:val="18"/>
          <w:lang w:val="el-GR"/>
        </w:rPr>
        <w:t>.</w:t>
      </w:r>
      <w:r w:rsidR="00FD57C8">
        <w:rPr>
          <w:rFonts w:ascii="Arial" w:hAnsi="Arial" w:cs="Arial"/>
          <w:sz w:val="18"/>
          <w:szCs w:val="18"/>
          <w:lang w:val="el-GR"/>
        </w:rPr>
        <w:t xml:space="preserve"> </w:t>
      </w:r>
      <w:r w:rsidR="00874358" w:rsidRPr="00874358">
        <w:rPr>
          <w:rFonts w:ascii="Arial" w:hAnsi="Arial" w:cs="Arial"/>
          <w:sz w:val="18"/>
          <w:szCs w:val="18"/>
          <w:lang w:val="el-GR"/>
        </w:rPr>
        <w:t xml:space="preserve">Οι κοινές μετοχές του Συγκροτήματος θα συνεχίσουν να είναι εισηγμένες στο </w:t>
      </w:r>
      <w:r w:rsidR="002C03AB">
        <w:rPr>
          <w:rFonts w:ascii="Arial" w:hAnsi="Arial" w:cs="Arial"/>
          <w:sz w:val="18"/>
          <w:szCs w:val="18"/>
          <w:lang w:val="el-GR"/>
        </w:rPr>
        <w:t>Χ</w:t>
      </w:r>
      <w:r w:rsidR="00874358" w:rsidRPr="00874358">
        <w:rPr>
          <w:rFonts w:ascii="Arial" w:hAnsi="Arial" w:cs="Arial"/>
          <w:sz w:val="18"/>
          <w:szCs w:val="18"/>
          <w:lang w:val="el-GR"/>
        </w:rPr>
        <w:t xml:space="preserve">ρηματιστήριο </w:t>
      </w:r>
      <w:r w:rsidR="002C03AB">
        <w:rPr>
          <w:rFonts w:ascii="Arial" w:hAnsi="Arial" w:cs="Arial"/>
          <w:sz w:val="18"/>
          <w:szCs w:val="18"/>
          <w:lang w:val="el-GR"/>
        </w:rPr>
        <w:t>Α</w:t>
      </w:r>
      <w:r w:rsidR="00874358" w:rsidRPr="00874358">
        <w:rPr>
          <w:rFonts w:ascii="Arial" w:hAnsi="Arial" w:cs="Arial"/>
          <w:sz w:val="18"/>
          <w:szCs w:val="18"/>
          <w:lang w:val="el-GR"/>
        </w:rPr>
        <w:t>ξιών</w:t>
      </w:r>
      <w:r w:rsidR="00874358">
        <w:rPr>
          <w:rFonts w:ascii="Arial" w:hAnsi="Arial" w:cs="Arial"/>
          <w:sz w:val="18"/>
          <w:szCs w:val="18"/>
          <w:lang w:val="el-GR"/>
        </w:rPr>
        <w:t xml:space="preserve"> Κύπρου. </w:t>
      </w:r>
      <w:r w:rsidR="00874358" w:rsidRPr="00793CB2">
        <w:rPr>
          <w:rFonts w:ascii="Arial" w:hAnsi="Arial" w:cs="Arial"/>
          <w:sz w:val="18"/>
          <w:szCs w:val="18"/>
          <w:lang w:val="el-GR"/>
        </w:rPr>
        <w:t>Έκτακτη Γενική Συνέλευση</w:t>
      </w:r>
      <w:r w:rsidR="00874358">
        <w:rPr>
          <w:rFonts w:ascii="Arial" w:hAnsi="Arial" w:cs="Arial"/>
          <w:sz w:val="18"/>
          <w:szCs w:val="18"/>
          <w:lang w:val="el-GR"/>
        </w:rPr>
        <w:t xml:space="preserve"> για πρόταση ψηφίσματος στους μετόχους π</w:t>
      </w:r>
      <w:r w:rsidR="00874358" w:rsidRPr="00874358">
        <w:rPr>
          <w:rFonts w:ascii="Arial" w:hAnsi="Arial" w:cs="Arial"/>
          <w:sz w:val="18"/>
          <w:szCs w:val="18"/>
          <w:lang w:val="el-GR"/>
        </w:rPr>
        <w:t>ροκειμένου να εξετάσουν την προτεινόμενη εισαγωγή στο Χρηματιστήριο</w:t>
      </w:r>
      <w:r w:rsidR="00874358">
        <w:rPr>
          <w:rFonts w:ascii="Arial" w:hAnsi="Arial" w:cs="Arial"/>
          <w:sz w:val="18"/>
          <w:szCs w:val="18"/>
          <w:lang w:val="el-GR"/>
        </w:rPr>
        <w:t xml:space="preserve"> </w:t>
      </w:r>
      <w:r w:rsidR="00874358" w:rsidRPr="00874358">
        <w:rPr>
          <w:rFonts w:ascii="Arial" w:hAnsi="Arial" w:cs="Arial"/>
          <w:sz w:val="18"/>
          <w:szCs w:val="18"/>
          <w:lang w:val="el-GR"/>
        </w:rPr>
        <w:t>Αθηνών</w:t>
      </w:r>
      <w:r w:rsidR="002C03AB">
        <w:rPr>
          <w:rFonts w:ascii="Arial" w:hAnsi="Arial" w:cs="Arial"/>
          <w:sz w:val="18"/>
          <w:szCs w:val="18"/>
          <w:lang w:val="el-GR"/>
        </w:rPr>
        <w:t xml:space="preserve"> θα</w:t>
      </w:r>
      <w:r w:rsidR="002C03AB" w:rsidRPr="00793CB2">
        <w:rPr>
          <w:rFonts w:ascii="Arial" w:hAnsi="Arial" w:cs="Arial"/>
          <w:sz w:val="18"/>
          <w:szCs w:val="18"/>
          <w:lang w:val="el-GR"/>
        </w:rPr>
        <w:t xml:space="preserve"> συγκληθεί</w:t>
      </w:r>
      <w:r w:rsidR="00874358">
        <w:rPr>
          <w:rFonts w:ascii="Arial" w:hAnsi="Arial" w:cs="Arial"/>
          <w:sz w:val="18"/>
          <w:szCs w:val="18"/>
          <w:lang w:val="el-GR"/>
        </w:rPr>
        <w:t xml:space="preserve">. </w:t>
      </w:r>
      <w:r w:rsidR="00FD57C8">
        <w:rPr>
          <w:rFonts w:ascii="Arial" w:hAnsi="Arial" w:cs="Arial"/>
          <w:sz w:val="18"/>
          <w:szCs w:val="18"/>
          <w:lang w:val="el-GR"/>
        </w:rPr>
        <w:t xml:space="preserve">Περισσότερες </w:t>
      </w:r>
      <w:r w:rsidR="00874358" w:rsidRPr="00874358">
        <w:rPr>
          <w:rFonts w:ascii="Arial" w:hAnsi="Arial" w:cs="Arial"/>
          <w:sz w:val="18"/>
          <w:szCs w:val="18"/>
          <w:lang w:val="el-GR"/>
        </w:rPr>
        <w:t xml:space="preserve">λεπτομέρειες θα ανακοινωθούν </w:t>
      </w:r>
      <w:r w:rsidR="00874358" w:rsidRPr="00793CB2">
        <w:rPr>
          <w:rFonts w:ascii="Arial" w:hAnsi="Arial" w:cs="Arial"/>
          <w:sz w:val="18"/>
          <w:szCs w:val="18"/>
          <w:lang w:val="el-GR"/>
        </w:rPr>
        <w:t>σε</w:t>
      </w:r>
      <w:r w:rsidR="00874358" w:rsidRPr="00874358">
        <w:rPr>
          <w:rFonts w:ascii="Arial" w:hAnsi="Arial" w:cs="Arial"/>
          <w:sz w:val="18"/>
          <w:szCs w:val="18"/>
          <w:lang w:val="el-GR"/>
        </w:rPr>
        <w:t xml:space="preserve"> </w:t>
      </w:r>
      <w:r w:rsidR="00874358" w:rsidRPr="00793CB2">
        <w:rPr>
          <w:rFonts w:ascii="Arial" w:hAnsi="Arial" w:cs="Arial"/>
          <w:sz w:val="18"/>
          <w:szCs w:val="18"/>
          <w:lang w:val="el-GR"/>
        </w:rPr>
        <w:t>εύθετο</w:t>
      </w:r>
      <w:r w:rsidR="00874358" w:rsidRPr="00874358">
        <w:rPr>
          <w:rFonts w:ascii="Arial" w:hAnsi="Arial" w:cs="Arial"/>
          <w:sz w:val="18"/>
          <w:szCs w:val="18"/>
          <w:lang w:val="el-GR"/>
        </w:rPr>
        <w:t xml:space="preserve"> </w:t>
      </w:r>
      <w:r w:rsidR="00874358" w:rsidRPr="00793CB2">
        <w:rPr>
          <w:rFonts w:ascii="Arial" w:hAnsi="Arial" w:cs="Arial"/>
          <w:sz w:val="18"/>
          <w:szCs w:val="18"/>
          <w:lang w:val="el-GR"/>
        </w:rPr>
        <w:t>χρονικό</w:t>
      </w:r>
      <w:r w:rsidR="00874358" w:rsidRPr="00874358">
        <w:rPr>
          <w:rFonts w:ascii="Arial" w:hAnsi="Arial" w:cs="Arial"/>
          <w:sz w:val="18"/>
          <w:szCs w:val="18"/>
          <w:lang w:val="el-GR"/>
        </w:rPr>
        <w:t xml:space="preserve"> </w:t>
      </w:r>
      <w:r w:rsidR="00874358" w:rsidRPr="00793CB2">
        <w:rPr>
          <w:rFonts w:ascii="Arial" w:hAnsi="Arial" w:cs="Arial"/>
          <w:sz w:val="18"/>
          <w:szCs w:val="18"/>
          <w:lang w:val="el-GR"/>
        </w:rPr>
        <w:t>πλαίσιο</w:t>
      </w:r>
      <w:r w:rsidR="00874358" w:rsidRPr="00874358">
        <w:rPr>
          <w:rFonts w:ascii="Arial" w:hAnsi="Arial" w:cs="Arial"/>
          <w:sz w:val="18"/>
          <w:szCs w:val="18"/>
          <w:lang w:val="el-GR"/>
        </w:rPr>
        <w:t>.</w:t>
      </w:r>
      <w:r w:rsidR="00874358">
        <w:rPr>
          <w:rFonts w:ascii="Arial" w:hAnsi="Arial" w:cs="Arial"/>
          <w:sz w:val="18"/>
          <w:szCs w:val="18"/>
          <w:lang w:val="el-GR"/>
        </w:rPr>
        <w:t xml:space="preserve"> Η εισαγωγή στο </w:t>
      </w:r>
      <w:r w:rsidR="00874358" w:rsidRPr="00874358">
        <w:rPr>
          <w:rFonts w:ascii="Arial" w:hAnsi="Arial" w:cs="Arial"/>
          <w:sz w:val="18"/>
          <w:szCs w:val="18"/>
          <w:lang w:val="el-GR"/>
        </w:rPr>
        <w:t>Χρηματιστήριο</w:t>
      </w:r>
      <w:r w:rsidR="00874358">
        <w:rPr>
          <w:rFonts w:ascii="Arial" w:hAnsi="Arial" w:cs="Arial"/>
          <w:sz w:val="18"/>
          <w:szCs w:val="18"/>
          <w:lang w:val="el-GR"/>
        </w:rPr>
        <w:t xml:space="preserve"> </w:t>
      </w:r>
      <w:r w:rsidR="00874358" w:rsidRPr="00874358">
        <w:rPr>
          <w:rFonts w:ascii="Arial" w:hAnsi="Arial" w:cs="Arial"/>
          <w:sz w:val="18"/>
          <w:szCs w:val="18"/>
          <w:lang w:val="el-GR"/>
        </w:rPr>
        <w:t>Αθηνών</w:t>
      </w:r>
      <w:r w:rsidR="00874358">
        <w:rPr>
          <w:rFonts w:ascii="Arial" w:hAnsi="Arial" w:cs="Arial"/>
          <w:sz w:val="18"/>
          <w:szCs w:val="18"/>
          <w:lang w:val="el-GR"/>
        </w:rPr>
        <w:t xml:space="preserve"> υπόκειται υπό την σχετική έγκριση από την Επιτροπή Εισαγωγών του Χρηματιστήριου Αθηνών.</w:t>
      </w:r>
      <w:r w:rsidR="00874358" w:rsidRPr="006A1797">
        <w:rPr>
          <w:rFonts w:ascii="Arial" w:hAnsi="Arial" w:cs="Arial"/>
          <w:sz w:val="18"/>
          <w:szCs w:val="18"/>
          <w:lang w:val="el-GR"/>
        </w:rPr>
        <w:t xml:space="preserve"> </w:t>
      </w:r>
      <w:r w:rsidR="00FD57C8">
        <w:rPr>
          <w:rFonts w:ascii="Arial" w:hAnsi="Arial" w:cs="Arial"/>
          <w:sz w:val="18"/>
          <w:szCs w:val="18"/>
          <w:lang w:val="el-GR"/>
        </w:rPr>
        <w:t>Τέλος, τ</w:t>
      </w:r>
      <w:r w:rsidR="00874358">
        <w:rPr>
          <w:rFonts w:ascii="Arial" w:hAnsi="Arial" w:cs="Arial"/>
          <w:sz w:val="18"/>
          <w:szCs w:val="18"/>
          <w:lang w:val="el-GR"/>
        </w:rPr>
        <w:t>ο</w:t>
      </w:r>
      <w:r w:rsidR="00874358" w:rsidRPr="00874358">
        <w:rPr>
          <w:rFonts w:ascii="Arial" w:hAnsi="Arial" w:cs="Arial"/>
          <w:sz w:val="18"/>
          <w:szCs w:val="18"/>
          <w:lang w:val="el-GR"/>
        </w:rPr>
        <w:t xml:space="preserve"> Διοικητικό Συμβούλιο αναμένει ότι η </w:t>
      </w:r>
      <w:r w:rsidR="002C03AB">
        <w:rPr>
          <w:rFonts w:ascii="Arial" w:hAnsi="Arial" w:cs="Arial"/>
          <w:sz w:val="18"/>
          <w:szCs w:val="18"/>
          <w:lang w:val="el-GR"/>
        </w:rPr>
        <w:t>ε</w:t>
      </w:r>
      <w:r w:rsidR="00874358" w:rsidRPr="00874358">
        <w:rPr>
          <w:rFonts w:ascii="Arial" w:hAnsi="Arial" w:cs="Arial"/>
          <w:sz w:val="18"/>
          <w:szCs w:val="18"/>
          <w:lang w:val="el-GR"/>
        </w:rPr>
        <w:t xml:space="preserve">ισαγωγή και η </w:t>
      </w:r>
      <w:r w:rsidR="002C03AB">
        <w:rPr>
          <w:rFonts w:ascii="Arial" w:hAnsi="Arial" w:cs="Arial"/>
          <w:sz w:val="18"/>
          <w:szCs w:val="18"/>
          <w:lang w:val="el-GR"/>
        </w:rPr>
        <w:t>δ</w:t>
      </w:r>
      <w:r w:rsidR="00874358" w:rsidRPr="00874358">
        <w:rPr>
          <w:rFonts w:ascii="Arial" w:hAnsi="Arial" w:cs="Arial"/>
          <w:sz w:val="18"/>
          <w:szCs w:val="18"/>
          <w:lang w:val="el-GR"/>
        </w:rPr>
        <w:t>ιαγραφή θα πραγματοποιηθεί το φθινόπωρο του 2024</w:t>
      </w:r>
      <w:r w:rsidR="00874358">
        <w:rPr>
          <w:rFonts w:ascii="Arial" w:hAnsi="Arial" w:cs="Arial"/>
          <w:sz w:val="18"/>
          <w:szCs w:val="18"/>
          <w:lang w:val="el-GR"/>
        </w:rPr>
        <w:t xml:space="preserve">, υπό την αίρεση </w:t>
      </w:r>
      <w:r w:rsidR="00FD57C8" w:rsidRPr="00FD57C8">
        <w:rPr>
          <w:rFonts w:ascii="Arial" w:hAnsi="Arial" w:cs="Arial"/>
          <w:sz w:val="18"/>
          <w:szCs w:val="18"/>
          <w:lang w:val="el-GR"/>
        </w:rPr>
        <w:t>της έγκρισης των μετόχων, των απαραίτητων κανονιστικών εγκρίσεων και των συνθηκών της αγοράς</w:t>
      </w:r>
      <w:r w:rsidR="00FD57C8">
        <w:rPr>
          <w:rFonts w:ascii="Arial" w:hAnsi="Arial" w:cs="Arial"/>
          <w:sz w:val="18"/>
          <w:szCs w:val="18"/>
          <w:lang w:val="el-GR"/>
        </w:rPr>
        <w:t>.</w:t>
      </w:r>
    </w:p>
    <w:p w14:paraId="42082FBB" w14:textId="77777777" w:rsidR="003524F2" w:rsidRPr="006E3CD7" w:rsidRDefault="003524F2" w:rsidP="00004707">
      <w:pPr>
        <w:spacing w:line="240" w:lineRule="auto"/>
        <w:jc w:val="both"/>
        <w:rPr>
          <w:rFonts w:ascii="Arial" w:hAnsi="Arial" w:cs="Arial"/>
          <w:sz w:val="18"/>
          <w:szCs w:val="18"/>
          <w:highlight w:val="yellow"/>
          <w:lang w:val="el-GR"/>
        </w:rPr>
      </w:pPr>
    </w:p>
    <w:tbl>
      <w:tblPr>
        <w:tblStyle w:val="TableGrid"/>
        <w:tblW w:w="9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3"/>
        <w:gridCol w:w="28"/>
        <w:gridCol w:w="6225"/>
        <w:gridCol w:w="97"/>
        <w:gridCol w:w="98"/>
      </w:tblGrid>
      <w:tr w:rsidR="008036AA" w:rsidRPr="006B5511" w14:paraId="181E7F1C" w14:textId="77777777" w:rsidTr="00895408">
        <w:tc>
          <w:tcPr>
            <w:tcW w:w="9681" w:type="dxa"/>
            <w:gridSpan w:val="5"/>
            <w:shd w:val="clear" w:color="auto" w:fill="auto"/>
          </w:tcPr>
          <w:p w14:paraId="2F6A0F18" w14:textId="2FE05759" w:rsidR="008036AA" w:rsidRPr="00982DBB" w:rsidRDefault="00D77842" w:rsidP="00FD10BB">
            <w:pPr>
              <w:spacing w:line="360" w:lineRule="auto"/>
              <w:rPr>
                <w:rFonts w:ascii="Arial" w:hAnsi="Arial" w:cs="Arial"/>
                <w:b/>
                <w:color w:val="FF9900"/>
                <w:szCs w:val="24"/>
                <w:lang w:val="el-GR"/>
              </w:rPr>
            </w:pPr>
            <w:bookmarkStart w:id="35" w:name="_Hlk158981312"/>
            <w:bookmarkStart w:id="36" w:name="_Hlk81323517"/>
            <w:bookmarkEnd w:id="34"/>
            <w:bookmarkEnd w:id="30"/>
            <w:r w:rsidRPr="00982DBB">
              <w:rPr>
                <w:rFonts w:ascii="Arial" w:hAnsi="Arial" w:cs="Arial"/>
                <w:b/>
                <w:color w:val="FF9900"/>
                <w:sz w:val="24"/>
                <w:szCs w:val="24"/>
                <w:lang w:val="el-GR"/>
              </w:rPr>
              <w:lastRenderedPageBreak/>
              <w:t>ΣΤ</w:t>
            </w:r>
            <w:r w:rsidR="008036AA" w:rsidRPr="00982DBB">
              <w:rPr>
                <w:rFonts w:ascii="Arial" w:hAnsi="Arial" w:cs="Arial"/>
                <w:b/>
                <w:color w:val="FF9900"/>
                <w:sz w:val="24"/>
                <w:szCs w:val="24"/>
                <w:lang w:val="el-GR"/>
              </w:rPr>
              <w:t>.</w:t>
            </w:r>
            <w:r w:rsidR="00922B9D" w:rsidRPr="00982DBB">
              <w:rPr>
                <w:rFonts w:ascii="Arial" w:hAnsi="Arial" w:cs="Arial"/>
                <w:b/>
                <w:color w:val="FF9900"/>
                <w:sz w:val="24"/>
                <w:szCs w:val="24"/>
                <w:lang w:val="el-GR"/>
              </w:rPr>
              <w:t xml:space="preserve"> </w:t>
            </w:r>
            <w:r w:rsidR="008F48B4" w:rsidRPr="00982DBB">
              <w:rPr>
                <w:rFonts w:ascii="Arial" w:hAnsi="Arial" w:cs="Arial"/>
                <w:b/>
                <w:color w:val="FF9900"/>
                <w:sz w:val="24"/>
                <w:szCs w:val="24"/>
                <w:lang w:val="el-GR"/>
              </w:rPr>
              <w:t>Όροι και Επεξηγήσεις</w:t>
            </w:r>
          </w:p>
          <w:p w14:paraId="12D1DD2B" w14:textId="77777777" w:rsidR="008036AA" w:rsidRPr="00982DBB" w:rsidRDefault="008036AA" w:rsidP="00F87C5D">
            <w:pPr>
              <w:pStyle w:val="FootnoteText"/>
              <w:jc w:val="both"/>
              <w:rPr>
                <w:rFonts w:ascii="Arial" w:hAnsi="Arial" w:cs="Arial"/>
                <w:color w:val="000000"/>
                <w:sz w:val="18"/>
                <w:szCs w:val="18"/>
                <w:lang w:val="el-GR"/>
              </w:rPr>
            </w:pPr>
          </w:p>
        </w:tc>
      </w:tr>
      <w:tr w:rsidR="008036AA" w:rsidRPr="00CF1753" w14:paraId="1AE0D853" w14:textId="77777777" w:rsidTr="00A21CB9">
        <w:tc>
          <w:tcPr>
            <w:tcW w:w="3261" w:type="dxa"/>
            <w:gridSpan w:val="2"/>
          </w:tcPr>
          <w:p w14:paraId="6B0D920F" w14:textId="77777777" w:rsidR="008036AA" w:rsidRPr="00982DBB" w:rsidRDefault="008036AA" w:rsidP="00F87C5D">
            <w:pPr>
              <w:pStyle w:val="FootnoteText"/>
              <w:rPr>
                <w:rFonts w:ascii="Arial" w:hAnsi="Arial" w:cs="Arial"/>
                <w:sz w:val="18"/>
                <w:szCs w:val="18"/>
                <w:lang w:val="el-GR"/>
              </w:rPr>
            </w:pPr>
            <w:r w:rsidRPr="00982DBB">
              <w:rPr>
                <w:rFonts w:ascii="Arial" w:hAnsi="Arial" w:cs="Arial"/>
                <w:sz w:val="18"/>
                <w:szCs w:val="18"/>
                <w:lang w:val="el-GR"/>
              </w:rPr>
              <w:t>Απόδοση Ενσώματων Ιδίων Κεφαλαίων (</w:t>
            </w:r>
            <w:r w:rsidRPr="00982DBB">
              <w:rPr>
                <w:rFonts w:ascii="Arial" w:hAnsi="Arial" w:cs="Arial"/>
                <w:sz w:val="18"/>
                <w:szCs w:val="18"/>
              </w:rPr>
              <w:t>ROTE</w:t>
            </w:r>
            <w:r w:rsidRPr="00982DBB">
              <w:rPr>
                <w:rFonts w:ascii="Arial" w:hAnsi="Arial" w:cs="Arial"/>
                <w:sz w:val="18"/>
                <w:szCs w:val="18"/>
                <w:lang w:val="el-GR"/>
              </w:rPr>
              <w:t xml:space="preserve">) </w:t>
            </w:r>
          </w:p>
        </w:tc>
        <w:tc>
          <w:tcPr>
            <w:tcW w:w="6420" w:type="dxa"/>
            <w:gridSpan w:val="3"/>
          </w:tcPr>
          <w:p w14:paraId="34C23E67" w14:textId="1F3E67BB" w:rsidR="00904F64" w:rsidRPr="00982DBB" w:rsidRDefault="008036AA" w:rsidP="00F87C5D">
            <w:pPr>
              <w:pStyle w:val="FootnoteText"/>
              <w:jc w:val="both"/>
              <w:rPr>
                <w:rFonts w:ascii="Arial" w:hAnsi="Arial" w:cs="Arial"/>
                <w:sz w:val="18"/>
                <w:szCs w:val="18"/>
                <w:lang w:val="el-GR"/>
              </w:rPr>
            </w:pPr>
            <w:r w:rsidRPr="00982DBB">
              <w:rPr>
                <w:rFonts w:ascii="Arial" w:hAnsi="Arial" w:cs="Arial"/>
                <w:sz w:val="18"/>
                <w:szCs w:val="18"/>
                <w:lang w:val="el-GR"/>
              </w:rPr>
              <w:t>Η Απόδοση Ενσώματων Ιδίων Κεφαλαίων (</w:t>
            </w:r>
            <w:r w:rsidRPr="00982DBB">
              <w:rPr>
                <w:rFonts w:ascii="Arial" w:hAnsi="Arial" w:cs="Arial"/>
                <w:sz w:val="18"/>
                <w:szCs w:val="18"/>
              </w:rPr>
              <w:t>ROTE</w:t>
            </w:r>
            <w:r w:rsidRPr="00982DBB">
              <w:rPr>
                <w:rFonts w:ascii="Arial" w:hAnsi="Arial" w:cs="Arial"/>
                <w:sz w:val="18"/>
                <w:szCs w:val="18"/>
                <w:lang w:val="el-GR"/>
              </w:rPr>
              <w:t>) υπολογίζεται ως προς το Κέρδος/(Ζημιά) μετά τη φορολογία (που αναλογούν στους ιδιοκτήτες της Εταιρίας) (ως ορίζονται) (ετησιοποιημένα – (βασισμένα στις μέρες από την αρχή του έτους μέχρι σήμερα)), ως προς τον τριμηνιαίο μέσο όρο των ίδιων κεφαλαίων που αναλογούν στους ιδιοκτήτες της Εταιρίας μείον άυλα περιουσιακά στοιχεία</w:t>
            </w:r>
            <w:r w:rsidR="00904F64" w:rsidRPr="00982DBB">
              <w:rPr>
                <w:rFonts w:ascii="Arial" w:hAnsi="Arial" w:cs="Arial"/>
                <w:sz w:val="18"/>
                <w:szCs w:val="18"/>
                <w:lang w:val="el-GR"/>
              </w:rPr>
              <w:t xml:space="preserve"> στο τέλος κάθε τριμήνου.</w:t>
            </w:r>
          </w:p>
        </w:tc>
      </w:tr>
      <w:tr w:rsidR="00904F64" w:rsidRPr="00CF1753" w14:paraId="374F0216" w14:textId="77777777" w:rsidTr="00555781">
        <w:trPr>
          <w:trHeight w:val="68"/>
        </w:trPr>
        <w:tc>
          <w:tcPr>
            <w:tcW w:w="3261" w:type="dxa"/>
            <w:gridSpan w:val="2"/>
          </w:tcPr>
          <w:p w14:paraId="4CF91FF0" w14:textId="381E39C4" w:rsidR="00904F64" w:rsidRPr="00982DBB" w:rsidRDefault="00904F64" w:rsidP="00F87C5D">
            <w:pPr>
              <w:pStyle w:val="FootnoteText"/>
              <w:rPr>
                <w:rFonts w:ascii="Arial" w:hAnsi="Arial" w:cs="Arial"/>
                <w:sz w:val="18"/>
                <w:szCs w:val="18"/>
                <w:lang w:val="el-GR"/>
              </w:rPr>
            </w:pPr>
          </w:p>
        </w:tc>
        <w:tc>
          <w:tcPr>
            <w:tcW w:w="6420" w:type="dxa"/>
            <w:gridSpan w:val="3"/>
          </w:tcPr>
          <w:p w14:paraId="0C4B141B" w14:textId="52C41654" w:rsidR="00904F64" w:rsidRPr="00982DBB" w:rsidRDefault="00904F64" w:rsidP="00F87C5D">
            <w:pPr>
              <w:pStyle w:val="FootnoteText"/>
              <w:jc w:val="both"/>
              <w:rPr>
                <w:rFonts w:ascii="Arial" w:hAnsi="Arial" w:cs="Arial"/>
                <w:sz w:val="18"/>
                <w:szCs w:val="18"/>
                <w:lang w:val="el-GR"/>
              </w:rPr>
            </w:pPr>
          </w:p>
        </w:tc>
      </w:tr>
      <w:tr w:rsidR="008036AA" w:rsidRPr="00CF1753" w14:paraId="4F8407B6" w14:textId="77777777" w:rsidTr="00A21CB9">
        <w:tc>
          <w:tcPr>
            <w:tcW w:w="3261" w:type="dxa"/>
            <w:gridSpan w:val="2"/>
          </w:tcPr>
          <w:p w14:paraId="1E14920B" w14:textId="64DAC2D7" w:rsidR="00904F64" w:rsidRPr="00982DBB" w:rsidRDefault="00904F64" w:rsidP="0023793B">
            <w:pPr>
              <w:pStyle w:val="FootnoteText"/>
              <w:rPr>
                <w:rFonts w:ascii="Arial" w:hAnsi="Arial" w:cs="Arial"/>
                <w:sz w:val="18"/>
                <w:szCs w:val="18"/>
                <w:lang w:val="el-GR"/>
              </w:rPr>
            </w:pPr>
            <w:r w:rsidRPr="00982DBB">
              <w:rPr>
                <w:rFonts w:ascii="Arial" w:hAnsi="Arial" w:cs="Arial"/>
                <w:sz w:val="18"/>
                <w:szCs w:val="18"/>
                <w:lang w:val="el-GR"/>
              </w:rPr>
              <w:t>Απόδοση Ενσώματων Ιδίων Κεφαλαίων (ROTE), υπολογισμένη σε Δείκτη Κεφαλαίου Κοινών Μετοχών Κατηγορίας 1 (CET1) ύψους 15%</w:t>
            </w:r>
          </w:p>
        </w:tc>
        <w:tc>
          <w:tcPr>
            <w:tcW w:w="6420" w:type="dxa"/>
            <w:gridSpan w:val="3"/>
          </w:tcPr>
          <w:p w14:paraId="10B49877" w14:textId="37719CA8" w:rsidR="00B917EA" w:rsidRPr="00982DBB" w:rsidRDefault="00904F64" w:rsidP="00ED71B5">
            <w:pPr>
              <w:pStyle w:val="FootnoteText"/>
              <w:jc w:val="both"/>
              <w:rPr>
                <w:rFonts w:ascii="Arial" w:hAnsi="Arial" w:cs="Arial"/>
                <w:sz w:val="18"/>
                <w:szCs w:val="18"/>
                <w:lang w:val="el-GR"/>
              </w:rPr>
            </w:pPr>
            <w:r w:rsidRPr="00982DBB">
              <w:rPr>
                <w:rFonts w:ascii="Arial" w:hAnsi="Arial" w:cs="Arial"/>
                <w:sz w:val="18"/>
                <w:szCs w:val="18"/>
                <w:lang w:val="el-GR"/>
              </w:rPr>
              <w:t>Υπολογίζεται ως προς το Κέρδος/(Ζημιά) μετά τη φορολογία (που αναλογούν στους ιδιοκτήτες της Εταιρίας) (ως ορίζονται) (ετησιοποιημένα – (βασισμένα στις μέρες από την αρχή του έτους μέχρι σήμερα)), ως προς τον τριμηνιαίο μέσο όρο των ιδίων κεφαλαίων που αναλογούν στους ιδιοκτήτες της Εταιρίας μείον τα άυλα περιουσιακά στοιχεία</w:t>
            </w:r>
            <w:r w:rsidR="0023793B" w:rsidRPr="00982DBB">
              <w:rPr>
                <w:rFonts w:ascii="Arial" w:hAnsi="Arial" w:cs="Arial"/>
                <w:sz w:val="18"/>
                <w:szCs w:val="18"/>
                <w:lang w:val="el-GR"/>
              </w:rPr>
              <w:t xml:space="preserve">, </w:t>
            </w:r>
            <w:r w:rsidRPr="00982DBB">
              <w:rPr>
                <w:rFonts w:ascii="Arial" w:hAnsi="Arial" w:cs="Arial"/>
                <w:sz w:val="18"/>
                <w:szCs w:val="18"/>
                <w:lang w:val="el-GR"/>
              </w:rPr>
              <w:t>και μετά την αφαίρεση του</w:t>
            </w:r>
            <w:r w:rsidR="00ED71B5" w:rsidRPr="00982DBB">
              <w:rPr>
                <w:rFonts w:ascii="Arial" w:hAnsi="Arial" w:cs="Arial"/>
                <w:sz w:val="18"/>
                <w:szCs w:val="18"/>
                <w:lang w:val="el-GR"/>
              </w:rPr>
              <w:t xml:space="preserve"> πλεονάσματος που προκύπτει από τον Δείκτη Κεφαλαίου Κοινών Μετοχών Κατηγορίας 1 (CET1) σε σύγκριση με Δείκτη Κεφαλαίου Κοινών Μετοχών Κατηγορίας 1 (CET1) ύψους 15%, από την ενσώματη λογιστική αξία.</w:t>
            </w:r>
          </w:p>
          <w:p w14:paraId="163377B5" w14:textId="573041C2" w:rsidR="00ED71B5" w:rsidRPr="00982DBB" w:rsidRDefault="00ED71B5" w:rsidP="00ED71B5">
            <w:pPr>
              <w:pStyle w:val="FootnoteText"/>
              <w:jc w:val="both"/>
              <w:rPr>
                <w:rFonts w:ascii="Arial" w:hAnsi="Arial" w:cs="Arial"/>
                <w:sz w:val="18"/>
                <w:szCs w:val="18"/>
                <w:lang w:val="el-GR"/>
              </w:rPr>
            </w:pPr>
            <w:r w:rsidRPr="00982DBB">
              <w:rPr>
                <w:rFonts w:ascii="Arial" w:hAnsi="Arial" w:cs="Arial"/>
                <w:sz w:val="18"/>
                <w:szCs w:val="18"/>
                <w:lang w:val="el-GR"/>
              </w:rPr>
              <w:t xml:space="preserve"> </w:t>
            </w:r>
          </w:p>
        </w:tc>
      </w:tr>
      <w:tr w:rsidR="00A67706" w:rsidRPr="00CF1753" w14:paraId="22609D1D" w14:textId="77777777" w:rsidTr="00A21CB9">
        <w:tc>
          <w:tcPr>
            <w:tcW w:w="3261" w:type="dxa"/>
            <w:gridSpan w:val="2"/>
          </w:tcPr>
          <w:p w14:paraId="5D33ADF0" w14:textId="77777777" w:rsidR="00A67706" w:rsidRPr="00982DBB" w:rsidRDefault="00A67706" w:rsidP="00B917EA">
            <w:pPr>
              <w:pStyle w:val="FootnoteText"/>
              <w:rPr>
                <w:rFonts w:ascii="Arial" w:hAnsi="Arial" w:cs="Arial"/>
                <w:sz w:val="18"/>
                <w:szCs w:val="18"/>
                <w:lang w:val="el-GR"/>
              </w:rPr>
            </w:pPr>
          </w:p>
        </w:tc>
        <w:tc>
          <w:tcPr>
            <w:tcW w:w="6420" w:type="dxa"/>
            <w:gridSpan w:val="3"/>
          </w:tcPr>
          <w:p w14:paraId="22A4ABD4" w14:textId="77777777" w:rsidR="00A67706" w:rsidRPr="00982DBB" w:rsidRDefault="00A67706" w:rsidP="00B917EA">
            <w:pPr>
              <w:pStyle w:val="FootnoteText"/>
              <w:jc w:val="both"/>
              <w:rPr>
                <w:rFonts w:ascii="Arial" w:hAnsi="Arial" w:cs="Arial"/>
                <w:sz w:val="18"/>
                <w:szCs w:val="18"/>
                <w:lang w:val="el-GR"/>
              </w:rPr>
            </w:pPr>
          </w:p>
        </w:tc>
      </w:tr>
      <w:tr w:rsidR="00B917EA" w:rsidRPr="00CF1753" w14:paraId="0169B8C5" w14:textId="77777777" w:rsidTr="00A21CB9">
        <w:tc>
          <w:tcPr>
            <w:tcW w:w="3261" w:type="dxa"/>
            <w:gridSpan w:val="2"/>
          </w:tcPr>
          <w:p w14:paraId="1728AA5C" w14:textId="4A96C4A1" w:rsidR="00B917EA" w:rsidRPr="00982DBB" w:rsidRDefault="00B917EA" w:rsidP="00B917EA">
            <w:pPr>
              <w:pStyle w:val="FootnoteText"/>
              <w:rPr>
                <w:rFonts w:ascii="Arial" w:hAnsi="Arial" w:cs="Arial"/>
                <w:sz w:val="18"/>
                <w:szCs w:val="18"/>
                <w:lang w:val="el-GR"/>
              </w:rPr>
            </w:pPr>
            <w:r w:rsidRPr="00982DBB">
              <w:rPr>
                <w:rFonts w:ascii="Arial" w:hAnsi="Arial" w:cs="Arial"/>
                <w:sz w:val="18"/>
                <w:szCs w:val="18"/>
                <w:lang w:val="el-GR"/>
              </w:rPr>
              <w:t xml:space="preserve">Βασικά κέρδη ανά μετοχή (που αναλογούν στους ιδιοκτήτες της Εταιρίας) </w:t>
            </w:r>
          </w:p>
          <w:p w14:paraId="0E1C4BB7" w14:textId="77777777" w:rsidR="00B917EA" w:rsidRPr="00982DBB" w:rsidRDefault="00B917EA" w:rsidP="00B917EA">
            <w:pPr>
              <w:pStyle w:val="FootnoteText"/>
              <w:rPr>
                <w:rFonts w:ascii="Arial" w:hAnsi="Arial" w:cs="Arial"/>
                <w:sz w:val="18"/>
                <w:szCs w:val="18"/>
                <w:lang w:val="el-GR"/>
              </w:rPr>
            </w:pPr>
          </w:p>
        </w:tc>
        <w:tc>
          <w:tcPr>
            <w:tcW w:w="6420" w:type="dxa"/>
            <w:gridSpan w:val="3"/>
          </w:tcPr>
          <w:p w14:paraId="6E91591C" w14:textId="0B11F511" w:rsidR="00B917EA" w:rsidRPr="00982DBB" w:rsidRDefault="00B917EA" w:rsidP="00B917EA">
            <w:pPr>
              <w:pStyle w:val="FootnoteText"/>
              <w:jc w:val="both"/>
              <w:rPr>
                <w:rFonts w:ascii="Arial" w:hAnsi="Arial" w:cs="Arial"/>
                <w:sz w:val="18"/>
                <w:szCs w:val="18"/>
                <w:lang w:val="el-GR"/>
              </w:rPr>
            </w:pPr>
            <w:r w:rsidRPr="00982DBB">
              <w:rPr>
                <w:rFonts w:ascii="Arial" w:hAnsi="Arial" w:cs="Arial"/>
                <w:sz w:val="18"/>
                <w:szCs w:val="18"/>
                <w:lang w:val="el-GR"/>
              </w:rPr>
              <w:t>Τα βασικά κέρδη μετά τη φορολογία ανά μετοχή (που αναλογούν στους ιδιοκτήτες της Εταιρίας) είναι τα κέρδη/(ζημιά) μετά τη φορολογία (που αναλογούν στους ιδιοκτήτες της Εταιρίας) διαιρεμένα με το μεσοσταθμικό αριθμό μετοχών που ήταν εκδομένες κατά τη διάρκεια της περιόδου, εξαιρουμένων των ιδίων μετοχών.</w:t>
            </w:r>
          </w:p>
          <w:p w14:paraId="591478C3" w14:textId="77777777" w:rsidR="00B917EA" w:rsidRPr="00982DBB" w:rsidRDefault="00B917EA" w:rsidP="00B917EA">
            <w:pPr>
              <w:pStyle w:val="FootnoteText"/>
              <w:jc w:val="both"/>
              <w:rPr>
                <w:rFonts w:ascii="Arial" w:hAnsi="Arial" w:cs="Arial"/>
                <w:sz w:val="18"/>
                <w:szCs w:val="18"/>
                <w:lang w:val="el-GR"/>
              </w:rPr>
            </w:pPr>
          </w:p>
        </w:tc>
      </w:tr>
      <w:tr w:rsidR="00A67706" w:rsidRPr="00CF1753" w14:paraId="4BA53682" w14:textId="77777777" w:rsidTr="00DB30A6">
        <w:tc>
          <w:tcPr>
            <w:tcW w:w="3261" w:type="dxa"/>
            <w:gridSpan w:val="2"/>
            <w:shd w:val="clear" w:color="auto" w:fill="auto"/>
          </w:tcPr>
          <w:p w14:paraId="34A02045" w14:textId="77777777" w:rsidR="00A67706" w:rsidRPr="00982DBB" w:rsidRDefault="00A67706" w:rsidP="00B917EA">
            <w:pPr>
              <w:pStyle w:val="FootnoteText"/>
              <w:rPr>
                <w:rFonts w:ascii="Arial" w:hAnsi="Arial" w:cs="Arial"/>
                <w:sz w:val="18"/>
                <w:szCs w:val="18"/>
                <w:lang w:val="el-GR"/>
              </w:rPr>
            </w:pPr>
          </w:p>
        </w:tc>
        <w:tc>
          <w:tcPr>
            <w:tcW w:w="6420" w:type="dxa"/>
            <w:gridSpan w:val="3"/>
            <w:shd w:val="clear" w:color="auto" w:fill="auto"/>
          </w:tcPr>
          <w:p w14:paraId="7E02C750" w14:textId="77777777" w:rsidR="00A67706" w:rsidRPr="00982DBB" w:rsidRDefault="00A67706" w:rsidP="00B917EA">
            <w:pPr>
              <w:pStyle w:val="FootnoteText"/>
              <w:jc w:val="both"/>
              <w:rPr>
                <w:rFonts w:ascii="Arial" w:hAnsi="Arial" w:cs="Arial"/>
                <w:sz w:val="18"/>
                <w:szCs w:val="18"/>
                <w:lang w:val="el-GR"/>
              </w:rPr>
            </w:pPr>
          </w:p>
        </w:tc>
      </w:tr>
      <w:tr w:rsidR="00B917EA" w:rsidRPr="00CF1753" w14:paraId="5DEA94AD" w14:textId="77777777" w:rsidTr="00DB30A6">
        <w:tc>
          <w:tcPr>
            <w:tcW w:w="3261" w:type="dxa"/>
            <w:gridSpan w:val="2"/>
            <w:shd w:val="clear" w:color="auto" w:fill="auto"/>
          </w:tcPr>
          <w:p w14:paraId="4FE20E92" w14:textId="77777777" w:rsidR="00B917EA" w:rsidRPr="00982DBB" w:rsidRDefault="00B917EA" w:rsidP="00B917EA">
            <w:pPr>
              <w:pStyle w:val="FootnoteText"/>
              <w:rPr>
                <w:rFonts w:ascii="Arial" w:hAnsi="Arial" w:cs="Arial"/>
                <w:sz w:val="18"/>
                <w:szCs w:val="18"/>
                <w:lang w:val="el-GR"/>
              </w:rPr>
            </w:pPr>
            <w:r w:rsidRPr="00982DBB">
              <w:rPr>
                <w:rFonts w:ascii="Arial" w:hAnsi="Arial" w:cs="Arial"/>
                <w:sz w:val="18"/>
                <w:szCs w:val="18"/>
                <w:lang w:val="el-GR"/>
              </w:rPr>
              <w:t>Δάνεια</w:t>
            </w:r>
          </w:p>
        </w:tc>
        <w:tc>
          <w:tcPr>
            <w:tcW w:w="6420" w:type="dxa"/>
            <w:gridSpan w:val="3"/>
            <w:shd w:val="clear" w:color="auto" w:fill="auto"/>
          </w:tcPr>
          <w:p w14:paraId="2E55C8F0" w14:textId="17D03B65" w:rsidR="00B917EA" w:rsidRPr="00982DBB" w:rsidRDefault="00B917EA" w:rsidP="00B917EA">
            <w:pPr>
              <w:pStyle w:val="FootnoteText"/>
              <w:jc w:val="both"/>
              <w:rPr>
                <w:rFonts w:ascii="Arial" w:hAnsi="Arial" w:cs="Arial"/>
                <w:sz w:val="18"/>
                <w:szCs w:val="18"/>
                <w:lang w:val="el-GR"/>
              </w:rPr>
            </w:pPr>
            <w:r w:rsidRPr="00982DBB">
              <w:rPr>
                <w:rFonts w:ascii="Arial" w:hAnsi="Arial" w:cs="Arial"/>
                <w:sz w:val="18"/>
                <w:szCs w:val="18"/>
                <w:lang w:val="el-GR"/>
              </w:rPr>
              <w:t xml:space="preserve">Τα δάνεια αποτελούνται από: (i) μεικτά δάνεια και απαιτήσεις από πελάτες που επιμετρούνται σε αποσβεσμένο κόστος πριν από την εναπομείνουσα αναπροσαρμογή στην εύλογη αξία κατά την αρχική αναγνώριση (περιλαμβανομένων δανείων και απαιτήσεων από πελάτες που κατηγοριοποιούνται ως μη κυκλοφοριακά περιουσιακά στοιχεία που κατέχονται προς πώληση όπου εφαρμόζεται) και (ii) δάνεια και απαιτήσεις από πελάτες που κατηγοριοποιούνται και επιμετρούνται στην εύλογη αξία μέσω των αποτελεσμάτων αναπροσαρμοσμένα για τη συσσωρευμένη αναπροσαρμογή στην εύλογη αξία. </w:t>
            </w:r>
          </w:p>
          <w:p w14:paraId="2C0A7296" w14:textId="77777777" w:rsidR="00B917EA" w:rsidRPr="00982DBB" w:rsidRDefault="00B917EA" w:rsidP="00B917EA">
            <w:pPr>
              <w:pStyle w:val="FootnoteText"/>
              <w:jc w:val="both"/>
              <w:rPr>
                <w:rFonts w:ascii="Arial" w:hAnsi="Arial" w:cs="Arial"/>
                <w:sz w:val="18"/>
                <w:szCs w:val="18"/>
                <w:lang w:val="el-GR"/>
              </w:rPr>
            </w:pPr>
          </w:p>
          <w:p w14:paraId="27DA9E57" w14:textId="5BF899B4" w:rsidR="00B917EA" w:rsidRPr="00982DBB" w:rsidRDefault="00B917EA" w:rsidP="00B917EA">
            <w:pPr>
              <w:pStyle w:val="FootnoteText"/>
              <w:jc w:val="both"/>
              <w:rPr>
                <w:rFonts w:ascii="Arial" w:hAnsi="Arial" w:cs="Arial"/>
                <w:sz w:val="18"/>
                <w:szCs w:val="18"/>
                <w:lang w:val="el-GR"/>
              </w:rPr>
            </w:pPr>
            <w:r w:rsidRPr="00982DBB">
              <w:rPr>
                <w:rFonts w:ascii="Arial" w:hAnsi="Arial" w:cs="Arial"/>
                <w:sz w:val="18"/>
                <w:szCs w:val="18"/>
                <w:lang w:val="el-GR"/>
              </w:rPr>
              <w:t>Τα δάνεια παρουσιάζονται πριν την αναπροσαρμογή στην υπολειμματική εύλογη αξία κατά την αρχική αναγνώριση κυρίως σε σχέση με τα δάνεια που αποκτήθηκαν από τη Λαϊκή Τράπεζα (υπολογίζεται ως η διαφορά μεταξύ του ανεξόφλητου συμβατικού ποσού και της εύλογης αξίας των δανείων κατά την ημερομηνία της εξαγοράς) συνολικού ύψους €</w:t>
            </w:r>
            <w:r w:rsidR="00A67706" w:rsidRPr="00982DBB">
              <w:rPr>
                <w:rFonts w:ascii="Arial" w:hAnsi="Arial" w:cs="Arial"/>
                <w:sz w:val="18"/>
                <w:szCs w:val="18"/>
                <w:lang w:val="el-GR"/>
              </w:rPr>
              <w:t>60</w:t>
            </w:r>
            <w:r w:rsidRPr="00982DBB">
              <w:rPr>
                <w:rFonts w:ascii="Arial" w:hAnsi="Arial" w:cs="Arial"/>
                <w:sz w:val="18"/>
                <w:szCs w:val="18"/>
                <w:lang w:val="el-GR"/>
              </w:rPr>
              <w:t xml:space="preserve"> εκατ. στις </w:t>
            </w:r>
            <w:r w:rsidR="00A67706" w:rsidRPr="00982DBB">
              <w:rPr>
                <w:rFonts w:ascii="Arial" w:hAnsi="Arial" w:cs="Arial"/>
                <w:sz w:val="18"/>
                <w:szCs w:val="18"/>
                <w:lang w:val="el-GR"/>
              </w:rPr>
              <w:t>30</w:t>
            </w:r>
            <w:r w:rsidRPr="00982DBB">
              <w:rPr>
                <w:rFonts w:ascii="Arial" w:hAnsi="Arial" w:cs="Arial"/>
                <w:sz w:val="18"/>
                <w:szCs w:val="18"/>
                <w:lang w:val="el-GR"/>
              </w:rPr>
              <w:t xml:space="preserve"> </w:t>
            </w:r>
            <w:r w:rsidR="00A67706" w:rsidRPr="00982DBB">
              <w:rPr>
                <w:rFonts w:ascii="Arial" w:hAnsi="Arial" w:cs="Arial"/>
                <w:sz w:val="18"/>
                <w:szCs w:val="18"/>
                <w:lang w:val="el-GR"/>
              </w:rPr>
              <w:t>Ιουνίου</w:t>
            </w:r>
            <w:r w:rsidRPr="00982DBB">
              <w:rPr>
                <w:rFonts w:ascii="Arial" w:hAnsi="Arial" w:cs="Arial"/>
                <w:sz w:val="18"/>
                <w:szCs w:val="18"/>
                <w:lang w:val="el-GR"/>
              </w:rPr>
              <w:t xml:space="preserve"> 2024 (σε σύγκριση με </w:t>
            </w:r>
            <w:r w:rsidR="00A67706" w:rsidRPr="00982DBB">
              <w:rPr>
                <w:rFonts w:ascii="Arial" w:hAnsi="Arial" w:cs="Arial"/>
                <w:sz w:val="18"/>
                <w:szCs w:val="18"/>
                <w:lang w:val="el-GR"/>
              </w:rPr>
              <w:t xml:space="preserve">€67 εκατ. στις 31 Μαρτίου 2024 και με </w:t>
            </w:r>
            <w:r w:rsidRPr="00982DBB">
              <w:rPr>
                <w:rFonts w:ascii="Arial" w:hAnsi="Arial" w:cs="Arial"/>
                <w:sz w:val="18"/>
                <w:szCs w:val="18"/>
                <w:lang w:val="el-GR"/>
              </w:rPr>
              <w:t xml:space="preserve">€69 εκατ. στις 31 Δεκεμβρίου 2023). </w:t>
            </w:r>
          </w:p>
          <w:p w14:paraId="08F92BC7" w14:textId="77777777" w:rsidR="00B917EA" w:rsidRPr="00982DBB" w:rsidRDefault="00B917EA" w:rsidP="00B917EA">
            <w:pPr>
              <w:pStyle w:val="FootnoteText"/>
              <w:jc w:val="both"/>
              <w:rPr>
                <w:rFonts w:ascii="Arial" w:hAnsi="Arial" w:cs="Arial"/>
                <w:sz w:val="18"/>
                <w:szCs w:val="18"/>
                <w:lang w:val="el-GR"/>
              </w:rPr>
            </w:pPr>
          </w:p>
          <w:p w14:paraId="5A111F4C" w14:textId="1A9A8133" w:rsidR="00B917EA" w:rsidRPr="00982DBB" w:rsidRDefault="00B917EA" w:rsidP="00B917EA">
            <w:pPr>
              <w:pStyle w:val="FootnoteText"/>
              <w:jc w:val="both"/>
              <w:rPr>
                <w:rFonts w:ascii="Arial" w:hAnsi="Arial" w:cs="Arial"/>
                <w:sz w:val="18"/>
                <w:szCs w:val="18"/>
                <w:lang w:val="el-GR"/>
              </w:rPr>
            </w:pPr>
            <w:r w:rsidRPr="00982DBB">
              <w:rPr>
                <w:rFonts w:ascii="Arial" w:hAnsi="Arial" w:cs="Arial"/>
                <w:sz w:val="18"/>
                <w:szCs w:val="18"/>
                <w:lang w:val="el-GR"/>
              </w:rPr>
              <w:t>Επιπρόσθετα, τα δάνεια περιλαμβάνουν δάνεια και απαιτήσεις από πελάτες που κατηγοριοποιούνται και επιμετρούνται στην εύλογη αξία μέσω της κατάστασης λογαριασμού αποτελεσμάτων</w:t>
            </w:r>
            <w:r w:rsidRPr="00982DBB">
              <w:rPr>
                <w:rFonts w:ascii="Arial" w:hAnsi="Arial" w:cs="Arial"/>
                <w:lang w:val="el-GR"/>
              </w:rPr>
              <w:t xml:space="preserve"> </w:t>
            </w:r>
            <w:r w:rsidRPr="00982DBB">
              <w:rPr>
                <w:rFonts w:ascii="Arial" w:hAnsi="Arial" w:cs="Arial"/>
                <w:sz w:val="18"/>
                <w:szCs w:val="18"/>
                <w:lang w:val="el-GR"/>
              </w:rPr>
              <w:t>αναπροσαρμοσμένα για τη συσσωρευμένη αναπροσαρμογή στην εύλογη αξία ύψους €</w:t>
            </w:r>
            <w:r w:rsidR="00A67706" w:rsidRPr="00982DBB">
              <w:rPr>
                <w:rFonts w:ascii="Arial" w:hAnsi="Arial" w:cs="Arial"/>
                <w:sz w:val="18"/>
                <w:szCs w:val="18"/>
                <w:lang w:val="el-GR"/>
              </w:rPr>
              <w:t>133</w:t>
            </w:r>
            <w:r w:rsidRPr="00982DBB">
              <w:rPr>
                <w:rFonts w:ascii="Arial" w:hAnsi="Arial" w:cs="Arial"/>
                <w:sz w:val="18"/>
                <w:szCs w:val="18"/>
                <w:lang w:val="el-GR"/>
              </w:rPr>
              <w:t xml:space="preserve"> εκατ.</w:t>
            </w:r>
            <w:r w:rsidR="00A67706" w:rsidRPr="00982DBB">
              <w:rPr>
                <w:rFonts w:ascii="Arial" w:hAnsi="Arial" w:cs="Arial"/>
                <w:sz w:val="18"/>
                <w:szCs w:val="18"/>
                <w:lang w:val="el-GR"/>
              </w:rPr>
              <w:t xml:space="preserve"> </w:t>
            </w:r>
            <w:r w:rsidRPr="00982DBB">
              <w:rPr>
                <w:rFonts w:ascii="Arial" w:hAnsi="Arial" w:cs="Arial"/>
                <w:sz w:val="18"/>
                <w:szCs w:val="18"/>
                <w:lang w:val="el-GR"/>
              </w:rPr>
              <w:t xml:space="preserve">στις </w:t>
            </w:r>
            <w:r w:rsidR="00A67706" w:rsidRPr="00982DBB">
              <w:rPr>
                <w:rFonts w:ascii="Arial" w:hAnsi="Arial" w:cs="Arial"/>
                <w:sz w:val="18"/>
                <w:szCs w:val="18"/>
                <w:lang w:val="el-GR"/>
              </w:rPr>
              <w:t>30</w:t>
            </w:r>
            <w:r w:rsidRPr="00982DBB">
              <w:rPr>
                <w:rFonts w:ascii="Arial" w:hAnsi="Arial" w:cs="Arial"/>
                <w:sz w:val="18"/>
                <w:szCs w:val="18"/>
                <w:lang w:val="el-GR"/>
              </w:rPr>
              <w:t xml:space="preserve"> </w:t>
            </w:r>
            <w:r w:rsidR="00A67706" w:rsidRPr="00982DBB">
              <w:rPr>
                <w:rFonts w:ascii="Arial" w:hAnsi="Arial" w:cs="Arial"/>
                <w:sz w:val="18"/>
                <w:szCs w:val="18"/>
                <w:lang w:val="el-GR"/>
              </w:rPr>
              <w:t>Ιουνίου</w:t>
            </w:r>
            <w:r w:rsidRPr="00982DBB">
              <w:rPr>
                <w:rFonts w:ascii="Arial" w:hAnsi="Arial" w:cs="Arial"/>
                <w:sz w:val="18"/>
                <w:szCs w:val="18"/>
                <w:lang w:val="el-GR"/>
              </w:rPr>
              <w:t xml:space="preserve"> 2024 (σε σύγκριση με </w:t>
            </w:r>
            <w:r w:rsidR="00A67706" w:rsidRPr="00982DBB">
              <w:rPr>
                <w:rFonts w:ascii="Arial" w:hAnsi="Arial" w:cs="Arial"/>
                <w:sz w:val="18"/>
                <w:szCs w:val="18"/>
                <w:lang w:val="el-GR"/>
              </w:rPr>
              <w:t xml:space="preserve">€134 εκατ. στις 31 Μαρτίου 2024 και με </w:t>
            </w:r>
            <w:r w:rsidRPr="00982DBB">
              <w:rPr>
                <w:rFonts w:ascii="Arial" w:hAnsi="Arial" w:cs="Arial"/>
                <w:sz w:val="18"/>
                <w:szCs w:val="18"/>
                <w:lang w:val="el-GR"/>
              </w:rPr>
              <w:t xml:space="preserve">€138 εκατ. στις 31 Δεκεμβρίου 2023). </w:t>
            </w:r>
          </w:p>
        </w:tc>
      </w:tr>
      <w:tr w:rsidR="00B917EA" w:rsidRPr="00CF1753" w14:paraId="1D612C98" w14:textId="77777777" w:rsidTr="00A21CB9">
        <w:tc>
          <w:tcPr>
            <w:tcW w:w="3261" w:type="dxa"/>
            <w:gridSpan w:val="2"/>
          </w:tcPr>
          <w:p w14:paraId="0B56AA89" w14:textId="77777777" w:rsidR="00B917EA" w:rsidRPr="00982DBB" w:rsidRDefault="00B917EA" w:rsidP="00B917EA">
            <w:pPr>
              <w:pStyle w:val="FootnoteText"/>
              <w:rPr>
                <w:rFonts w:ascii="Arial" w:hAnsi="Arial" w:cs="Arial"/>
                <w:sz w:val="18"/>
                <w:szCs w:val="18"/>
                <w:lang w:val="el-GR"/>
              </w:rPr>
            </w:pPr>
          </w:p>
        </w:tc>
        <w:tc>
          <w:tcPr>
            <w:tcW w:w="6420" w:type="dxa"/>
            <w:gridSpan w:val="3"/>
          </w:tcPr>
          <w:p w14:paraId="16D8FCA6" w14:textId="77777777" w:rsidR="00B917EA" w:rsidRPr="00982DBB" w:rsidRDefault="00B917EA" w:rsidP="00B917EA">
            <w:pPr>
              <w:pStyle w:val="FootnoteText"/>
              <w:jc w:val="both"/>
              <w:rPr>
                <w:rFonts w:ascii="Arial" w:hAnsi="Arial" w:cs="Arial"/>
                <w:sz w:val="18"/>
                <w:szCs w:val="18"/>
                <w:lang w:val="el-GR"/>
              </w:rPr>
            </w:pPr>
          </w:p>
        </w:tc>
      </w:tr>
      <w:tr w:rsidR="00B917EA" w:rsidRPr="00CF1753" w14:paraId="1964BCA8" w14:textId="77777777" w:rsidTr="00A21CB9">
        <w:tc>
          <w:tcPr>
            <w:tcW w:w="3261" w:type="dxa"/>
            <w:gridSpan w:val="2"/>
          </w:tcPr>
          <w:p w14:paraId="022E8B1E" w14:textId="77777777" w:rsidR="00B917EA" w:rsidRPr="00982DBB" w:rsidRDefault="00B917EA" w:rsidP="00B917EA">
            <w:pPr>
              <w:pStyle w:val="FootnoteText"/>
              <w:rPr>
                <w:rFonts w:ascii="Arial" w:hAnsi="Arial" w:cs="Arial"/>
                <w:sz w:val="18"/>
                <w:szCs w:val="18"/>
                <w:lang w:val="el-GR"/>
              </w:rPr>
            </w:pPr>
            <w:r w:rsidRPr="00982DBB">
              <w:rPr>
                <w:rFonts w:ascii="Arial" w:hAnsi="Arial" w:cs="Arial"/>
                <w:bCs/>
                <w:sz w:val="18"/>
                <w:szCs w:val="18"/>
                <w:lang w:val="el-GR"/>
              </w:rPr>
              <w:t>Δείκτης Καθαρής Σταθερής Χρηματοδότησης (ΔΚΣΧ)</w:t>
            </w:r>
          </w:p>
        </w:tc>
        <w:tc>
          <w:tcPr>
            <w:tcW w:w="6420" w:type="dxa"/>
            <w:gridSpan w:val="3"/>
          </w:tcPr>
          <w:p w14:paraId="4E9BA622" w14:textId="77777777" w:rsidR="00B917EA" w:rsidRPr="00982DBB" w:rsidRDefault="00B917EA" w:rsidP="00B917EA">
            <w:pPr>
              <w:jc w:val="both"/>
              <w:rPr>
                <w:rFonts w:ascii="Arial" w:hAnsi="Arial" w:cs="Arial"/>
                <w:sz w:val="18"/>
                <w:szCs w:val="18"/>
                <w:lang w:val="el-GR"/>
              </w:rPr>
            </w:pPr>
            <w:r w:rsidRPr="00982DBB">
              <w:rPr>
                <w:rFonts w:ascii="Arial" w:hAnsi="Arial" w:cs="Arial"/>
                <w:sz w:val="18"/>
                <w:szCs w:val="18"/>
                <w:lang w:val="el-GR"/>
              </w:rPr>
              <w:t xml:space="preserve">Ο Δείκτης Καθαρής Σταθερής Χρηματοδότησης (ΔΚΣΧ) υπολογίζεται ως τα ‘Διαθέσιμα Ποσά Σταθερής Χρηματοδότησης’ σε σχέση με τα ‘Απαιτούμενα Ποσά Σταθερής Χρηματοδότησης’. Το όριο με βάση τον Κανονισμό Κεφαλαιακών Απαιτήσεων ΙΙ (CRR II) που μπήκε σε ισχύ τον Ιούνιο του 2021 έχει τεθεί στο 100%.  </w:t>
            </w:r>
          </w:p>
          <w:p w14:paraId="444154F3" w14:textId="77777777" w:rsidR="00B917EA" w:rsidRPr="00982DBB" w:rsidRDefault="00B917EA" w:rsidP="00B917EA">
            <w:pPr>
              <w:jc w:val="both"/>
              <w:rPr>
                <w:rFonts w:ascii="Arial" w:hAnsi="Arial" w:cs="Arial"/>
                <w:sz w:val="18"/>
                <w:szCs w:val="18"/>
                <w:lang w:val="el-GR"/>
              </w:rPr>
            </w:pPr>
          </w:p>
        </w:tc>
      </w:tr>
      <w:tr w:rsidR="00B917EA" w:rsidRPr="00CF1753" w14:paraId="4B8ED77D" w14:textId="77777777" w:rsidTr="00A21CB9">
        <w:tc>
          <w:tcPr>
            <w:tcW w:w="3261" w:type="dxa"/>
            <w:gridSpan w:val="2"/>
          </w:tcPr>
          <w:p w14:paraId="2C00AE8A" w14:textId="77777777" w:rsidR="00B917EA" w:rsidRPr="00982DBB" w:rsidRDefault="00B917EA" w:rsidP="00B917EA">
            <w:pPr>
              <w:pStyle w:val="FootnoteText"/>
              <w:rPr>
                <w:rFonts w:ascii="Arial" w:hAnsi="Arial" w:cs="Arial"/>
                <w:sz w:val="18"/>
                <w:szCs w:val="18"/>
                <w:lang w:val="el-GR"/>
              </w:rPr>
            </w:pPr>
          </w:p>
        </w:tc>
        <w:tc>
          <w:tcPr>
            <w:tcW w:w="6420" w:type="dxa"/>
            <w:gridSpan w:val="3"/>
          </w:tcPr>
          <w:p w14:paraId="3134A446" w14:textId="77777777" w:rsidR="00B917EA" w:rsidRPr="00982DBB" w:rsidRDefault="00B917EA" w:rsidP="00B917EA">
            <w:pPr>
              <w:jc w:val="both"/>
              <w:rPr>
                <w:rFonts w:ascii="Arial" w:hAnsi="Arial" w:cs="Arial"/>
                <w:sz w:val="18"/>
                <w:szCs w:val="18"/>
                <w:lang w:val="el-GR"/>
              </w:rPr>
            </w:pPr>
          </w:p>
        </w:tc>
      </w:tr>
      <w:tr w:rsidR="00B917EA" w:rsidRPr="00CF1753" w14:paraId="719AA529" w14:textId="77777777" w:rsidTr="00A21CB9">
        <w:tc>
          <w:tcPr>
            <w:tcW w:w="3261" w:type="dxa"/>
            <w:gridSpan w:val="2"/>
          </w:tcPr>
          <w:p w14:paraId="48A62C5B" w14:textId="77777777" w:rsidR="00B917EA" w:rsidRPr="00982DBB" w:rsidRDefault="00B917EA" w:rsidP="00B917EA">
            <w:pPr>
              <w:pStyle w:val="FootnoteText"/>
              <w:rPr>
                <w:rFonts w:ascii="Arial" w:hAnsi="Arial" w:cs="Arial"/>
                <w:bCs/>
                <w:sz w:val="18"/>
                <w:szCs w:val="18"/>
                <w:lang w:val="el-GR"/>
              </w:rPr>
            </w:pPr>
            <w:r w:rsidRPr="00982DBB">
              <w:rPr>
                <w:rFonts w:ascii="Arial" w:hAnsi="Arial" w:cs="Arial"/>
                <w:sz w:val="18"/>
                <w:szCs w:val="18"/>
                <w:lang w:val="el-GR"/>
              </w:rPr>
              <w:t>Δείκτης καθαρών δανείων προς καταθέσεις</w:t>
            </w:r>
          </w:p>
        </w:tc>
        <w:tc>
          <w:tcPr>
            <w:tcW w:w="6420" w:type="dxa"/>
            <w:gridSpan w:val="3"/>
          </w:tcPr>
          <w:p w14:paraId="2A008929" w14:textId="77777777" w:rsidR="00B917EA" w:rsidRPr="00982DBB" w:rsidRDefault="00B917EA" w:rsidP="00B917EA">
            <w:pPr>
              <w:jc w:val="both"/>
              <w:rPr>
                <w:rFonts w:ascii="Arial" w:hAnsi="Arial" w:cs="Arial"/>
                <w:sz w:val="18"/>
                <w:szCs w:val="18"/>
                <w:lang w:val="el-GR"/>
              </w:rPr>
            </w:pPr>
            <w:r w:rsidRPr="00982DBB">
              <w:rPr>
                <w:rFonts w:ascii="Arial" w:hAnsi="Arial" w:cs="Arial"/>
                <w:sz w:val="18"/>
                <w:szCs w:val="18"/>
                <w:lang w:val="el-GR"/>
              </w:rPr>
              <w:t xml:space="preserve">Ο δείκτης καθαρών δανείων προς καταθέσεις υπολογίζεται ως τα δάνεια (όπως ορίζονται) μείον τις συσσωρευμένες αναμενόμενες πιστωτικές ζημιές δανείων (όπως ορίζονται) ως προς το σύνολο των καταθέσεων. </w:t>
            </w:r>
          </w:p>
        </w:tc>
      </w:tr>
      <w:bookmarkEnd w:id="35"/>
      <w:tr w:rsidR="00A67706" w:rsidRPr="00CF1753" w14:paraId="2E566297" w14:textId="77777777" w:rsidTr="00A67706">
        <w:trPr>
          <w:trHeight w:val="211"/>
        </w:trPr>
        <w:tc>
          <w:tcPr>
            <w:tcW w:w="3261" w:type="dxa"/>
            <w:gridSpan w:val="2"/>
          </w:tcPr>
          <w:p w14:paraId="3F94F34A" w14:textId="77777777" w:rsidR="00A67706" w:rsidRPr="00982DBB" w:rsidRDefault="00A67706" w:rsidP="00A67706">
            <w:pPr>
              <w:pStyle w:val="FootnoteText"/>
              <w:rPr>
                <w:rFonts w:ascii="Arial" w:hAnsi="Arial" w:cs="Arial"/>
                <w:sz w:val="18"/>
                <w:szCs w:val="18"/>
                <w:lang w:val="el-GR"/>
              </w:rPr>
            </w:pPr>
          </w:p>
        </w:tc>
        <w:tc>
          <w:tcPr>
            <w:tcW w:w="6420" w:type="dxa"/>
            <w:gridSpan w:val="3"/>
          </w:tcPr>
          <w:p w14:paraId="50462716" w14:textId="13E02603" w:rsidR="00A67706" w:rsidRPr="00982DBB" w:rsidRDefault="00A67706" w:rsidP="00A67706">
            <w:pPr>
              <w:jc w:val="both"/>
              <w:rPr>
                <w:rFonts w:ascii="Arial" w:hAnsi="Arial" w:cs="Arial"/>
                <w:sz w:val="18"/>
                <w:szCs w:val="18"/>
                <w:lang w:val="el-GR"/>
              </w:rPr>
            </w:pPr>
          </w:p>
        </w:tc>
      </w:tr>
      <w:tr w:rsidR="00A67706" w:rsidRPr="00CF1753" w14:paraId="50837AD6" w14:textId="77777777" w:rsidTr="00A21CB9">
        <w:tc>
          <w:tcPr>
            <w:tcW w:w="3261" w:type="dxa"/>
            <w:gridSpan w:val="2"/>
          </w:tcPr>
          <w:p w14:paraId="70346A5D" w14:textId="7FCF58A6" w:rsidR="00A67706" w:rsidRPr="00982DBB" w:rsidRDefault="00A67706" w:rsidP="00A67706">
            <w:pPr>
              <w:pStyle w:val="FootnoteText"/>
              <w:rPr>
                <w:rFonts w:ascii="Arial" w:hAnsi="Arial" w:cs="Arial"/>
                <w:sz w:val="18"/>
                <w:szCs w:val="18"/>
                <w:lang w:val="el-GR"/>
              </w:rPr>
            </w:pPr>
            <w:r w:rsidRPr="00982DBB">
              <w:rPr>
                <w:rFonts w:ascii="Arial" w:hAnsi="Arial" w:cs="Arial"/>
                <w:sz w:val="18"/>
                <w:szCs w:val="18"/>
                <w:lang w:val="el-GR"/>
              </w:rPr>
              <w:t>Δείκτης Κεφαλαίου Κοινών Μετοχών Κατηγορίας 1 (CET1) (με μεταβατικές διατάξεις)</w:t>
            </w:r>
          </w:p>
        </w:tc>
        <w:tc>
          <w:tcPr>
            <w:tcW w:w="6420" w:type="dxa"/>
            <w:gridSpan w:val="3"/>
          </w:tcPr>
          <w:p w14:paraId="25E154EB" w14:textId="3120DD4A" w:rsidR="00A67706" w:rsidRPr="00982DBB" w:rsidRDefault="00A67706" w:rsidP="00A67706">
            <w:pPr>
              <w:jc w:val="both"/>
              <w:rPr>
                <w:rFonts w:ascii="Arial" w:hAnsi="Arial" w:cs="Arial"/>
                <w:sz w:val="18"/>
                <w:szCs w:val="18"/>
                <w:lang w:val="el-GR"/>
              </w:rPr>
            </w:pPr>
            <w:r w:rsidRPr="00982DBB">
              <w:rPr>
                <w:rFonts w:ascii="Arial" w:hAnsi="Arial" w:cs="Arial"/>
                <w:sz w:val="18"/>
                <w:szCs w:val="18"/>
                <w:lang w:val="el-GR"/>
              </w:rPr>
              <w:t xml:space="preserve">Ο Δείκτης Κεφαλαίου Κοινών Μετοχών Κατηγορίας 1 (με μεταβατικές διατάξεις) έχει καθοριστεί σύμφωνα με τις απαιτήσεις του Κανονισμού Κεφαλαιακών Απαιτήσεων (CRR) (ΕΕ) Αρ. 575/2013, όπως τροποποιήθηκε από τον </w:t>
            </w:r>
            <w:r w:rsidRPr="00982DBB">
              <w:rPr>
                <w:rFonts w:ascii="Arial" w:hAnsi="Arial" w:cs="Arial"/>
                <w:sz w:val="18"/>
                <w:szCs w:val="18"/>
              </w:rPr>
              <w:t>CRR</w:t>
            </w:r>
            <w:r w:rsidRPr="00982DBB">
              <w:rPr>
                <w:rFonts w:ascii="Arial" w:hAnsi="Arial" w:cs="Arial"/>
                <w:sz w:val="18"/>
                <w:szCs w:val="18"/>
                <w:lang w:val="el-GR"/>
              </w:rPr>
              <w:t xml:space="preserve"> </w:t>
            </w:r>
            <w:r w:rsidRPr="00982DBB">
              <w:rPr>
                <w:rFonts w:ascii="Arial" w:hAnsi="Arial" w:cs="Arial"/>
                <w:sz w:val="18"/>
                <w:szCs w:val="18"/>
              </w:rPr>
              <w:t>II</w:t>
            </w:r>
            <w:r w:rsidRPr="00982DBB">
              <w:rPr>
                <w:rFonts w:ascii="Arial" w:hAnsi="Arial" w:cs="Arial"/>
                <w:sz w:val="18"/>
                <w:szCs w:val="18"/>
                <w:lang w:val="el-GR"/>
              </w:rPr>
              <w:t>, όπως εφαρμόζεται κατά την ημερομηνία αναφοράς.</w:t>
            </w:r>
          </w:p>
        </w:tc>
      </w:tr>
      <w:tr w:rsidR="00A67706" w:rsidRPr="00CF1753" w14:paraId="6CCE2806" w14:textId="77777777" w:rsidTr="006E6105">
        <w:tc>
          <w:tcPr>
            <w:tcW w:w="9681" w:type="dxa"/>
            <w:gridSpan w:val="5"/>
          </w:tcPr>
          <w:p w14:paraId="0674A1D7" w14:textId="77777777" w:rsidR="00A67706" w:rsidRPr="00982DBB" w:rsidRDefault="00A67706" w:rsidP="00A67706">
            <w:pPr>
              <w:jc w:val="both"/>
              <w:rPr>
                <w:rFonts w:ascii="Arial" w:hAnsi="Arial" w:cs="Arial"/>
                <w:b/>
                <w:color w:val="FF9900"/>
                <w:sz w:val="24"/>
                <w:szCs w:val="24"/>
                <w:lang w:val="el-GR"/>
              </w:rPr>
            </w:pPr>
          </w:p>
          <w:p w14:paraId="2A95B92A" w14:textId="421DA5F6" w:rsidR="00A67706" w:rsidRPr="00982DBB" w:rsidRDefault="00A67706" w:rsidP="00A67706">
            <w:pPr>
              <w:jc w:val="both"/>
              <w:rPr>
                <w:rFonts w:ascii="Arial" w:hAnsi="Arial" w:cs="Arial"/>
                <w:bCs/>
                <w:color w:val="FF9900"/>
                <w:sz w:val="24"/>
                <w:szCs w:val="24"/>
                <w:lang w:val="el-GR"/>
              </w:rPr>
            </w:pPr>
            <w:r w:rsidRPr="00982DBB">
              <w:rPr>
                <w:rFonts w:ascii="Arial" w:hAnsi="Arial" w:cs="Arial"/>
                <w:b/>
                <w:color w:val="FF9900"/>
                <w:sz w:val="24"/>
                <w:szCs w:val="24"/>
                <w:lang w:val="el-GR"/>
              </w:rPr>
              <w:lastRenderedPageBreak/>
              <w:t>ΣΤ. Όροι και Επεξηγήσεις</w:t>
            </w:r>
            <w:r w:rsidRPr="00982DBB">
              <w:rPr>
                <w:rFonts w:ascii="Arial" w:hAnsi="Arial" w:cs="Arial"/>
                <w:bCs/>
                <w:color w:val="FF9900"/>
                <w:sz w:val="24"/>
                <w:szCs w:val="24"/>
                <w:lang w:val="el-GR"/>
              </w:rPr>
              <w:t xml:space="preserve"> (συνέχεια)</w:t>
            </w:r>
          </w:p>
          <w:p w14:paraId="4259097F" w14:textId="77777777" w:rsidR="00A67706" w:rsidRPr="00982DBB" w:rsidRDefault="00A67706" w:rsidP="00A67706">
            <w:pPr>
              <w:jc w:val="both"/>
              <w:rPr>
                <w:rFonts w:ascii="Arial" w:hAnsi="Arial" w:cs="Arial"/>
                <w:sz w:val="18"/>
                <w:szCs w:val="18"/>
                <w:lang w:val="el-GR"/>
              </w:rPr>
            </w:pPr>
          </w:p>
        </w:tc>
      </w:tr>
      <w:tr w:rsidR="00A67706" w:rsidRPr="00CF1753" w14:paraId="36AB09F0" w14:textId="77777777" w:rsidTr="00A21CB9">
        <w:tc>
          <w:tcPr>
            <w:tcW w:w="3261" w:type="dxa"/>
            <w:gridSpan w:val="2"/>
          </w:tcPr>
          <w:p w14:paraId="3013208C" w14:textId="019201D2" w:rsidR="00A67706" w:rsidRPr="00982DBB" w:rsidRDefault="00A67706" w:rsidP="00A67706">
            <w:pPr>
              <w:pStyle w:val="FootnoteText"/>
              <w:rPr>
                <w:rFonts w:ascii="Arial" w:hAnsi="Arial" w:cs="Arial"/>
                <w:sz w:val="18"/>
                <w:szCs w:val="18"/>
                <w:lang w:val="el-GR"/>
              </w:rPr>
            </w:pPr>
            <w:r w:rsidRPr="00982DBB">
              <w:rPr>
                <w:rFonts w:ascii="Arial" w:hAnsi="Arial" w:cs="Arial"/>
                <w:sz w:val="18"/>
                <w:szCs w:val="18"/>
                <w:lang w:val="el-GR"/>
              </w:rPr>
              <w:lastRenderedPageBreak/>
              <w:t>Δείκτης Κεφαλαίου Κοινών Μετοχών Κατηγορίας 1 (CET1) (χωρίς μεταβατικές διατάξεις)</w:t>
            </w:r>
          </w:p>
        </w:tc>
        <w:tc>
          <w:tcPr>
            <w:tcW w:w="6420" w:type="dxa"/>
            <w:gridSpan w:val="3"/>
          </w:tcPr>
          <w:p w14:paraId="68D46171" w14:textId="6021B946" w:rsidR="00A67706" w:rsidRPr="00982DBB" w:rsidRDefault="00A67706" w:rsidP="00A67706">
            <w:pPr>
              <w:jc w:val="both"/>
              <w:rPr>
                <w:rFonts w:ascii="Arial" w:hAnsi="Arial" w:cs="Arial"/>
                <w:sz w:val="18"/>
                <w:szCs w:val="18"/>
                <w:lang w:val="el-GR"/>
              </w:rPr>
            </w:pPr>
            <w:r w:rsidRPr="00982DBB">
              <w:rPr>
                <w:rFonts w:ascii="Arial" w:hAnsi="Arial" w:cs="Arial"/>
                <w:sz w:val="18"/>
                <w:szCs w:val="18"/>
                <w:lang w:val="el-GR"/>
              </w:rPr>
              <w:t xml:space="preserve">Ο Δείκτης Κεφαλαίου Κοινών Μετοχών Κατηγορίας 1 (χωρίς μεταβατικές διατάξεις) έχει καθοριστεί σύμφωνα με τις απαιτήσεις του Κανονισμού Κεφαλαιακών Απαιτήσεων (ΕΕ) Αρ.575/2013, όπως τροποποιήθηκε από τον </w:t>
            </w:r>
            <w:r w:rsidRPr="00982DBB">
              <w:rPr>
                <w:rFonts w:ascii="Arial" w:hAnsi="Arial" w:cs="Arial"/>
                <w:sz w:val="18"/>
                <w:szCs w:val="18"/>
              </w:rPr>
              <w:t>CRR</w:t>
            </w:r>
            <w:r w:rsidRPr="00982DBB">
              <w:rPr>
                <w:rFonts w:ascii="Arial" w:hAnsi="Arial" w:cs="Arial"/>
                <w:sz w:val="18"/>
                <w:szCs w:val="18"/>
                <w:lang w:val="el-GR"/>
              </w:rPr>
              <w:t xml:space="preserve"> </w:t>
            </w:r>
            <w:r w:rsidRPr="00982DBB">
              <w:rPr>
                <w:rFonts w:ascii="Arial" w:hAnsi="Arial" w:cs="Arial"/>
                <w:sz w:val="18"/>
                <w:szCs w:val="18"/>
              </w:rPr>
              <w:t>II</w:t>
            </w:r>
            <w:r w:rsidRPr="00982DBB">
              <w:rPr>
                <w:rFonts w:ascii="Arial" w:hAnsi="Arial" w:cs="Arial"/>
                <w:sz w:val="18"/>
                <w:szCs w:val="18"/>
                <w:lang w:val="el-GR"/>
              </w:rPr>
              <w:t>, όπως εφαρμόζεται κατά την ημερομηνία αναφοράς.</w:t>
            </w:r>
          </w:p>
        </w:tc>
      </w:tr>
      <w:tr w:rsidR="00A67706" w:rsidRPr="00CF1753" w14:paraId="1DF89DDA" w14:textId="77777777" w:rsidTr="00715401">
        <w:trPr>
          <w:gridAfter w:val="1"/>
          <w:wAfter w:w="98" w:type="dxa"/>
        </w:trPr>
        <w:tc>
          <w:tcPr>
            <w:tcW w:w="3233" w:type="dxa"/>
          </w:tcPr>
          <w:p w14:paraId="4D5E7AEA" w14:textId="77777777" w:rsidR="00A67706" w:rsidRPr="00982DBB" w:rsidRDefault="00A67706" w:rsidP="00A67706">
            <w:pPr>
              <w:pStyle w:val="FootnoteText"/>
              <w:rPr>
                <w:rFonts w:ascii="Arial" w:hAnsi="Arial" w:cs="Arial"/>
                <w:sz w:val="18"/>
                <w:szCs w:val="18"/>
                <w:lang w:val="el-GR"/>
              </w:rPr>
            </w:pPr>
          </w:p>
        </w:tc>
        <w:tc>
          <w:tcPr>
            <w:tcW w:w="6350" w:type="dxa"/>
            <w:gridSpan w:val="3"/>
          </w:tcPr>
          <w:p w14:paraId="3C9E3F8B" w14:textId="77777777" w:rsidR="00A67706" w:rsidRPr="00982DBB" w:rsidRDefault="00A67706" w:rsidP="00A67706">
            <w:pPr>
              <w:jc w:val="both"/>
              <w:rPr>
                <w:rFonts w:ascii="Arial" w:hAnsi="Arial" w:cs="Arial"/>
                <w:sz w:val="18"/>
                <w:szCs w:val="18"/>
                <w:lang w:val="el-GR"/>
              </w:rPr>
            </w:pPr>
          </w:p>
        </w:tc>
      </w:tr>
      <w:tr w:rsidR="00A67706" w:rsidRPr="00CF1753" w14:paraId="6869FDDD" w14:textId="77777777" w:rsidTr="00715401">
        <w:trPr>
          <w:gridAfter w:val="1"/>
          <w:wAfter w:w="98" w:type="dxa"/>
        </w:trPr>
        <w:tc>
          <w:tcPr>
            <w:tcW w:w="3233" w:type="dxa"/>
          </w:tcPr>
          <w:p w14:paraId="4B8B3C09" w14:textId="77777777" w:rsidR="00A67706" w:rsidRPr="00982DBB" w:rsidRDefault="00A67706" w:rsidP="00A67706">
            <w:pPr>
              <w:pStyle w:val="FootnoteText"/>
              <w:rPr>
                <w:rFonts w:ascii="Arial" w:hAnsi="Arial" w:cs="Arial"/>
                <w:sz w:val="18"/>
                <w:szCs w:val="18"/>
                <w:lang w:val="el-GR"/>
              </w:rPr>
            </w:pPr>
            <w:r w:rsidRPr="00982DBB">
              <w:rPr>
                <w:rFonts w:ascii="Arial" w:hAnsi="Arial" w:cs="Arial"/>
                <w:sz w:val="18"/>
                <w:szCs w:val="18"/>
                <w:lang w:val="el-GR"/>
              </w:rPr>
              <w:t>Δείκτης κόστος προς έσοδα</w:t>
            </w:r>
            <w:r w:rsidRPr="00982DBB" w:rsidDel="00460A94">
              <w:rPr>
                <w:rFonts w:ascii="Arial" w:hAnsi="Arial" w:cs="Arial"/>
                <w:sz w:val="18"/>
                <w:szCs w:val="18"/>
                <w:lang w:val="el-GR"/>
              </w:rPr>
              <w:t xml:space="preserve"> </w:t>
            </w:r>
          </w:p>
        </w:tc>
        <w:tc>
          <w:tcPr>
            <w:tcW w:w="6350" w:type="dxa"/>
            <w:gridSpan w:val="3"/>
          </w:tcPr>
          <w:p w14:paraId="378AF1C6" w14:textId="77777777" w:rsidR="00A67706" w:rsidRPr="00982DBB" w:rsidRDefault="00A67706" w:rsidP="00A67706">
            <w:pPr>
              <w:jc w:val="both"/>
              <w:rPr>
                <w:rFonts w:ascii="Arial" w:hAnsi="Arial" w:cs="Arial"/>
                <w:sz w:val="18"/>
                <w:szCs w:val="18"/>
                <w:lang w:val="el-GR"/>
              </w:rPr>
            </w:pPr>
            <w:r w:rsidRPr="00982DBB">
              <w:rPr>
                <w:rFonts w:ascii="Arial" w:hAnsi="Arial" w:cs="Arial"/>
                <w:sz w:val="18"/>
                <w:szCs w:val="18"/>
                <w:lang w:val="el-GR"/>
              </w:rPr>
              <w:t xml:space="preserve">Ο δείκτης κόστος προς έσοδα υπολογίζεται ως το Σύνολο Λειτουργικών Εξόδων (όπως ορίζεται) διαιρεμένο με το Σύνολο Εσόδων (όπως ορίζεται). </w:t>
            </w:r>
          </w:p>
        </w:tc>
      </w:tr>
      <w:tr w:rsidR="00A67706" w:rsidRPr="00CF1753" w14:paraId="20B09FEC" w14:textId="77777777" w:rsidTr="00715401">
        <w:trPr>
          <w:gridAfter w:val="1"/>
          <w:wAfter w:w="98" w:type="dxa"/>
        </w:trPr>
        <w:tc>
          <w:tcPr>
            <w:tcW w:w="3233" w:type="dxa"/>
          </w:tcPr>
          <w:p w14:paraId="658600A2" w14:textId="77777777" w:rsidR="00A67706" w:rsidRPr="00982DBB" w:rsidRDefault="00A67706" w:rsidP="00A67706">
            <w:pPr>
              <w:pStyle w:val="FootnoteText"/>
              <w:rPr>
                <w:rFonts w:ascii="Arial" w:hAnsi="Arial" w:cs="Arial"/>
                <w:bCs/>
                <w:sz w:val="18"/>
                <w:szCs w:val="18"/>
                <w:lang w:val="el-GR"/>
              </w:rPr>
            </w:pPr>
          </w:p>
        </w:tc>
        <w:tc>
          <w:tcPr>
            <w:tcW w:w="6350" w:type="dxa"/>
            <w:gridSpan w:val="3"/>
          </w:tcPr>
          <w:p w14:paraId="60D32EA0" w14:textId="77777777" w:rsidR="00A67706" w:rsidRPr="00982DBB" w:rsidRDefault="00A67706" w:rsidP="00A67706">
            <w:pPr>
              <w:jc w:val="both"/>
              <w:rPr>
                <w:rFonts w:ascii="Arial" w:hAnsi="Arial" w:cs="Arial"/>
                <w:sz w:val="18"/>
                <w:szCs w:val="18"/>
                <w:lang w:val="el-GR"/>
              </w:rPr>
            </w:pPr>
          </w:p>
        </w:tc>
      </w:tr>
      <w:tr w:rsidR="00A67706" w:rsidRPr="00CF1753" w14:paraId="3752AC04" w14:textId="77777777" w:rsidTr="00715401">
        <w:trPr>
          <w:gridAfter w:val="1"/>
          <w:wAfter w:w="98" w:type="dxa"/>
        </w:trPr>
        <w:tc>
          <w:tcPr>
            <w:tcW w:w="3233" w:type="dxa"/>
          </w:tcPr>
          <w:p w14:paraId="5A79E12C" w14:textId="4734219C" w:rsidR="00A67706" w:rsidRPr="00982DBB" w:rsidRDefault="00A67706" w:rsidP="00A67706">
            <w:pPr>
              <w:pStyle w:val="FootnoteText"/>
              <w:rPr>
                <w:rFonts w:ascii="Arial" w:hAnsi="Arial" w:cs="Arial"/>
                <w:sz w:val="18"/>
                <w:szCs w:val="18"/>
                <w:lang w:val="el-GR"/>
              </w:rPr>
            </w:pPr>
            <w:r w:rsidRPr="00982DBB">
              <w:rPr>
                <w:rFonts w:ascii="Arial" w:hAnsi="Arial" w:cs="Arial"/>
                <w:sz w:val="18"/>
                <w:szCs w:val="18"/>
                <w:lang w:val="el-GR"/>
              </w:rPr>
              <w:t>Δείκτης μόχλευσης</w:t>
            </w:r>
          </w:p>
        </w:tc>
        <w:tc>
          <w:tcPr>
            <w:tcW w:w="6350" w:type="dxa"/>
            <w:gridSpan w:val="3"/>
          </w:tcPr>
          <w:p w14:paraId="35FA2A06" w14:textId="77777777" w:rsidR="00A67706" w:rsidRPr="00982DBB" w:rsidRDefault="00A67706" w:rsidP="00A67706">
            <w:pPr>
              <w:pStyle w:val="FootnoteText"/>
              <w:jc w:val="both"/>
              <w:rPr>
                <w:rFonts w:ascii="Arial" w:hAnsi="Arial" w:cs="Arial"/>
                <w:sz w:val="18"/>
                <w:szCs w:val="18"/>
                <w:lang w:val="el-GR"/>
              </w:rPr>
            </w:pPr>
            <w:r w:rsidRPr="00982DBB">
              <w:rPr>
                <w:rFonts w:ascii="Arial" w:hAnsi="Arial" w:cs="Arial"/>
                <w:sz w:val="18"/>
                <w:szCs w:val="18"/>
                <w:lang w:val="el-GR"/>
              </w:rPr>
              <w:t>Ο δείκτης μόχλευσης είναι ο δείκτης του συνόλου των ενσώματων ιδίων κεφαλαίων προς το σύνολο των περιουσιακών στοιχείων όπως αυτά παρουσιάζονται στον ισολογισμό. Τα ενσώματα ίδια κεφάλαια αποτελούνται από τα ίδια κεφάλαια που αναλογούν στους ιδιοκτήτες της Εταιρίας και τους Λοιπούς συμμετοχικούς τίτλους μείον τα άυλα περιουσιακά στοιχεία.</w:t>
            </w:r>
          </w:p>
          <w:p w14:paraId="10C02B88" w14:textId="77777777" w:rsidR="00A67706" w:rsidRPr="00982DBB" w:rsidRDefault="00A67706" w:rsidP="00A67706">
            <w:pPr>
              <w:pStyle w:val="FootnoteText"/>
              <w:jc w:val="both"/>
              <w:rPr>
                <w:rFonts w:ascii="Arial" w:hAnsi="Arial" w:cs="Arial"/>
                <w:sz w:val="18"/>
                <w:szCs w:val="18"/>
                <w:lang w:val="el-GR"/>
              </w:rPr>
            </w:pPr>
          </w:p>
        </w:tc>
      </w:tr>
      <w:tr w:rsidR="00A67706" w:rsidRPr="00CF1753" w14:paraId="41F742E5" w14:textId="77777777" w:rsidTr="00715401">
        <w:trPr>
          <w:gridAfter w:val="1"/>
          <w:wAfter w:w="98" w:type="dxa"/>
        </w:trPr>
        <w:tc>
          <w:tcPr>
            <w:tcW w:w="3233" w:type="dxa"/>
          </w:tcPr>
          <w:p w14:paraId="21364B67" w14:textId="77777777" w:rsidR="00A67706" w:rsidRPr="00982DBB" w:rsidRDefault="00A67706" w:rsidP="00A67706">
            <w:pPr>
              <w:pStyle w:val="FootnoteText"/>
              <w:rPr>
                <w:rFonts w:ascii="Arial" w:hAnsi="Arial" w:cs="Arial"/>
                <w:sz w:val="18"/>
                <w:szCs w:val="18"/>
                <w:lang w:val="el-GR"/>
              </w:rPr>
            </w:pPr>
          </w:p>
        </w:tc>
        <w:tc>
          <w:tcPr>
            <w:tcW w:w="6350" w:type="dxa"/>
            <w:gridSpan w:val="3"/>
          </w:tcPr>
          <w:p w14:paraId="3AF772AE" w14:textId="77777777" w:rsidR="00A67706" w:rsidRPr="00982DBB" w:rsidRDefault="00A67706" w:rsidP="00A67706">
            <w:pPr>
              <w:pStyle w:val="FootnoteText"/>
              <w:jc w:val="both"/>
              <w:rPr>
                <w:rFonts w:ascii="Arial" w:hAnsi="Arial" w:cs="Arial"/>
                <w:sz w:val="18"/>
                <w:szCs w:val="18"/>
                <w:lang w:val="el-GR"/>
              </w:rPr>
            </w:pPr>
          </w:p>
        </w:tc>
      </w:tr>
      <w:tr w:rsidR="00A67706" w:rsidRPr="00CF1753" w14:paraId="2BF7A0A3" w14:textId="77777777" w:rsidTr="00715401">
        <w:trPr>
          <w:gridAfter w:val="1"/>
          <w:wAfter w:w="98" w:type="dxa"/>
        </w:trPr>
        <w:tc>
          <w:tcPr>
            <w:tcW w:w="3233" w:type="dxa"/>
          </w:tcPr>
          <w:p w14:paraId="5B6F12FA" w14:textId="77777777" w:rsidR="00A67706" w:rsidRPr="00982DBB" w:rsidRDefault="00A67706" w:rsidP="00A67706">
            <w:pPr>
              <w:pStyle w:val="FootnoteText"/>
              <w:rPr>
                <w:rFonts w:ascii="Arial" w:hAnsi="Arial" w:cs="Arial"/>
                <w:sz w:val="18"/>
                <w:szCs w:val="18"/>
                <w:lang w:val="el-GR"/>
              </w:rPr>
            </w:pPr>
            <w:r w:rsidRPr="00982DBB">
              <w:rPr>
                <w:rFonts w:ascii="Arial" w:hAnsi="Arial" w:cs="Arial"/>
                <w:sz w:val="18"/>
                <w:szCs w:val="18"/>
                <w:lang w:val="el-GR"/>
              </w:rPr>
              <w:t>Δείκτης μόχλευσης μέτρου συνολικού ανοίγματος (</w:t>
            </w:r>
            <w:r w:rsidRPr="00982DBB">
              <w:rPr>
                <w:rFonts w:ascii="Arial" w:hAnsi="Arial" w:cs="Arial"/>
                <w:sz w:val="18"/>
                <w:szCs w:val="18"/>
              </w:rPr>
              <w:t>leverage</w:t>
            </w:r>
            <w:r w:rsidRPr="00982DBB">
              <w:rPr>
                <w:rFonts w:ascii="Arial" w:hAnsi="Arial" w:cs="Arial"/>
                <w:sz w:val="18"/>
                <w:szCs w:val="18"/>
                <w:lang w:val="el-GR"/>
              </w:rPr>
              <w:t xml:space="preserve"> </w:t>
            </w:r>
            <w:r w:rsidRPr="00982DBB">
              <w:rPr>
                <w:rFonts w:ascii="Arial" w:hAnsi="Arial" w:cs="Arial"/>
                <w:sz w:val="18"/>
                <w:szCs w:val="18"/>
              </w:rPr>
              <w:t>ratio</w:t>
            </w:r>
            <w:r w:rsidRPr="00982DBB">
              <w:rPr>
                <w:rFonts w:ascii="Arial" w:hAnsi="Arial" w:cs="Arial"/>
                <w:sz w:val="18"/>
                <w:szCs w:val="18"/>
                <w:lang w:val="el-GR"/>
              </w:rPr>
              <w:t xml:space="preserve"> </w:t>
            </w:r>
            <w:r w:rsidRPr="00982DBB">
              <w:rPr>
                <w:rFonts w:ascii="Arial" w:hAnsi="Arial" w:cs="Arial"/>
                <w:sz w:val="18"/>
                <w:szCs w:val="18"/>
              </w:rPr>
              <w:t>exposure</w:t>
            </w:r>
            <w:r w:rsidRPr="00982DBB">
              <w:rPr>
                <w:rFonts w:ascii="Arial" w:hAnsi="Arial" w:cs="Arial"/>
                <w:sz w:val="18"/>
                <w:szCs w:val="18"/>
                <w:lang w:val="el-GR"/>
              </w:rPr>
              <w:t xml:space="preserve">, </w:t>
            </w:r>
            <w:r w:rsidRPr="00982DBB">
              <w:rPr>
                <w:rFonts w:ascii="Arial" w:hAnsi="Arial" w:cs="Arial"/>
                <w:sz w:val="18"/>
                <w:szCs w:val="18"/>
              </w:rPr>
              <w:t>LRE</w:t>
            </w:r>
            <w:r w:rsidRPr="00982DBB">
              <w:rPr>
                <w:rFonts w:ascii="Arial" w:hAnsi="Arial" w:cs="Arial"/>
                <w:sz w:val="18"/>
                <w:szCs w:val="18"/>
                <w:lang w:val="el-GR"/>
              </w:rPr>
              <w:t xml:space="preserve">) </w:t>
            </w:r>
          </w:p>
        </w:tc>
        <w:tc>
          <w:tcPr>
            <w:tcW w:w="6350" w:type="dxa"/>
            <w:gridSpan w:val="3"/>
          </w:tcPr>
          <w:p w14:paraId="4F37D51D" w14:textId="77777777" w:rsidR="00A67706" w:rsidRPr="00982DBB" w:rsidRDefault="00A67706" w:rsidP="00A67706">
            <w:pPr>
              <w:pStyle w:val="FootnoteText"/>
              <w:jc w:val="both"/>
              <w:rPr>
                <w:rFonts w:ascii="Arial" w:hAnsi="Arial" w:cs="Arial"/>
                <w:sz w:val="18"/>
                <w:szCs w:val="18"/>
                <w:lang w:val="el-GR"/>
              </w:rPr>
            </w:pPr>
            <w:r w:rsidRPr="00982DBB">
              <w:rPr>
                <w:rFonts w:ascii="Arial" w:hAnsi="Arial" w:cs="Arial"/>
                <w:sz w:val="18"/>
                <w:szCs w:val="18"/>
                <w:lang w:val="el-GR"/>
              </w:rPr>
              <w:t>Ο δείκτης μόχλευσης μέτρου συνολικού ανοίγματος (</w:t>
            </w:r>
            <w:r w:rsidRPr="00982DBB">
              <w:rPr>
                <w:rFonts w:ascii="Arial" w:hAnsi="Arial" w:cs="Arial"/>
                <w:sz w:val="18"/>
                <w:szCs w:val="18"/>
              </w:rPr>
              <w:t>leverage</w:t>
            </w:r>
            <w:r w:rsidRPr="00982DBB">
              <w:rPr>
                <w:rFonts w:ascii="Arial" w:hAnsi="Arial" w:cs="Arial"/>
                <w:sz w:val="18"/>
                <w:szCs w:val="18"/>
                <w:lang w:val="el-GR"/>
              </w:rPr>
              <w:t xml:space="preserve"> </w:t>
            </w:r>
            <w:r w:rsidRPr="00982DBB">
              <w:rPr>
                <w:rFonts w:ascii="Arial" w:hAnsi="Arial" w:cs="Arial"/>
                <w:sz w:val="18"/>
                <w:szCs w:val="18"/>
              </w:rPr>
              <w:t>ratio</w:t>
            </w:r>
            <w:r w:rsidRPr="00982DBB">
              <w:rPr>
                <w:rFonts w:ascii="Arial" w:hAnsi="Arial" w:cs="Arial"/>
                <w:sz w:val="18"/>
                <w:szCs w:val="18"/>
                <w:lang w:val="el-GR"/>
              </w:rPr>
              <w:t xml:space="preserve"> </w:t>
            </w:r>
            <w:r w:rsidRPr="00982DBB">
              <w:rPr>
                <w:rFonts w:ascii="Arial" w:hAnsi="Arial" w:cs="Arial"/>
                <w:sz w:val="18"/>
                <w:szCs w:val="18"/>
              </w:rPr>
              <w:t>exposure</w:t>
            </w:r>
            <w:r w:rsidRPr="00982DBB">
              <w:rPr>
                <w:rFonts w:ascii="Arial" w:hAnsi="Arial" w:cs="Arial"/>
                <w:sz w:val="18"/>
                <w:szCs w:val="18"/>
                <w:lang w:val="el-GR"/>
              </w:rPr>
              <w:t xml:space="preserve">, </w:t>
            </w:r>
            <w:r w:rsidRPr="00982DBB">
              <w:rPr>
                <w:rFonts w:ascii="Arial" w:hAnsi="Arial" w:cs="Arial"/>
                <w:sz w:val="18"/>
                <w:szCs w:val="18"/>
              </w:rPr>
              <w:t>LRE</w:t>
            </w:r>
            <w:r w:rsidRPr="00982DBB">
              <w:rPr>
                <w:rFonts w:ascii="Arial" w:hAnsi="Arial" w:cs="Arial"/>
                <w:sz w:val="18"/>
                <w:szCs w:val="18"/>
                <w:lang w:val="el-GR"/>
              </w:rPr>
              <w:t>) έχει καθοριστεί σύμφωνα με τις απαιτήσεις του Κανονισμού Κεφαλαιακών Απαιτήσεων (ΕΕ) Αρ.575/2013, όπως τροποποιήθηκε.</w:t>
            </w:r>
          </w:p>
        </w:tc>
      </w:tr>
      <w:tr w:rsidR="00A67706" w:rsidRPr="00CF1753" w14:paraId="506031A3" w14:textId="77777777" w:rsidTr="00715401">
        <w:trPr>
          <w:gridAfter w:val="1"/>
          <w:wAfter w:w="98" w:type="dxa"/>
        </w:trPr>
        <w:tc>
          <w:tcPr>
            <w:tcW w:w="3233" w:type="dxa"/>
          </w:tcPr>
          <w:p w14:paraId="1395421E" w14:textId="77777777" w:rsidR="00A67706" w:rsidRPr="00982DBB" w:rsidRDefault="00A67706" w:rsidP="00A67706">
            <w:pPr>
              <w:pStyle w:val="FootnoteText"/>
              <w:rPr>
                <w:rFonts w:ascii="Arial" w:hAnsi="Arial" w:cs="Arial"/>
                <w:sz w:val="18"/>
                <w:szCs w:val="18"/>
                <w:lang w:val="el-GR"/>
              </w:rPr>
            </w:pPr>
          </w:p>
        </w:tc>
        <w:tc>
          <w:tcPr>
            <w:tcW w:w="6350" w:type="dxa"/>
            <w:gridSpan w:val="3"/>
          </w:tcPr>
          <w:p w14:paraId="60163E48" w14:textId="77777777" w:rsidR="00A67706" w:rsidRPr="00982DBB" w:rsidRDefault="00A67706" w:rsidP="00A67706">
            <w:pPr>
              <w:pStyle w:val="FootnoteText"/>
              <w:jc w:val="both"/>
              <w:rPr>
                <w:rFonts w:ascii="Arial" w:hAnsi="Arial" w:cs="Arial"/>
                <w:sz w:val="18"/>
                <w:szCs w:val="18"/>
                <w:lang w:val="el-GR"/>
              </w:rPr>
            </w:pPr>
          </w:p>
        </w:tc>
      </w:tr>
      <w:tr w:rsidR="00A67706" w:rsidRPr="00CF1753" w14:paraId="524F849C" w14:textId="77777777" w:rsidTr="00715401">
        <w:trPr>
          <w:gridAfter w:val="1"/>
          <w:wAfter w:w="98" w:type="dxa"/>
        </w:trPr>
        <w:tc>
          <w:tcPr>
            <w:tcW w:w="3233" w:type="dxa"/>
          </w:tcPr>
          <w:p w14:paraId="6D5FB6E5" w14:textId="7AE44DA4" w:rsidR="00A67706" w:rsidRPr="00982DBB" w:rsidRDefault="00A67706" w:rsidP="00A67706">
            <w:pPr>
              <w:pStyle w:val="FootnoteText"/>
              <w:rPr>
                <w:rFonts w:ascii="Arial" w:hAnsi="Arial" w:cs="Arial"/>
                <w:sz w:val="18"/>
                <w:szCs w:val="18"/>
                <w:lang w:val="el-GR"/>
              </w:rPr>
            </w:pPr>
            <w:r w:rsidRPr="00982DBB">
              <w:rPr>
                <w:rFonts w:ascii="Arial" w:hAnsi="Arial" w:cs="Arial"/>
                <w:sz w:val="18"/>
                <w:szCs w:val="18"/>
                <w:lang w:val="el-GR"/>
              </w:rPr>
              <w:t>Δείκτης Πράσινων Ενυπόθηκων Δανείων</w:t>
            </w:r>
          </w:p>
        </w:tc>
        <w:tc>
          <w:tcPr>
            <w:tcW w:w="6350" w:type="dxa"/>
            <w:gridSpan w:val="3"/>
          </w:tcPr>
          <w:p w14:paraId="0BF85E8A" w14:textId="00B1888F" w:rsidR="00A67706" w:rsidRPr="00982DBB" w:rsidRDefault="00A67706" w:rsidP="00A67706">
            <w:pPr>
              <w:pStyle w:val="FootnoteText"/>
              <w:jc w:val="both"/>
              <w:rPr>
                <w:rFonts w:ascii="Arial" w:hAnsi="Arial" w:cs="Arial"/>
                <w:sz w:val="18"/>
                <w:szCs w:val="18"/>
                <w:lang w:val="el-GR"/>
              </w:rPr>
            </w:pPr>
            <w:r w:rsidRPr="00982DBB">
              <w:rPr>
                <w:rFonts w:ascii="Arial" w:hAnsi="Arial" w:cs="Arial"/>
                <w:sz w:val="18"/>
                <w:szCs w:val="18"/>
                <w:lang w:val="el-GR"/>
              </w:rPr>
              <w:t>Το ποσοστό του μεριδίου των στοιχείων ενεργητικού του πιστωτικού ιδρύματος που χρηματοδοτούν ενυπόθηκες (αγορά, κατασκευή ή ανακαίνιση κτιρίων) οικονομικές δραστηριότητες ευθυγραμμισμένες με την Ταξινομία της ΕΕ, ως μέρος του συνόλου των ενυπόθηκων στοιχείων ενεργητικού.</w:t>
            </w:r>
          </w:p>
        </w:tc>
      </w:tr>
      <w:tr w:rsidR="00A67706" w:rsidRPr="00CF1753" w14:paraId="5D09905D" w14:textId="77777777" w:rsidTr="00715401">
        <w:trPr>
          <w:gridAfter w:val="1"/>
          <w:wAfter w:w="98" w:type="dxa"/>
        </w:trPr>
        <w:tc>
          <w:tcPr>
            <w:tcW w:w="3233" w:type="dxa"/>
          </w:tcPr>
          <w:p w14:paraId="55DA64A8" w14:textId="77777777" w:rsidR="00A67706" w:rsidRPr="00982DBB" w:rsidRDefault="00A67706" w:rsidP="00A67706">
            <w:pPr>
              <w:pStyle w:val="FootnoteText"/>
              <w:rPr>
                <w:rFonts w:ascii="Arial" w:hAnsi="Arial" w:cs="Arial"/>
                <w:sz w:val="18"/>
                <w:szCs w:val="18"/>
                <w:lang w:val="el-GR"/>
              </w:rPr>
            </w:pPr>
          </w:p>
        </w:tc>
        <w:tc>
          <w:tcPr>
            <w:tcW w:w="6350" w:type="dxa"/>
            <w:gridSpan w:val="3"/>
          </w:tcPr>
          <w:p w14:paraId="365459E6" w14:textId="77777777" w:rsidR="00A67706" w:rsidRPr="00982DBB" w:rsidRDefault="00A67706" w:rsidP="00A67706">
            <w:pPr>
              <w:pStyle w:val="FootnoteText"/>
              <w:jc w:val="both"/>
              <w:rPr>
                <w:rFonts w:ascii="Arial" w:hAnsi="Arial" w:cs="Arial"/>
                <w:sz w:val="18"/>
                <w:szCs w:val="18"/>
                <w:lang w:val="el-GR"/>
              </w:rPr>
            </w:pPr>
          </w:p>
        </w:tc>
      </w:tr>
      <w:tr w:rsidR="00A67706" w:rsidRPr="00CF1753" w14:paraId="52A2260D" w14:textId="77777777" w:rsidTr="00715401">
        <w:trPr>
          <w:gridAfter w:val="1"/>
          <w:wAfter w:w="98" w:type="dxa"/>
        </w:trPr>
        <w:tc>
          <w:tcPr>
            <w:tcW w:w="3233" w:type="dxa"/>
          </w:tcPr>
          <w:p w14:paraId="4D45066A" w14:textId="56269662" w:rsidR="00A67706" w:rsidRPr="00982DBB" w:rsidRDefault="00A67706" w:rsidP="00A67706">
            <w:pPr>
              <w:pStyle w:val="FootnoteText"/>
              <w:rPr>
                <w:rFonts w:ascii="Arial" w:hAnsi="Arial" w:cs="Arial"/>
                <w:sz w:val="18"/>
                <w:szCs w:val="18"/>
                <w:lang w:val="el-GR"/>
              </w:rPr>
            </w:pPr>
            <w:r w:rsidRPr="00982DBB">
              <w:rPr>
                <w:rFonts w:ascii="Arial" w:hAnsi="Arial" w:cs="Arial"/>
                <w:sz w:val="18"/>
                <w:szCs w:val="18"/>
                <w:lang w:val="el-GR"/>
              </w:rPr>
              <w:t>Δείκτης Πράσινων Στοιχείων Ενεργητικού</w:t>
            </w:r>
          </w:p>
        </w:tc>
        <w:tc>
          <w:tcPr>
            <w:tcW w:w="6350" w:type="dxa"/>
            <w:gridSpan w:val="3"/>
          </w:tcPr>
          <w:p w14:paraId="6C13E76D" w14:textId="45CE222F" w:rsidR="00A67706" w:rsidRPr="00982DBB" w:rsidRDefault="00A67706" w:rsidP="00A67706">
            <w:pPr>
              <w:jc w:val="both"/>
              <w:rPr>
                <w:rFonts w:ascii="Arial" w:hAnsi="Arial" w:cs="Arial"/>
                <w:sz w:val="18"/>
                <w:szCs w:val="18"/>
                <w:lang w:val="el-GR"/>
              </w:rPr>
            </w:pPr>
            <w:r w:rsidRPr="00982DBB">
              <w:rPr>
                <w:rFonts w:ascii="Arial" w:hAnsi="Arial" w:cs="Arial"/>
                <w:sz w:val="18"/>
                <w:szCs w:val="18"/>
                <w:lang w:val="el-GR"/>
              </w:rPr>
              <w:t>Το ποσοστό του μεριδίου των στοιχείων ενεργητικού του πιστωτικού ιδρύματος που χρηματοδοτούν και επενδύονται σε οικονομικές δραστηριότητες ευθυγραμμισμένες με την Ταξινομία της Ε.Ε., ως μέρος του συνόλου των καλυπτόμενων στοιχείων ενεργητικού.</w:t>
            </w:r>
          </w:p>
        </w:tc>
      </w:tr>
      <w:tr w:rsidR="00A67706" w:rsidRPr="00CF1753" w14:paraId="622BA9D7" w14:textId="77777777" w:rsidTr="00715401">
        <w:trPr>
          <w:gridAfter w:val="1"/>
          <w:wAfter w:w="98" w:type="dxa"/>
        </w:trPr>
        <w:tc>
          <w:tcPr>
            <w:tcW w:w="3233" w:type="dxa"/>
          </w:tcPr>
          <w:p w14:paraId="32ADA862" w14:textId="77777777" w:rsidR="00A67706" w:rsidRPr="00982DBB" w:rsidRDefault="00A67706" w:rsidP="00A67706">
            <w:pPr>
              <w:pStyle w:val="FootnoteText"/>
              <w:rPr>
                <w:rFonts w:ascii="Arial" w:hAnsi="Arial" w:cs="Arial"/>
                <w:sz w:val="18"/>
                <w:szCs w:val="18"/>
                <w:lang w:val="el-GR"/>
              </w:rPr>
            </w:pPr>
          </w:p>
        </w:tc>
        <w:tc>
          <w:tcPr>
            <w:tcW w:w="6350" w:type="dxa"/>
            <w:gridSpan w:val="3"/>
          </w:tcPr>
          <w:p w14:paraId="4B2193B0" w14:textId="77777777" w:rsidR="00A67706" w:rsidRPr="00982DBB" w:rsidRDefault="00A67706" w:rsidP="00A67706">
            <w:pPr>
              <w:pStyle w:val="FootnoteText"/>
              <w:jc w:val="both"/>
              <w:rPr>
                <w:rFonts w:ascii="Arial" w:hAnsi="Arial" w:cs="Arial"/>
                <w:sz w:val="18"/>
                <w:szCs w:val="18"/>
                <w:lang w:val="el-GR"/>
              </w:rPr>
            </w:pPr>
          </w:p>
        </w:tc>
      </w:tr>
      <w:tr w:rsidR="00A67706" w:rsidRPr="00CF1753" w14:paraId="0A277E7C" w14:textId="77777777" w:rsidTr="00715401">
        <w:trPr>
          <w:gridAfter w:val="1"/>
          <w:wAfter w:w="98" w:type="dxa"/>
        </w:trPr>
        <w:tc>
          <w:tcPr>
            <w:tcW w:w="3233" w:type="dxa"/>
          </w:tcPr>
          <w:p w14:paraId="519073D2" w14:textId="77777777" w:rsidR="00A67706" w:rsidRPr="00982DBB" w:rsidRDefault="00A67706" w:rsidP="00A67706">
            <w:pPr>
              <w:pStyle w:val="FootnoteText"/>
              <w:spacing w:after="240"/>
              <w:rPr>
                <w:rFonts w:ascii="Arial" w:hAnsi="Arial" w:cs="Arial"/>
                <w:sz w:val="18"/>
                <w:szCs w:val="18"/>
                <w:lang w:val="el-GR"/>
              </w:rPr>
            </w:pPr>
            <w:r w:rsidRPr="00982DBB">
              <w:rPr>
                <w:rFonts w:ascii="Arial" w:hAnsi="Arial" w:cs="Arial"/>
                <w:sz w:val="18"/>
                <w:szCs w:val="18"/>
                <w:lang w:val="el-GR"/>
              </w:rPr>
              <w:t>Διαγραφές</w:t>
            </w:r>
            <w:r w:rsidRPr="00982DBB">
              <w:rPr>
                <w:rFonts w:ascii="Arial" w:hAnsi="Arial" w:cs="Arial"/>
                <w:sz w:val="18"/>
                <w:szCs w:val="18"/>
                <w:lang w:val="el-GR"/>
              </w:rPr>
              <w:tab/>
            </w:r>
          </w:p>
        </w:tc>
        <w:tc>
          <w:tcPr>
            <w:tcW w:w="6350" w:type="dxa"/>
            <w:gridSpan w:val="3"/>
          </w:tcPr>
          <w:p w14:paraId="2DB815C2" w14:textId="17CA0FBD" w:rsidR="00A67706" w:rsidRPr="00982DBB" w:rsidRDefault="00A67706" w:rsidP="00A67706">
            <w:pPr>
              <w:pStyle w:val="FootnoteText"/>
              <w:spacing w:after="160"/>
              <w:jc w:val="both"/>
              <w:rPr>
                <w:rFonts w:ascii="Arial" w:hAnsi="Arial" w:cs="Arial"/>
                <w:sz w:val="18"/>
                <w:szCs w:val="18"/>
                <w:lang w:val="el-GR"/>
              </w:rPr>
            </w:pPr>
            <w:r w:rsidRPr="00982DBB">
              <w:rPr>
                <w:rFonts w:ascii="Arial" w:hAnsi="Arial" w:cs="Arial"/>
                <w:sz w:val="18"/>
                <w:szCs w:val="18"/>
                <w:lang w:val="el-GR"/>
              </w:rPr>
              <w:t>Δάνεια μαζί με τις σχετικές πιστωτικές ζημιές δανείων τους διαγράφονται όταν δεν υπάρχει ρεαλιστική προοπτική για ανάκτησή τους. Μερικές διαγραφές, περιλαμβανομένων μη συμβατικών διαγραφών, μπορεί επίσης να προκύψουν όταν εκτιμάται ότι δεν υπάρχει εφικτή προοπτική για ανάκτηση των μελλοντικών ταμειακών ροών. Επιπλέον οι διαγραφές μπορεί να αντικατοπτρίζουν ενέργειες αναδιάρθρωσης με πελάτες και υπόκεινται στους όρους συμφωνίας και στην ικανοποιητική επίδοση.</w:t>
            </w:r>
          </w:p>
        </w:tc>
      </w:tr>
      <w:tr w:rsidR="0070005B" w:rsidRPr="00CF1753" w14:paraId="54A82EF7" w14:textId="77777777" w:rsidTr="00715401">
        <w:trPr>
          <w:gridAfter w:val="1"/>
          <w:wAfter w:w="98" w:type="dxa"/>
          <w:trHeight w:val="70"/>
        </w:trPr>
        <w:tc>
          <w:tcPr>
            <w:tcW w:w="3233" w:type="dxa"/>
          </w:tcPr>
          <w:p w14:paraId="28664D0E" w14:textId="7AC24D21" w:rsidR="0070005B" w:rsidRPr="00982DBB" w:rsidRDefault="0070005B" w:rsidP="00982DBB">
            <w:pPr>
              <w:pStyle w:val="FootnoteText"/>
              <w:rPr>
                <w:rFonts w:ascii="Arial" w:hAnsi="Arial" w:cs="Arial"/>
                <w:sz w:val="18"/>
                <w:szCs w:val="18"/>
                <w:lang w:val="el-GR"/>
              </w:rPr>
            </w:pPr>
          </w:p>
        </w:tc>
        <w:tc>
          <w:tcPr>
            <w:tcW w:w="6350" w:type="dxa"/>
            <w:gridSpan w:val="3"/>
          </w:tcPr>
          <w:p w14:paraId="77A6CA34" w14:textId="77777777" w:rsidR="0070005B" w:rsidRPr="00982DBB" w:rsidRDefault="0070005B" w:rsidP="00982DBB">
            <w:pPr>
              <w:pStyle w:val="FootnoteText"/>
              <w:jc w:val="both"/>
              <w:rPr>
                <w:rFonts w:ascii="Arial" w:hAnsi="Arial" w:cs="Arial"/>
                <w:sz w:val="18"/>
                <w:szCs w:val="18"/>
                <w:lang w:val="el-GR"/>
              </w:rPr>
            </w:pPr>
          </w:p>
        </w:tc>
      </w:tr>
      <w:tr w:rsidR="0070005B" w:rsidRPr="00CF1753" w14:paraId="28173E09" w14:textId="77777777" w:rsidTr="00715401">
        <w:trPr>
          <w:gridAfter w:val="1"/>
          <w:wAfter w:w="98" w:type="dxa"/>
        </w:trPr>
        <w:tc>
          <w:tcPr>
            <w:tcW w:w="3233" w:type="dxa"/>
          </w:tcPr>
          <w:p w14:paraId="282C07B5" w14:textId="77777777" w:rsidR="0070005B" w:rsidRPr="00982DBB" w:rsidRDefault="0070005B" w:rsidP="0070005B">
            <w:pPr>
              <w:pStyle w:val="FootnoteText"/>
              <w:spacing w:after="240"/>
              <w:rPr>
                <w:rFonts w:ascii="Arial" w:hAnsi="Arial" w:cs="Arial"/>
                <w:sz w:val="18"/>
                <w:szCs w:val="18"/>
                <w:lang w:val="el-GR"/>
              </w:rPr>
            </w:pPr>
            <w:r w:rsidRPr="00982DBB">
              <w:rPr>
                <w:rFonts w:ascii="Arial" w:hAnsi="Arial" w:cs="Arial"/>
                <w:sz w:val="18"/>
                <w:szCs w:val="18"/>
                <w:lang w:val="el-GR"/>
              </w:rPr>
              <w:t>Ειδικός φόρος</w:t>
            </w:r>
            <w:r w:rsidRPr="00982DBB">
              <w:rPr>
                <w:rFonts w:ascii="Arial" w:hAnsi="Arial" w:cs="Arial"/>
                <w:lang w:val="el-GR"/>
              </w:rPr>
              <w:t xml:space="preserve"> </w:t>
            </w:r>
            <w:r w:rsidRPr="00982DBB">
              <w:rPr>
                <w:rFonts w:ascii="Arial" w:hAnsi="Arial" w:cs="Arial"/>
                <w:sz w:val="18"/>
                <w:szCs w:val="18"/>
                <w:lang w:val="el-GR"/>
              </w:rPr>
              <w:t>επί των καταθέσεων και άλλα τέλη/εισφορές</w:t>
            </w:r>
          </w:p>
        </w:tc>
        <w:tc>
          <w:tcPr>
            <w:tcW w:w="6350" w:type="dxa"/>
            <w:gridSpan w:val="3"/>
          </w:tcPr>
          <w:p w14:paraId="3C30681F" w14:textId="77777777" w:rsidR="0070005B" w:rsidRPr="00982DBB" w:rsidRDefault="0070005B" w:rsidP="0070005B">
            <w:pPr>
              <w:pStyle w:val="FootnoteText"/>
              <w:spacing w:after="160"/>
              <w:jc w:val="both"/>
              <w:rPr>
                <w:rFonts w:ascii="Arial" w:hAnsi="Arial" w:cs="Arial"/>
                <w:sz w:val="18"/>
                <w:szCs w:val="18"/>
                <w:lang w:val="el-GR"/>
              </w:rPr>
            </w:pPr>
            <w:r w:rsidRPr="00982DBB">
              <w:rPr>
                <w:rFonts w:ascii="Arial" w:hAnsi="Arial" w:cs="Arial"/>
                <w:sz w:val="18"/>
                <w:szCs w:val="18"/>
                <w:lang w:val="el-GR"/>
              </w:rPr>
              <w:t xml:space="preserve">Αφορά τον ειδικό φόρο επί των καταθέσεων των πιστωτικών ιδρυμάτων στην Κύπρο, τις συνεισφορές στο Ενιαίο Ταμείο Εξυγίανσης (ΕΤΕ), τις συνεισφορές στο Ταμείο </w:t>
            </w:r>
            <w:r w:rsidRPr="00982DBB">
              <w:rPr>
                <w:rFonts w:ascii="Arial" w:hAnsi="Arial" w:cs="Arial"/>
                <w:sz w:val="18"/>
                <w:szCs w:val="18"/>
                <w:lang w:val="el-GR" w:eastAsia="el-GR"/>
              </w:rPr>
              <w:t>Εγγύησης Καταθέσεων (</w:t>
            </w:r>
            <w:r w:rsidRPr="00982DBB">
              <w:rPr>
                <w:rFonts w:ascii="Arial" w:hAnsi="Arial" w:cs="Arial"/>
                <w:sz w:val="18"/>
                <w:szCs w:val="18"/>
                <w:lang w:val="el-GR"/>
              </w:rPr>
              <w:t>ΤΕΚ), καθώς και το τέλος για ΑΦΠ, όπου εφαρμόζεται.</w:t>
            </w:r>
          </w:p>
        </w:tc>
      </w:tr>
      <w:tr w:rsidR="0070005B" w:rsidRPr="00CF1753" w14:paraId="690BBA0F" w14:textId="77777777" w:rsidTr="00715401">
        <w:trPr>
          <w:gridAfter w:val="1"/>
          <w:wAfter w:w="98" w:type="dxa"/>
          <w:trHeight w:val="248"/>
        </w:trPr>
        <w:tc>
          <w:tcPr>
            <w:tcW w:w="3233" w:type="dxa"/>
          </w:tcPr>
          <w:p w14:paraId="09B94BD1" w14:textId="77777777" w:rsidR="0070005B" w:rsidRPr="00982DBB" w:rsidRDefault="0070005B" w:rsidP="00982DBB">
            <w:pPr>
              <w:pStyle w:val="FootnoteText"/>
              <w:rPr>
                <w:rFonts w:ascii="Arial" w:hAnsi="Arial" w:cs="Arial"/>
                <w:sz w:val="18"/>
                <w:szCs w:val="18"/>
                <w:lang w:val="el-GR"/>
              </w:rPr>
            </w:pPr>
          </w:p>
        </w:tc>
        <w:tc>
          <w:tcPr>
            <w:tcW w:w="6350" w:type="dxa"/>
            <w:gridSpan w:val="3"/>
          </w:tcPr>
          <w:p w14:paraId="249E5410" w14:textId="77777777" w:rsidR="0070005B" w:rsidRPr="00982DBB" w:rsidRDefault="0070005B" w:rsidP="00982DBB">
            <w:pPr>
              <w:pStyle w:val="FootnoteText"/>
              <w:tabs>
                <w:tab w:val="center" w:pos="3102"/>
              </w:tabs>
              <w:jc w:val="both"/>
              <w:rPr>
                <w:rFonts w:ascii="Arial" w:hAnsi="Arial" w:cs="Arial"/>
                <w:sz w:val="18"/>
                <w:szCs w:val="18"/>
                <w:lang w:val="el-GR"/>
              </w:rPr>
            </w:pPr>
          </w:p>
        </w:tc>
      </w:tr>
      <w:tr w:rsidR="0070005B" w:rsidRPr="00982DBB" w14:paraId="118A0694" w14:textId="77777777" w:rsidTr="00715401">
        <w:trPr>
          <w:gridAfter w:val="1"/>
          <w:wAfter w:w="98" w:type="dxa"/>
        </w:trPr>
        <w:tc>
          <w:tcPr>
            <w:tcW w:w="3233" w:type="dxa"/>
          </w:tcPr>
          <w:p w14:paraId="1EB3B1C5" w14:textId="77777777" w:rsidR="0070005B" w:rsidRPr="00982DBB" w:rsidRDefault="0070005B" w:rsidP="0070005B">
            <w:pPr>
              <w:pStyle w:val="FootnoteText"/>
              <w:spacing w:after="240"/>
              <w:rPr>
                <w:rFonts w:ascii="Arial" w:hAnsi="Arial" w:cs="Arial"/>
                <w:sz w:val="18"/>
                <w:szCs w:val="18"/>
                <w:lang w:val="el-GR"/>
              </w:rPr>
            </w:pPr>
            <w:r w:rsidRPr="00982DBB">
              <w:rPr>
                <w:rFonts w:ascii="Arial" w:hAnsi="Arial" w:cs="Arial"/>
                <w:sz w:val="18"/>
                <w:szCs w:val="18"/>
                <w:lang w:val="el-GR"/>
              </w:rPr>
              <w:t>ΕΚΤ</w:t>
            </w:r>
          </w:p>
        </w:tc>
        <w:tc>
          <w:tcPr>
            <w:tcW w:w="6350" w:type="dxa"/>
            <w:gridSpan w:val="3"/>
          </w:tcPr>
          <w:p w14:paraId="6EB78584" w14:textId="5FA281F8" w:rsidR="0070005B" w:rsidRPr="00982DBB" w:rsidRDefault="0070005B" w:rsidP="0070005B">
            <w:pPr>
              <w:pStyle w:val="FootnoteText"/>
              <w:tabs>
                <w:tab w:val="center" w:pos="3102"/>
              </w:tabs>
              <w:spacing w:after="160"/>
              <w:jc w:val="both"/>
              <w:rPr>
                <w:rFonts w:ascii="Arial" w:hAnsi="Arial" w:cs="Arial"/>
                <w:sz w:val="18"/>
                <w:szCs w:val="18"/>
                <w:lang w:val="el-GR"/>
              </w:rPr>
            </w:pPr>
            <w:r w:rsidRPr="00982DBB">
              <w:rPr>
                <w:rFonts w:ascii="Arial" w:hAnsi="Arial" w:cs="Arial"/>
                <w:sz w:val="18"/>
                <w:szCs w:val="18"/>
                <w:lang w:val="el-GR"/>
              </w:rPr>
              <w:t>Ευρωπαϊκή Κεντρική Τράπεζα.</w:t>
            </w:r>
            <w:r w:rsidRPr="00982DBB">
              <w:rPr>
                <w:rFonts w:ascii="Arial" w:hAnsi="Arial" w:cs="Arial"/>
                <w:sz w:val="18"/>
                <w:szCs w:val="18"/>
                <w:lang w:val="el-GR"/>
              </w:rPr>
              <w:tab/>
            </w:r>
          </w:p>
        </w:tc>
      </w:tr>
      <w:tr w:rsidR="0070005B" w:rsidRPr="00982DBB" w14:paraId="79CB7BEF" w14:textId="77777777" w:rsidTr="00715401">
        <w:trPr>
          <w:gridAfter w:val="1"/>
          <w:wAfter w:w="98" w:type="dxa"/>
          <w:trHeight w:val="70"/>
        </w:trPr>
        <w:tc>
          <w:tcPr>
            <w:tcW w:w="3233" w:type="dxa"/>
          </w:tcPr>
          <w:p w14:paraId="789E1D88" w14:textId="77777777" w:rsidR="0070005B" w:rsidRPr="00982DBB" w:rsidRDefault="0070005B" w:rsidP="00982DBB">
            <w:pPr>
              <w:pStyle w:val="FootnoteText"/>
              <w:rPr>
                <w:rFonts w:ascii="Arial" w:hAnsi="Arial" w:cs="Arial"/>
                <w:sz w:val="18"/>
                <w:szCs w:val="18"/>
                <w:lang w:val="el-GR"/>
              </w:rPr>
            </w:pPr>
          </w:p>
        </w:tc>
        <w:tc>
          <w:tcPr>
            <w:tcW w:w="6350" w:type="dxa"/>
            <w:gridSpan w:val="3"/>
          </w:tcPr>
          <w:p w14:paraId="64DFD3C1" w14:textId="77777777" w:rsidR="0070005B" w:rsidRPr="00982DBB" w:rsidRDefault="0070005B" w:rsidP="00982DBB">
            <w:pPr>
              <w:pStyle w:val="FootnoteText"/>
              <w:jc w:val="both"/>
              <w:rPr>
                <w:rFonts w:ascii="Arial" w:hAnsi="Arial" w:cs="Arial"/>
                <w:sz w:val="18"/>
                <w:szCs w:val="18"/>
                <w:lang w:val="el-GR"/>
              </w:rPr>
            </w:pPr>
          </w:p>
        </w:tc>
      </w:tr>
      <w:tr w:rsidR="0070005B" w:rsidRPr="00CF1753" w14:paraId="77FBAC0D" w14:textId="77777777" w:rsidTr="00715401">
        <w:trPr>
          <w:gridAfter w:val="1"/>
          <w:wAfter w:w="98" w:type="dxa"/>
          <w:trHeight w:val="608"/>
        </w:trPr>
        <w:tc>
          <w:tcPr>
            <w:tcW w:w="3233" w:type="dxa"/>
          </w:tcPr>
          <w:p w14:paraId="1A851276" w14:textId="7E3DE0C1" w:rsidR="0070005B" w:rsidRPr="00982DBB" w:rsidRDefault="0070005B" w:rsidP="0070005B">
            <w:pPr>
              <w:pStyle w:val="FootnoteText"/>
              <w:spacing w:after="240"/>
              <w:rPr>
                <w:rFonts w:ascii="Arial" w:hAnsi="Arial" w:cs="Arial"/>
                <w:sz w:val="18"/>
                <w:szCs w:val="18"/>
                <w:lang w:val="el-GR"/>
              </w:rPr>
            </w:pPr>
            <w:bookmarkStart w:id="37" w:name="_Hlk158980460"/>
            <w:r w:rsidRPr="00982DBB">
              <w:rPr>
                <w:rFonts w:ascii="Arial" w:hAnsi="Arial" w:cs="Arial"/>
                <w:sz w:val="18"/>
                <w:szCs w:val="18"/>
                <w:lang w:val="el-GR"/>
              </w:rPr>
              <w:t>Ενσώματη λογιστική αξία ανά μετοχή</w:t>
            </w:r>
          </w:p>
        </w:tc>
        <w:tc>
          <w:tcPr>
            <w:tcW w:w="6350" w:type="dxa"/>
            <w:gridSpan w:val="3"/>
            <w:shd w:val="clear" w:color="auto" w:fill="auto"/>
          </w:tcPr>
          <w:p w14:paraId="7E21F688" w14:textId="42E5D3E7" w:rsidR="0070005B" w:rsidRPr="00982DBB" w:rsidRDefault="0070005B" w:rsidP="0070005B">
            <w:pPr>
              <w:pStyle w:val="FootnoteText"/>
              <w:spacing w:after="160"/>
              <w:jc w:val="both"/>
              <w:rPr>
                <w:rFonts w:ascii="Arial" w:hAnsi="Arial" w:cs="Arial"/>
                <w:sz w:val="18"/>
                <w:szCs w:val="18"/>
                <w:lang w:val="el-GR"/>
              </w:rPr>
            </w:pPr>
            <w:r w:rsidRPr="00982DBB">
              <w:rPr>
                <w:rFonts w:ascii="Arial" w:hAnsi="Arial" w:cs="Arial"/>
                <w:sz w:val="18"/>
                <w:szCs w:val="18"/>
                <w:lang w:val="el-GR"/>
              </w:rPr>
              <w:t>Υπολογισμένη ως προς τα</w:t>
            </w:r>
            <w:r w:rsidRPr="00982DBB">
              <w:rPr>
                <w:lang w:val="el-GR"/>
              </w:rPr>
              <w:t xml:space="preserve"> </w:t>
            </w:r>
            <w:r w:rsidRPr="00982DBB">
              <w:rPr>
                <w:rFonts w:ascii="Arial" w:hAnsi="Arial" w:cs="Arial"/>
                <w:sz w:val="18"/>
                <w:szCs w:val="18"/>
                <w:lang w:val="el-GR"/>
              </w:rPr>
              <w:t>Ίδια κεφάλαια που αναλογούν στους ιδιοκτήτες της Εταιρίας (δλδ  χωρίς τους λοιπούς συμμετοχικούς τίτλους (</w:t>
            </w:r>
            <w:r w:rsidRPr="00982DBB">
              <w:rPr>
                <w:rFonts w:ascii="Arial" w:hAnsi="Arial" w:cs="Arial"/>
                <w:sz w:val="18"/>
                <w:szCs w:val="18"/>
              </w:rPr>
              <w:t>AT</w:t>
            </w:r>
            <w:r w:rsidRPr="00982DBB">
              <w:rPr>
                <w:rFonts w:ascii="Arial" w:hAnsi="Arial" w:cs="Arial"/>
                <w:sz w:val="18"/>
                <w:szCs w:val="18"/>
                <w:lang w:val="el-GR"/>
              </w:rPr>
              <w:t>1)) μείον άυλα περιουσιακά στοιχεία ως προς τις συνήθεις μετοχές του Συγκροτήματος</w:t>
            </w:r>
            <w:r w:rsidR="00982DBB" w:rsidRPr="00982DBB">
              <w:rPr>
                <w:rFonts w:ascii="Arial" w:hAnsi="Arial" w:cs="Arial"/>
                <w:sz w:val="18"/>
                <w:szCs w:val="18"/>
                <w:lang w:val="el-GR"/>
              </w:rPr>
              <w:t xml:space="preserve"> (μείον των ιδίων μετοχών) που κατέχονται κατά το τέλος της περιόδου/του τριμήνου.</w:t>
            </w:r>
          </w:p>
        </w:tc>
      </w:tr>
      <w:tr w:rsidR="0070005B" w:rsidRPr="00CF1753" w14:paraId="7F7B5B2C" w14:textId="77777777" w:rsidTr="00216133">
        <w:trPr>
          <w:gridAfter w:val="1"/>
          <w:wAfter w:w="98" w:type="dxa"/>
        </w:trPr>
        <w:tc>
          <w:tcPr>
            <w:tcW w:w="9583" w:type="dxa"/>
            <w:gridSpan w:val="4"/>
          </w:tcPr>
          <w:p w14:paraId="41B95EEC" w14:textId="77777777" w:rsidR="0070005B" w:rsidRPr="00982DBB" w:rsidRDefault="0070005B" w:rsidP="0070005B">
            <w:pPr>
              <w:jc w:val="both"/>
              <w:rPr>
                <w:rFonts w:ascii="Arial" w:hAnsi="Arial" w:cs="Arial"/>
                <w:sz w:val="18"/>
                <w:szCs w:val="18"/>
                <w:lang w:val="el-GR"/>
              </w:rPr>
            </w:pPr>
          </w:p>
        </w:tc>
      </w:tr>
      <w:bookmarkEnd w:id="37"/>
      <w:tr w:rsidR="0070005B" w:rsidRPr="00CF1753" w14:paraId="1C789328" w14:textId="77777777" w:rsidTr="00715401">
        <w:trPr>
          <w:gridAfter w:val="1"/>
          <w:wAfter w:w="98" w:type="dxa"/>
          <w:trHeight w:val="764"/>
        </w:trPr>
        <w:tc>
          <w:tcPr>
            <w:tcW w:w="3233" w:type="dxa"/>
          </w:tcPr>
          <w:p w14:paraId="28DA140D" w14:textId="4B53CDB9" w:rsidR="0070005B" w:rsidRPr="00982DBB" w:rsidRDefault="0070005B" w:rsidP="0070005B">
            <w:pPr>
              <w:pStyle w:val="FootnoteText"/>
              <w:spacing w:after="240"/>
              <w:rPr>
                <w:rFonts w:ascii="Arial" w:hAnsi="Arial" w:cs="Arial"/>
                <w:sz w:val="18"/>
                <w:szCs w:val="18"/>
                <w:lang w:val="el-GR"/>
              </w:rPr>
            </w:pPr>
            <w:r w:rsidRPr="00982DBB">
              <w:rPr>
                <w:rFonts w:ascii="Arial" w:hAnsi="Arial" w:cs="Arial"/>
                <w:color w:val="000000" w:themeColor="text1"/>
                <w:sz w:val="18"/>
                <w:szCs w:val="18"/>
                <w:lang w:val="el-GR"/>
              </w:rPr>
              <w:t xml:space="preserve">Ενσώματη λογιστική αξία </w:t>
            </w:r>
            <w:r w:rsidRPr="00982DBB">
              <w:rPr>
                <w:rFonts w:ascii="Arial" w:hAnsi="Arial" w:cs="Arial"/>
                <w:sz w:val="18"/>
                <w:szCs w:val="18"/>
                <w:lang w:val="el-GR"/>
              </w:rPr>
              <w:t xml:space="preserve">ανά μετοχή </w:t>
            </w:r>
            <w:r w:rsidRPr="00982DBB">
              <w:rPr>
                <w:rFonts w:ascii="Arial" w:hAnsi="Arial" w:cs="Arial"/>
                <w:color w:val="000000" w:themeColor="text1"/>
                <w:sz w:val="18"/>
                <w:szCs w:val="18"/>
                <w:lang w:val="el-GR"/>
              </w:rPr>
              <w:t>εξαιρουμένης του μερίσματος σε μετρητά</w:t>
            </w:r>
          </w:p>
        </w:tc>
        <w:tc>
          <w:tcPr>
            <w:tcW w:w="6350" w:type="dxa"/>
            <w:gridSpan w:val="3"/>
          </w:tcPr>
          <w:p w14:paraId="513FED1F" w14:textId="5905B229" w:rsidR="0070005B" w:rsidRPr="00982DBB" w:rsidRDefault="0070005B" w:rsidP="0070005B">
            <w:pPr>
              <w:pStyle w:val="FootnoteText"/>
              <w:spacing w:after="160"/>
              <w:jc w:val="both"/>
              <w:rPr>
                <w:rFonts w:ascii="Arial" w:hAnsi="Arial" w:cs="Arial"/>
                <w:sz w:val="18"/>
                <w:szCs w:val="18"/>
                <w:lang w:val="el-GR"/>
              </w:rPr>
            </w:pPr>
            <w:r w:rsidRPr="00982DBB">
              <w:rPr>
                <w:rFonts w:ascii="Arial" w:hAnsi="Arial" w:cs="Arial"/>
                <w:sz w:val="18"/>
                <w:szCs w:val="18"/>
                <w:lang w:val="el-GR"/>
              </w:rPr>
              <w:t>Υπολογισμένη ως προς τα</w:t>
            </w:r>
            <w:r w:rsidRPr="00982DBB">
              <w:rPr>
                <w:lang w:val="el-GR"/>
              </w:rPr>
              <w:t xml:space="preserve"> </w:t>
            </w:r>
            <w:r w:rsidRPr="00982DBB">
              <w:rPr>
                <w:rFonts w:ascii="Arial" w:hAnsi="Arial" w:cs="Arial"/>
                <w:sz w:val="18"/>
                <w:szCs w:val="18"/>
                <w:lang w:val="el-GR"/>
              </w:rPr>
              <w:t>Ίδια κεφάλαια που αναλογούν στους ιδιοκτήτες της Εταιρίας (δλδ  χωρίς τους λοιπούς συμμετοχικούς τίτλους (</w:t>
            </w:r>
            <w:r w:rsidRPr="00982DBB">
              <w:rPr>
                <w:rFonts w:ascii="Arial" w:hAnsi="Arial" w:cs="Arial"/>
                <w:sz w:val="18"/>
                <w:szCs w:val="18"/>
              </w:rPr>
              <w:t>AT</w:t>
            </w:r>
            <w:r w:rsidRPr="00982DBB">
              <w:rPr>
                <w:rFonts w:ascii="Arial" w:hAnsi="Arial" w:cs="Arial"/>
                <w:sz w:val="18"/>
                <w:szCs w:val="18"/>
                <w:lang w:val="el-GR"/>
              </w:rPr>
              <w:t>1)) μείον άυλα περιουσιακά στοιχεία και των ποσών που εγκρίθηκαν/προτάθηκαν για μέρισμα σε μετρητά ως προς τις συνήθεις μετοχές του Συγκροτήματος</w:t>
            </w:r>
            <w:r w:rsidR="00982DBB" w:rsidRPr="00982DBB">
              <w:rPr>
                <w:rFonts w:ascii="Arial" w:hAnsi="Arial" w:cs="Arial"/>
                <w:sz w:val="18"/>
                <w:szCs w:val="18"/>
                <w:lang w:val="el-GR"/>
              </w:rPr>
              <w:t xml:space="preserve"> (μείον των ιδίων μετοχών) που κατέχονται κατά το τέλος της περιόδου/του τριμήνου.</w:t>
            </w:r>
          </w:p>
        </w:tc>
      </w:tr>
      <w:tr w:rsidR="00982DBB" w:rsidRPr="00CF1753" w14:paraId="7E758A37" w14:textId="77777777" w:rsidTr="00715401">
        <w:trPr>
          <w:gridAfter w:val="1"/>
          <w:wAfter w:w="98" w:type="dxa"/>
          <w:trHeight w:val="70"/>
        </w:trPr>
        <w:tc>
          <w:tcPr>
            <w:tcW w:w="3233" w:type="dxa"/>
          </w:tcPr>
          <w:p w14:paraId="01876F34" w14:textId="77777777" w:rsidR="00982DBB" w:rsidRPr="00982DBB" w:rsidRDefault="00982DBB" w:rsidP="00982DBB">
            <w:pPr>
              <w:pStyle w:val="FootnoteText"/>
              <w:rPr>
                <w:rFonts w:ascii="Arial" w:hAnsi="Arial" w:cs="Arial"/>
                <w:sz w:val="18"/>
                <w:szCs w:val="18"/>
                <w:lang w:val="el-GR"/>
              </w:rPr>
            </w:pPr>
          </w:p>
        </w:tc>
        <w:tc>
          <w:tcPr>
            <w:tcW w:w="6350" w:type="dxa"/>
            <w:gridSpan w:val="3"/>
          </w:tcPr>
          <w:p w14:paraId="43C1D783" w14:textId="77777777" w:rsidR="00982DBB" w:rsidRPr="00982DBB" w:rsidRDefault="00982DBB" w:rsidP="00982DBB">
            <w:pPr>
              <w:pStyle w:val="FootnoteText"/>
              <w:jc w:val="both"/>
              <w:rPr>
                <w:rFonts w:ascii="Arial" w:hAnsi="Arial" w:cs="Arial"/>
                <w:sz w:val="18"/>
                <w:szCs w:val="18"/>
                <w:lang w:val="el-GR"/>
              </w:rPr>
            </w:pPr>
          </w:p>
        </w:tc>
      </w:tr>
      <w:tr w:rsidR="00982DBB" w:rsidRPr="00CF1753" w14:paraId="69D7B122" w14:textId="77777777" w:rsidTr="00715401">
        <w:trPr>
          <w:gridAfter w:val="1"/>
          <w:wAfter w:w="98" w:type="dxa"/>
        </w:trPr>
        <w:tc>
          <w:tcPr>
            <w:tcW w:w="3233" w:type="dxa"/>
          </w:tcPr>
          <w:p w14:paraId="772B0559" w14:textId="5C31C7E3" w:rsidR="00982DBB" w:rsidRPr="00982DBB" w:rsidRDefault="00982DBB" w:rsidP="00982DBB">
            <w:pPr>
              <w:pStyle w:val="FootnoteText"/>
              <w:spacing w:after="240"/>
              <w:rPr>
                <w:rFonts w:ascii="Arial" w:hAnsi="Arial" w:cs="Arial"/>
                <w:sz w:val="18"/>
                <w:szCs w:val="18"/>
                <w:lang w:val="el-GR"/>
              </w:rPr>
            </w:pPr>
            <w:r w:rsidRPr="00982DBB">
              <w:rPr>
                <w:rFonts w:ascii="Arial" w:hAnsi="Arial" w:cs="Arial"/>
                <w:sz w:val="18"/>
                <w:szCs w:val="18"/>
                <w:lang w:val="el-GR"/>
              </w:rPr>
              <w:t>Έξοδα συμβούλων και άλλα έξοδα μετασχηματισμού</w:t>
            </w:r>
          </w:p>
        </w:tc>
        <w:tc>
          <w:tcPr>
            <w:tcW w:w="6350" w:type="dxa"/>
            <w:gridSpan w:val="3"/>
          </w:tcPr>
          <w:p w14:paraId="48792044" w14:textId="1BEC6C44" w:rsidR="00982DBB" w:rsidRPr="00982DBB" w:rsidRDefault="00982DBB" w:rsidP="00982DBB">
            <w:pPr>
              <w:pStyle w:val="FootnoteText"/>
              <w:spacing w:after="160"/>
              <w:jc w:val="both"/>
              <w:rPr>
                <w:rFonts w:ascii="Arial" w:hAnsi="Arial" w:cs="Arial"/>
                <w:sz w:val="18"/>
                <w:szCs w:val="18"/>
                <w:lang w:val="el-GR"/>
              </w:rPr>
            </w:pPr>
            <w:r w:rsidRPr="00982DBB">
              <w:rPr>
                <w:rFonts w:ascii="Arial" w:hAnsi="Arial" w:cs="Arial"/>
                <w:sz w:val="18"/>
                <w:szCs w:val="18"/>
                <w:lang w:val="el-GR"/>
              </w:rPr>
              <w:t>Αποτελούνται κυρίως από το κόστος εξωτερικών συμβούλων που αφορά: (i)</w:t>
            </w:r>
            <w:r w:rsidRPr="00982DBB">
              <w:rPr>
                <w:rFonts w:ascii="Arial" w:hAnsi="Arial" w:cs="Arial"/>
                <w:lang w:val="el-GR"/>
              </w:rPr>
              <w:t xml:space="preserve"> τ</w:t>
            </w:r>
            <w:r w:rsidRPr="00982DBB">
              <w:rPr>
                <w:rFonts w:ascii="Arial" w:hAnsi="Arial" w:cs="Arial"/>
                <w:sz w:val="18"/>
                <w:szCs w:val="18"/>
                <w:lang w:val="el-GR"/>
              </w:rPr>
              <w:t>ο πρόγραμμα μετασχηματισμού και άλλα στρατηγικά έργα του Συγκροτήματος και (ii) τέλη για τις δραστηριότητες αναδιάρθρωσης δανείων πελατών.</w:t>
            </w:r>
          </w:p>
        </w:tc>
      </w:tr>
      <w:tr w:rsidR="00982DBB" w:rsidRPr="00CF1753" w14:paraId="64AD90D8" w14:textId="77777777" w:rsidTr="00715401">
        <w:trPr>
          <w:gridAfter w:val="1"/>
          <w:wAfter w:w="98" w:type="dxa"/>
        </w:trPr>
        <w:tc>
          <w:tcPr>
            <w:tcW w:w="3233" w:type="dxa"/>
            <w:shd w:val="clear" w:color="auto" w:fill="auto"/>
          </w:tcPr>
          <w:p w14:paraId="7EEB03B8" w14:textId="77777777" w:rsidR="00982DBB" w:rsidRPr="00982DBB" w:rsidRDefault="00982DBB" w:rsidP="00982DBB">
            <w:pPr>
              <w:pStyle w:val="FootnoteText"/>
              <w:rPr>
                <w:rFonts w:ascii="Arial" w:hAnsi="Arial" w:cs="Arial"/>
                <w:sz w:val="18"/>
                <w:szCs w:val="18"/>
                <w:lang w:val="el-GR"/>
              </w:rPr>
            </w:pPr>
          </w:p>
        </w:tc>
        <w:tc>
          <w:tcPr>
            <w:tcW w:w="6350" w:type="dxa"/>
            <w:gridSpan w:val="3"/>
            <w:shd w:val="clear" w:color="auto" w:fill="auto"/>
          </w:tcPr>
          <w:p w14:paraId="18FAB2E4" w14:textId="77777777" w:rsidR="00982DBB" w:rsidRPr="00982DBB" w:rsidRDefault="00982DBB" w:rsidP="00982DBB">
            <w:pPr>
              <w:pStyle w:val="FootnoteText"/>
              <w:jc w:val="both"/>
              <w:rPr>
                <w:rFonts w:ascii="Arial" w:hAnsi="Arial" w:cs="Arial"/>
                <w:sz w:val="18"/>
                <w:szCs w:val="18"/>
                <w:lang w:val="el-GR"/>
              </w:rPr>
            </w:pPr>
          </w:p>
        </w:tc>
      </w:tr>
      <w:tr w:rsidR="00982DBB" w:rsidRPr="00CF1753" w14:paraId="61F1B843" w14:textId="77777777" w:rsidTr="002B102D">
        <w:trPr>
          <w:gridAfter w:val="1"/>
          <w:wAfter w:w="98" w:type="dxa"/>
        </w:trPr>
        <w:tc>
          <w:tcPr>
            <w:tcW w:w="9583" w:type="dxa"/>
            <w:gridSpan w:val="4"/>
            <w:shd w:val="clear" w:color="auto" w:fill="auto"/>
          </w:tcPr>
          <w:p w14:paraId="2274AF84" w14:textId="77777777" w:rsidR="00982DBB" w:rsidRDefault="00982DBB" w:rsidP="00982DBB">
            <w:pPr>
              <w:jc w:val="both"/>
              <w:rPr>
                <w:rFonts w:ascii="Arial" w:hAnsi="Arial" w:cs="Arial"/>
                <w:b/>
                <w:color w:val="FF9900"/>
                <w:sz w:val="24"/>
                <w:szCs w:val="24"/>
                <w:lang w:val="el-GR"/>
              </w:rPr>
            </w:pPr>
          </w:p>
          <w:p w14:paraId="781162BD" w14:textId="6CB6234A" w:rsidR="00982DBB" w:rsidRPr="00982DBB" w:rsidRDefault="00982DBB" w:rsidP="00982DBB">
            <w:pPr>
              <w:jc w:val="both"/>
              <w:rPr>
                <w:rFonts w:ascii="Arial" w:hAnsi="Arial" w:cs="Arial"/>
                <w:bCs/>
                <w:color w:val="FF9900"/>
                <w:sz w:val="24"/>
                <w:szCs w:val="24"/>
                <w:lang w:val="el-GR"/>
              </w:rPr>
            </w:pPr>
            <w:r w:rsidRPr="00982DBB">
              <w:rPr>
                <w:rFonts w:ascii="Arial" w:hAnsi="Arial" w:cs="Arial"/>
                <w:b/>
                <w:color w:val="FF9900"/>
                <w:sz w:val="24"/>
                <w:szCs w:val="24"/>
                <w:lang w:val="el-GR"/>
              </w:rPr>
              <w:lastRenderedPageBreak/>
              <w:t>ΣΤ. Όροι και Επεξηγήσεις</w:t>
            </w:r>
            <w:r w:rsidRPr="00982DBB">
              <w:rPr>
                <w:rFonts w:ascii="Arial" w:hAnsi="Arial" w:cs="Arial"/>
                <w:bCs/>
                <w:color w:val="FF9900"/>
                <w:sz w:val="24"/>
                <w:szCs w:val="24"/>
                <w:lang w:val="el-GR"/>
              </w:rPr>
              <w:t xml:space="preserve"> (συνέχεια)</w:t>
            </w:r>
          </w:p>
          <w:p w14:paraId="217D60A7" w14:textId="77777777" w:rsidR="00982DBB" w:rsidRPr="00982DBB" w:rsidRDefault="00982DBB" w:rsidP="00982DBB">
            <w:pPr>
              <w:pStyle w:val="FootnoteText"/>
              <w:rPr>
                <w:rFonts w:ascii="Arial" w:hAnsi="Arial" w:cs="Arial"/>
                <w:sz w:val="18"/>
                <w:szCs w:val="18"/>
                <w:lang w:val="el-GR"/>
              </w:rPr>
            </w:pPr>
          </w:p>
        </w:tc>
      </w:tr>
      <w:tr w:rsidR="00982DBB" w:rsidRPr="00982DBB" w14:paraId="1B6CBA29" w14:textId="77777777" w:rsidTr="00715401">
        <w:trPr>
          <w:gridAfter w:val="1"/>
          <w:wAfter w:w="98" w:type="dxa"/>
        </w:trPr>
        <w:tc>
          <w:tcPr>
            <w:tcW w:w="3233" w:type="dxa"/>
            <w:shd w:val="clear" w:color="auto" w:fill="auto"/>
          </w:tcPr>
          <w:p w14:paraId="12B35CCA" w14:textId="77777777" w:rsidR="00982DBB" w:rsidRPr="00982DBB" w:rsidRDefault="00982DBB" w:rsidP="00982DBB">
            <w:pPr>
              <w:pStyle w:val="FootnoteText"/>
              <w:spacing w:after="240"/>
              <w:rPr>
                <w:rFonts w:ascii="Arial" w:hAnsi="Arial" w:cs="Arial"/>
                <w:sz w:val="18"/>
                <w:szCs w:val="18"/>
                <w:lang w:val="el-GR"/>
              </w:rPr>
            </w:pPr>
            <w:r w:rsidRPr="00982DBB">
              <w:rPr>
                <w:rFonts w:ascii="Arial" w:hAnsi="Arial" w:cs="Arial"/>
                <w:sz w:val="18"/>
                <w:szCs w:val="18"/>
                <w:lang w:val="el-GR"/>
              </w:rPr>
              <w:lastRenderedPageBreak/>
              <w:t>Ετήσια Βάση</w:t>
            </w:r>
          </w:p>
        </w:tc>
        <w:tc>
          <w:tcPr>
            <w:tcW w:w="6350" w:type="dxa"/>
            <w:gridSpan w:val="3"/>
            <w:shd w:val="clear" w:color="auto" w:fill="auto"/>
          </w:tcPr>
          <w:p w14:paraId="05FB7965" w14:textId="7C5B6A22" w:rsidR="00982DBB" w:rsidRPr="00982DBB" w:rsidRDefault="00982DBB" w:rsidP="00982DBB">
            <w:pPr>
              <w:pStyle w:val="FootnoteText"/>
              <w:spacing w:after="160"/>
              <w:jc w:val="both"/>
              <w:rPr>
                <w:rFonts w:ascii="Arial" w:hAnsi="Arial" w:cs="Arial"/>
                <w:sz w:val="18"/>
                <w:szCs w:val="18"/>
                <w:lang w:val="el-GR"/>
              </w:rPr>
            </w:pPr>
            <w:r w:rsidRPr="00982DBB">
              <w:rPr>
                <w:rFonts w:ascii="Arial" w:hAnsi="Arial" w:cs="Arial"/>
                <w:sz w:val="18"/>
                <w:szCs w:val="18"/>
                <w:lang w:val="el-GR"/>
              </w:rPr>
              <w:t>Αλλαγές σε ετήσια βάση.</w:t>
            </w:r>
          </w:p>
        </w:tc>
      </w:tr>
      <w:tr w:rsidR="00982DBB" w:rsidRPr="00982DBB" w14:paraId="0E958FC1" w14:textId="77777777" w:rsidTr="00715401">
        <w:trPr>
          <w:gridAfter w:val="1"/>
          <w:wAfter w:w="98" w:type="dxa"/>
        </w:trPr>
        <w:tc>
          <w:tcPr>
            <w:tcW w:w="3233" w:type="dxa"/>
          </w:tcPr>
          <w:p w14:paraId="27BCDA14" w14:textId="77777777" w:rsidR="00982DBB" w:rsidRPr="00982DBB" w:rsidRDefault="00982DBB" w:rsidP="00982DBB">
            <w:pPr>
              <w:pStyle w:val="FootnoteText"/>
              <w:rPr>
                <w:rFonts w:ascii="Arial" w:hAnsi="Arial" w:cs="Arial"/>
                <w:sz w:val="18"/>
                <w:szCs w:val="18"/>
                <w:lang w:val="el-GR"/>
              </w:rPr>
            </w:pPr>
          </w:p>
        </w:tc>
        <w:tc>
          <w:tcPr>
            <w:tcW w:w="6350" w:type="dxa"/>
            <w:gridSpan w:val="3"/>
          </w:tcPr>
          <w:p w14:paraId="1306FFF2" w14:textId="77777777" w:rsidR="00982DBB" w:rsidRPr="00982DBB" w:rsidRDefault="00982DBB" w:rsidP="00982DBB">
            <w:pPr>
              <w:pStyle w:val="FootnoteText"/>
              <w:jc w:val="both"/>
              <w:rPr>
                <w:rFonts w:ascii="Arial" w:hAnsi="Arial" w:cs="Arial"/>
                <w:sz w:val="18"/>
                <w:szCs w:val="18"/>
                <w:lang w:val="el-GR"/>
              </w:rPr>
            </w:pPr>
          </w:p>
        </w:tc>
      </w:tr>
      <w:tr w:rsidR="00982DBB" w:rsidRPr="00CF1753" w14:paraId="6A565F4C" w14:textId="77777777" w:rsidTr="00715401">
        <w:trPr>
          <w:gridAfter w:val="1"/>
          <w:wAfter w:w="98" w:type="dxa"/>
        </w:trPr>
        <w:tc>
          <w:tcPr>
            <w:tcW w:w="3233" w:type="dxa"/>
          </w:tcPr>
          <w:p w14:paraId="0BEADCFE" w14:textId="13647ECA" w:rsidR="00982DBB" w:rsidRPr="00982DBB" w:rsidRDefault="00982DBB" w:rsidP="00982DBB">
            <w:pPr>
              <w:pStyle w:val="FootnoteText"/>
              <w:spacing w:after="240"/>
              <w:rPr>
                <w:rFonts w:ascii="Arial" w:hAnsi="Arial" w:cs="Arial"/>
                <w:sz w:val="18"/>
                <w:szCs w:val="18"/>
                <w:lang w:val="el-GR"/>
              </w:rPr>
            </w:pPr>
            <w:r w:rsidRPr="00982DBB">
              <w:rPr>
                <w:rFonts w:ascii="Arial" w:hAnsi="Arial" w:cs="Arial"/>
                <w:sz w:val="18"/>
                <w:szCs w:val="18"/>
                <w:lang w:val="el-GR"/>
              </w:rPr>
              <w:t>Ίδια κεφάλαια που αναλογούν στους ιδιοκτήτες της Εταιρίας</w:t>
            </w:r>
          </w:p>
        </w:tc>
        <w:tc>
          <w:tcPr>
            <w:tcW w:w="6350" w:type="dxa"/>
            <w:gridSpan w:val="3"/>
          </w:tcPr>
          <w:p w14:paraId="4C2CB631" w14:textId="374CEC6B" w:rsidR="00982DBB" w:rsidRPr="00982DBB" w:rsidRDefault="00982DBB" w:rsidP="00982DBB">
            <w:pPr>
              <w:pStyle w:val="FootnoteText"/>
              <w:spacing w:after="160"/>
              <w:jc w:val="both"/>
              <w:rPr>
                <w:rFonts w:ascii="Arial" w:hAnsi="Arial" w:cs="Arial"/>
                <w:sz w:val="18"/>
                <w:szCs w:val="18"/>
                <w:lang w:val="el-GR"/>
              </w:rPr>
            </w:pPr>
            <w:r w:rsidRPr="00982DBB">
              <w:rPr>
                <w:rFonts w:ascii="Arial" w:hAnsi="Arial" w:cs="Arial"/>
                <w:sz w:val="18"/>
                <w:szCs w:val="18"/>
              </w:rPr>
              <w:t>T</w:t>
            </w:r>
            <w:r w:rsidRPr="00982DBB">
              <w:rPr>
                <w:rFonts w:ascii="Arial" w:hAnsi="Arial" w:cs="Arial"/>
                <w:sz w:val="18"/>
                <w:szCs w:val="18"/>
                <w:lang w:val="el-GR"/>
              </w:rPr>
              <w:t>α ίδια κεφάλαια που αναλογούν στους ιδιοκτήτες της Εταιρίας αποτελούνται από το σύνολο ιδίων κεφαλαίων προσαρμοσμένα για τα δικαιώματα μειοψηφίας και τους Λοιπούς συμμετοχικούς τίτλους.</w:t>
            </w:r>
          </w:p>
        </w:tc>
      </w:tr>
      <w:tr w:rsidR="00982DBB" w:rsidRPr="00CF1753" w14:paraId="3EFC53CB" w14:textId="77777777" w:rsidTr="00715401">
        <w:trPr>
          <w:gridAfter w:val="1"/>
          <w:wAfter w:w="98" w:type="dxa"/>
        </w:trPr>
        <w:tc>
          <w:tcPr>
            <w:tcW w:w="3233" w:type="dxa"/>
          </w:tcPr>
          <w:p w14:paraId="36C1730D" w14:textId="77777777" w:rsidR="00982DBB" w:rsidRPr="00982DBB" w:rsidRDefault="00982DBB" w:rsidP="00982DBB">
            <w:pPr>
              <w:pStyle w:val="FootnoteText"/>
              <w:rPr>
                <w:rFonts w:ascii="Arial" w:hAnsi="Arial" w:cs="Arial"/>
                <w:sz w:val="18"/>
                <w:szCs w:val="18"/>
                <w:lang w:val="el-GR"/>
              </w:rPr>
            </w:pPr>
          </w:p>
        </w:tc>
        <w:tc>
          <w:tcPr>
            <w:tcW w:w="6350" w:type="dxa"/>
            <w:gridSpan w:val="3"/>
          </w:tcPr>
          <w:p w14:paraId="36679643" w14:textId="77777777" w:rsidR="00982DBB" w:rsidRPr="00982DBB" w:rsidRDefault="00982DBB" w:rsidP="00982DBB">
            <w:pPr>
              <w:pStyle w:val="FootnoteText"/>
              <w:jc w:val="both"/>
              <w:rPr>
                <w:rFonts w:ascii="Arial" w:hAnsi="Arial" w:cs="Arial"/>
                <w:sz w:val="18"/>
                <w:szCs w:val="18"/>
                <w:lang w:val="el-GR"/>
              </w:rPr>
            </w:pPr>
          </w:p>
        </w:tc>
      </w:tr>
      <w:tr w:rsidR="00982DBB" w:rsidRPr="00CF1753" w14:paraId="204C4D34" w14:textId="77777777" w:rsidTr="00715401">
        <w:trPr>
          <w:gridAfter w:val="1"/>
          <w:wAfter w:w="98" w:type="dxa"/>
        </w:trPr>
        <w:tc>
          <w:tcPr>
            <w:tcW w:w="3233" w:type="dxa"/>
          </w:tcPr>
          <w:p w14:paraId="1B61CCF0" w14:textId="77777777" w:rsidR="00982DBB" w:rsidRPr="00982DBB" w:rsidRDefault="00982DBB" w:rsidP="00982DBB">
            <w:pPr>
              <w:pStyle w:val="FootnoteText"/>
              <w:spacing w:after="240"/>
              <w:rPr>
                <w:rFonts w:ascii="Arial" w:hAnsi="Arial" w:cs="Arial"/>
                <w:sz w:val="18"/>
                <w:szCs w:val="18"/>
                <w:lang w:val="el-GR"/>
              </w:rPr>
            </w:pPr>
            <w:r w:rsidRPr="00982DBB">
              <w:rPr>
                <w:rFonts w:ascii="Arial" w:hAnsi="Arial" w:cs="Arial"/>
                <w:sz w:val="18"/>
                <w:szCs w:val="18"/>
                <w:lang w:val="el-GR"/>
              </w:rPr>
              <w:t>Καθαρά δάνεια και απαιτήσεις από πελάτες</w:t>
            </w:r>
          </w:p>
        </w:tc>
        <w:tc>
          <w:tcPr>
            <w:tcW w:w="6350" w:type="dxa"/>
            <w:gridSpan w:val="3"/>
          </w:tcPr>
          <w:p w14:paraId="11FFE04B" w14:textId="3A1A0954" w:rsidR="00982DBB" w:rsidRPr="00982DBB" w:rsidRDefault="00982DBB" w:rsidP="00982DBB">
            <w:pPr>
              <w:pStyle w:val="FootnoteText"/>
              <w:spacing w:after="160"/>
              <w:jc w:val="both"/>
              <w:rPr>
                <w:rFonts w:ascii="Arial" w:hAnsi="Arial" w:cs="Arial"/>
                <w:sz w:val="18"/>
                <w:szCs w:val="18"/>
                <w:lang w:val="el-GR"/>
              </w:rPr>
            </w:pPr>
            <w:r w:rsidRPr="00982DBB">
              <w:rPr>
                <w:rFonts w:ascii="Arial" w:hAnsi="Arial" w:cs="Arial"/>
                <w:sz w:val="18"/>
                <w:szCs w:val="18"/>
                <w:lang w:val="el-GR"/>
              </w:rPr>
              <w:t>Τα καθαρά δάνεια και απαιτήσεις από πελάτες αποτελούνται από τα Δάνεια (όπως ορίζονται) μείον τις συσσωρευμένες αναμενόμενες πιστωτικές ζημιές (όπως ορίζονται, αλλά μη περιλαμβανομένων των συσσωρευμένων αναμενόμενων πιστωτικών ζημιών για στοιχεία εκτός ισολογισμού, τα οποία περιλαμβάνονται στον ισολογισμό στις άλλες υποχρεώσεις).</w:t>
            </w:r>
          </w:p>
        </w:tc>
      </w:tr>
      <w:tr w:rsidR="00982DBB" w:rsidRPr="00CF1753" w14:paraId="75734313" w14:textId="77777777" w:rsidTr="00715401">
        <w:trPr>
          <w:gridAfter w:val="1"/>
          <w:wAfter w:w="98" w:type="dxa"/>
        </w:trPr>
        <w:tc>
          <w:tcPr>
            <w:tcW w:w="3233" w:type="dxa"/>
          </w:tcPr>
          <w:p w14:paraId="4E0B0E21" w14:textId="77777777" w:rsidR="00982DBB" w:rsidRPr="00982DBB" w:rsidRDefault="00982DBB" w:rsidP="00982DBB">
            <w:pPr>
              <w:pStyle w:val="FootnoteText"/>
              <w:rPr>
                <w:rFonts w:ascii="Arial" w:hAnsi="Arial" w:cs="Arial"/>
                <w:sz w:val="18"/>
                <w:szCs w:val="18"/>
                <w:lang w:val="el-GR"/>
              </w:rPr>
            </w:pPr>
          </w:p>
        </w:tc>
        <w:tc>
          <w:tcPr>
            <w:tcW w:w="6350" w:type="dxa"/>
            <w:gridSpan w:val="3"/>
          </w:tcPr>
          <w:p w14:paraId="1929D8EA" w14:textId="77777777" w:rsidR="00982DBB" w:rsidRPr="00982DBB" w:rsidRDefault="00982DBB" w:rsidP="00982DBB">
            <w:pPr>
              <w:pStyle w:val="FootnoteText"/>
              <w:jc w:val="both"/>
              <w:rPr>
                <w:rFonts w:ascii="Arial" w:hAnsi="Arial" w:cs="Arial"/>
                <w:sz w:val="18"/>
                <w:szCs w:val="18"/>
                <w:lang w:val="el-GR"/>
              </w:rPr>
            </w:pPr>
          </w:p>
        </w:tc>
      </w:tr>
      <w:tr w:rsidR="00982DBB" w:rsidRPr="00CF1753" w14:paraId="7EA75AB7" w14:textId="77777777" w:rsidTr="00715401">
        <w:trPr>
          <w:gridAfter w:val="1"/>
          <w:wAfter w:w="98" w:type="dxa"/>
        </w:trPr>
        <w:tc>
          <w:tcPr>
            <w:tcW w:w="3233" w:type="dxa"/>
          </w:tcPr>
          <w:p w14:paraId="162BA756" w14:textId="77777777" w:rsidR="00982DBB" w:rsidRPr="00982DBB" w:rsidRDefault="00982DBB" w:rsidP="00982DBB">
            <w:pPr>
              <w:pStyle w:val="FootnoteText"/>
              <w:spacing w:after="240"/>
              <w:rPr>
                <w:rFonts w:ascii="Arial" w:hAnsi="Arial" w:cs="Arial"/>
                <w:sz w:val="18"/>
                <w:szCs w:val="18"/>
                <w:lang w:val="el-GR"/>
              </w:rPr>
            </w:pPr>
            <w:r w:rsidRPr="00982DBB">
              <w:rPr>
                <w:rFonts w:ascii="Arial" w:hAnsi="Arial" w:cs="Arial"/>
                <w:sz w:val="18"/>
                <w:szCs w:val="18"/>
                <w:lang w:val="el-GR"/>
              </w:rPr>
              <w:t>Καθαρό επιτοκιακό περιθώριο</w:t>
            </w:r>
          </w:p>
        </w:tc>
        <w:tc>
          <w:tcPr>
            <w:tcW w:w="6350" w:type="dxa"/>
            <w:gridSpan w:val="3"/>
          </w:tcPr>
          <w:p w14:paraId="23BF5833" w14:textId="77777777" w:rsidR="00982DBB" w:rsidRPr="00982DBB" w:rsidRDefault="00982DBB" w:rsidP="00982DBB">
            <w:pPr>
              <w:pStyle w:val="FootnoteText"/>
              <w:spacing w:after="160"/>
              <w:jc w:val="both"/>
              <w:rPr>
                <w:rFonts w:ascii="Arial" w:hAnsi="Arial" w:cs="Arial"/>
                <w:sz w:val="18"/>
                <w:szCs w:val="18"/>
                <w:lang w:val="el-GR"/>
              </w:rPr>
            </w:pPr>
            <w:r w:rsidRPr="00982DBB">
              <w:rPr>
                <w:rFonts w:ascii="Arial" w:hAnsi="Arial" w:cs="Arial"/>
                <w:sz w:val="18"/>
                <w:szCs w:val="18"/>
                <w:lang w:val="el-GR"/>
              </w:rPr>
              <w:t>Το καθαρό επιτοκιακό περιθώριο υπολογίζεται ως τα καθαρά έσοδα από τόκους (ετησιοποιημένα) ως προς τον τριμηνιαίο μέσο όρο των τοκοφόρων περιουσιακών στοιχείων (όπως ορίζεται).</w:t>
            </w:r>
          </w:p>
        </w:tc>
      </w:tr>
      <w:tr w:rsidR="00982DBB" w:rsidRPr="00CF1753" w14:paraId="22BBAB2F" w14:textId="77777777" w:rsidTr="00715401">
        <w:trPr>
          <w:gridAfter w:val="1"/>
          <w:wAfter w:w="98" w:type="dxa"/>
        </w:trPr>
        <w:tc>
          <w:tcPr>
            <w:tcW w:w="3233" w:type="dxa"/>
          </w:tcPr>
          <w:p w14:paraId="16D0A791" w14:textId="77777777" w:rsidR="00982DBB" w:rsidRPr="00982DBB" w:rsidRDefault="00982DBB" w:rsidP="00982DBB">
            <w:pPr>
              <w:pStyle w:val="FootnoteText"/>
              <w:rPr>
                <w:rFonts w:ascii="Arial" w:hAnsi="Arial" w:cs="Arial"/>
                <w:sz w:val="18"/>
                <w:szCs w:val="18"/>
                <w:lang w:val="el-GR"/>
              </w:rPr>
            </w:pPr>
          </w:p>
        </w:tc>
        <w:tc>
          <w:tcPr>
            <w:tcW w:w="6350" w:type="dxa"/>
            <w:gridSpan w:val="3"/>
          </w:tcPr>
          <w:p w14:paraId="5DB9248A" w14:textId="77777777" w:rsidR="00982DBB" w:rsidRPr="00982DBB" w:rsidRDefault="00982DBB" w:rsidP="00982DBB">
            <w:pPr>
              <w:pStyle w:val="FootnoteText"/>
              <w:jc w:val="both"/>
              <w:rPr>
                <w:rFonts w:ascii="Arial" w:hAnsi="Arial" w:cs="Arial"/>
                <w:sz w:val="18"/>
                <w:szCs w:val="18"/>
                <w:lang w:val="el-GR"/>
              </w:rPr>
            </w:pPr>
          </w:p>
        </w:tc>
      </w:tr>
      <w:tr w:rsidR="00982DBB" w:rsidRPr="00CF1753" w14:paraId="5A69408F" w14:textId="77777777" w:rsidTr="00715401">
        <w:trPr>
          <w:gridAfter w:val="1"/>
          <w:wAfter w:w="98" w:type="dxa"/>
        </w:trPr>
        <w:tc>
          <w:tcPr>
            <w:tcW w:w="3233" w:type="dxa"/>
          </w:tcPr>
          <w:p w14:paraId="7550158A" w14:textId="77777777" w:rsidR="00982DBB" w:rsidRPr="00982DBB" w:rsidRDefault="00982DBB" w:rsidP="00982DBB">
            <w:pPr>
              <w:pStyle w:val="FootnoteText"/>
              <w:spacing w:after="160"/>
              <w:rPr>
                <w:rFonts w:ascii="Arial" w:hAnsi="Arial" w:cs="Arial"/>
                <w:sz w:val="18"/>
                <w:szCs w:val="18"/>
                <w:lang w:val="el-GR"/>
              </w:rPr>
            </w:pPr>
            <w:r w:rsidRPr="00982DBB">
              <w:rPr>
                <w:rFonts w:ascii="Arial" w:hAnsi="Arial" w:cs="Arial"/>
                <w:sz w:val="18"/>
                <w:szCs w:val="18"/>
                <w:lang w:val="el-GR"/>
              </w:rPr>
              <w:t>Καθαρό μηδενικό ισοζύγιο εκπομπών (Net zero emissions)</w:t>
            </w:r>
          </w:p>
        </w:tc>
        <w:tc>
          <w:tcPr>
            <w:tcW w:w="6350" w:type="dxa"/>
            <w:gridSpan w:val="3"/>
          </w:tcPr>
          <w:p w14:paraId="1C57411A" w14:textId="72F154D8" w:rsidR="00982DBB" w:rsidRPr="00982DBB" w:rsidRDefault="00982DBB" w:rsidP="00982DBB">
            <w:pPr>
              <w:pStyle w:val="FootnoteText"/>
              <w:jc w:val="both"/>
              <w:rPr>
                <w:rFonts w:ascii="Arial" w:hAnsi="Arial" w:cs="Arial"/>
                <w:sz w:val="18"/>
                <w:szCs w:val="18"/>
                <w:lang w:val="el-GR"/>
              </w:rPr>
            </w:pPr>
            <w:r w:rsidRPr="00982DBB">
              <w:rPr>
                <w:rFonts w:ascii="Arial" w:hAnsi="Arial" w:cs="Arial"/>
                <w:sz w:val="18"/>
                <w:szCs w:val="18"/>
                <w:lang w:val="el-GR"/>
              </w:rPr>
              <w:t>Η μείωση των εκπομπών αερίων του θερμοκηπίου μέσω μέτρων μείωσης και επενδύσεων αντιστάθμισης για την επίτευξη καθαρών μηδενικών εκπομπών.</w:t>
            </w:r>
          </w:p>
        </w:tc>
      </w:tr>
      <w:tr w:rsidR="00982DBB" w:rsidRPr="00CF1753" w14:paraId="47F289AE" w14:textId="77777777" w:rsidTr="00715401">
        <w:trPr>
          <w:gridAfter w:val="1"/>
          <w:wAfter w:w="98" w:type="dxa"/>
        </w:trPr>
        <w:tc>
          <w:tcPr>
            <w:tcW w:w="3233" w:type="dxa"/>
          </w:tcPr>
          <w:p w14:paraId="34344FF0" w14:textId="77777777" w:rsidR="00982DBB" w:rsidRPr="00982DBB" w:rsidRDefault="00982DBB" w:rsidP="00982DBB">
            <w:pPr>
              <w:pStyle w:val="FootnoteText"/>
              <w:rPr>
                <w:rFonts w:ascii="Arial" w:hAnsi="Arial" w:cs="Arial"/>
                <w:sz w:val="18"/>
                <w:szCs w:val="18"/>
                <w:lang w:val="el-GR"/>
              </w:rPr>
            </w:pPr>
          </w:p>
        </w:tc>
        <w:tc>
          <w:tcPr>
            <w:tcW w:w="6350" w:type="dxa"/>
            <w:gridSpan w:val="3"/>
          </w:tcPr>
          <w:p w14:paraId="55EB88F9" w14:textId="77777777" w:rsidR="00982DBB" w:rsidRPr="00982DBB" w:rsidRDefault="00982DBB" w:rsidP="00982DBB">
            <w:pPr>
              <w:pStyle w:val="FootnoteText"/>
              <w:jc w:val="both"/>
              <w:rPr>
                <w:rFonts w:ascii="Arial" w:hAnsi="Arial" w:cs="Arial"/>
                <w:sz w:val="18"/>
                <w:szCs w:val="18"/>
                <w:lang w:val="el-GR"/>
              </w:rPr>
            </w:pPr>
          </w:p>
        </w:tc>
      </w:tr>
      <w:tr w:rsidR="00982DBB" w:rsidRPr="00CF1753" w14:paraId="22342601" w14:textId="77777777" w:rsidTr="00715401">
        <w:trPr>
          <w:gridAfter w:val="1"/>
          <w:wAfter w:w="98" w:type="dxa"/>
        </w:trPr>
        <w:tc>
          <w:tcPr>
            <w:tcW w:w="3233" w:type="dxa"/>
          </w:tcPr>
          <w:p w14:paraId="12DE9E0C" w14:textId="6D52665D" w:rsidR="00982DBB" w:rsidRPr="00982DBB" w:rsidRDefault="00982DBB" w:rsidP="00982DBB">
            <w:pPr>
              <w:pStyle w:val="FootnoteText"/>
              <w:spacing w:after="240"/>
              <w:rPr>
                <w:rFonts w:ascii="Arial" w:hAnsi="Arial" w:cs="Arial"/>
                <w:sz w:val="18"/>
                <w:szCs w:val="18"/>
                <w:lang w:val="el-GR"/>
              </w:rPr>
            </w:pPr>
            <w:r w:rsidRPr="00982DBB">
              <w:rPr>
                <w:rFonts w:ascii="Arial" w:hAnsi="Arial" w:cs="Arial"/>
                <w:sz w:val="18"/>
                <w:szCs w:val="18"/>
                <w:lang w:val="el-GR"/>
              </w:rPr>
              <w:t xml:space="preserve">Κέρδη μετά τη φορολογία και πριν τα μη-επαναλαμβανόμενα στοιχεία </w:t>
            </w:r>
            <w:r w:rsidRPr="00982DBB">
              <w:rPr>
                <w:rFonts w:ascii="Arial" w:hAnsi="Arial" w:cs="Arial"/>
                <w:bCs/>
                <w:sz w:val="18"/>
                <w:szCs w:val="18"/>
                <w:lang w:val="el-GR"/>
              </w:rPr>
              <w:t>(που αναλογούν στους ιδιοκτήτες της Εταιρίας)</w:t>
            </w:r>
          </w:p>
        </w:tc>
        <w:tc>
          <w:tcPr>
            <w:tcW w:w="6350" w:type="dxa"/>
            <w:gridSpan w:val="3"/>
          </w:tcPr>
          <w:p w14:paraId="0161DBA6" w14:textId="0D2DFA05" w:rsidR="00982DBB" w:rsidRPr="00982DBB" w:rsidRDefault="00982DBB" w:rsidP="00982DBB">
            <w:pPr>
              <w:pStyle w:val="FootnoteText"/>
              <w:spacing w:after="160"/>
              <w:jc w:val="both"/>
              <w:rPr>
                <w:rFonts w:ascii="Arial" w:hAnsi="Arial" w:cs="Arial"/>
                <w:sz w:val="18"/>
                <w:szCs w:val="18"/>
                <w:lang w:val="el-GR"/>
              </w:rPr>
            </w:pPr>
            <w:r w:rsidRPr="00982DBB">
              <w:rPr>
                <w:rFonts w:ascii="Arial" w:hAnsi="Arial" w:cs="Arial"/>
                <w:sz w:val="18"/>
                <w:szCs w:val="18"/>
                <w:lang w:val="el-GR"/>
              </w:rPr>
              <w:t>Αυτό αναφέρεται στα κέρδη μετά τη φορολογία (</w:t>
            </w:r>
            <w:r w:rsidRPr="00982DBB">
              <w:rPr>
                <w:rFonts w:ascii="Arial" w:hAnsi="Arial" w:cs="Arial"/>
                <w:bCs/>
                <w:sz w:val="18"/>
                <w:szCs w:val="18"/>
                <w:lang w:val="el-GR"/>
              </w:rPr>
              <w:t xml:space="preserve">που αναλογούν στους ιδιοκτήτες της Εταιρίας), </w:t>
            </w:r>
            <w:r w:rsidRPr="00982DBB">
              <w:rPr>
                <w:rFonts w:ascii="Arial" w:hAnsi="Arial" w:cs="Arial"/>
                <w:sz w:val="18"/>
                <w:szCs w:val="18"/>
                <w:lang w:val="el-GR"/>
              </w:rPr>
              <w:t xml:space="preserve">εξαιρουμένων των ‘μη-επαναλαμβανομένων στοιχείων’ (ως ορίζονται). </w:t>
            </w:r>
          </w:p>
        </w:tc>
      </w:tr>
      <w:tr w:rsidR="00982DBB" w:rsidRPr="00CF1753" w14:paraId="5B368783" w14:textId="77777777" w:rsidTr="00715401">
        <w:trPr>
          <w:gridAfter w:val="1"/>
          <w:wAfter w:w="98" w:type="dxa"/>
        </w:trPr>
        <w:tc>
          <w:tcPr>
            <w:tcW w:w="3233" w:type="dxa"/>
          </w:tcPr>
          <w:p w14:paraId="52409E52" w14:textId="77777777" w:rsidR="00982DBB" w:rsidRPr="00982DBB" w:rsidRDefault="00982DBB" w:rsidP="00982DBB">
            <w:pPr>
              <w:pStyle w:val="FootnoteText"/>
              <w:rPr>
                <w:rFonts w:ascii="Arial" w:hAnsi="Arial" w:cs="Arial"/>
                <w:sz w:val="18"/>
                <w:szCs w:val="18"/>
                <w:lang w:val="el-GR"/>
              </w:rPr>
            </w:pPr>
          </w:p>
        </w:tc>
        <w:tc>
          <w:tcPr>
            <w:tcW w:w="6350" w:type="dxa"/>
            <w:gridSpan w:val="3"/>
          </w:tcPr>
          <w:p w14:paraId="140692B3" w14:textId="77777777" w:rsidR="00982DBB" w:rsidRPr="00982DBB" w:rsidRDefault="00982DBB" w:rsidP="00982DBB">
            <w:pPr>
              <w:pStyle w:val="FootnoteText"/>
              <w:jc w:val="both"/>
              <w:rPr>
                <w:rFonts w:ascii="Arial" w:hAnsi="Arial" w:cs="Arial"/>
                <w:sz w:val="18"/>
                <w:szCs w:val="18"/>
                <w:lang w:val="el-GR"/>
              </w:rPr>
            </w:pPr>
          </w:p>
        </w:tc>
      </w:tr>
      <w:tr w:rsidR="00982DBB" w:rsidRPr="00CF1753" w14:paraId="7D193864" w14:textId="77777777" w:rsidTr="00715401">
        <w:trPr>
          <w:gridAfter w:val="1"/>
          <w:wAfter w:w="98" w:type="dxa"/>
        </w:trPr>
        <w:tc>
          <w:tcPr>
            <w:tcW w:w="3233" w:type="dxa"/>
          </w:tcPr>
          <w:p w14:paraId="2C957DF6" w14:textId="77777777" w:rsidR="00982DBB" w:rsidRPr="00982DBB" w:rsidRDefault="00982DBB" w:rsidP="00982DBB">
            <w:pPr>
              <w:pStyle w:val="FootnoteText"/>
              <w:spacing w:after="240"/>
              <w:rPr>
                <w:rFonts w:ascii="Arial" w:hAnsi="Arial" w:cs="Arial"/>
                <w:sz w:val="18"/>
                <w:szCs w:val="18"/>
                <w:lang w:val="el-GR"/>
              </w:rPr>
            </w:pPr>
            <w:r w:rsidRPr="00982DBB">
              <w:rPr>
                <w:rFonts w:ascii="Arial" w:hAnsi="Arial" w:cs="Arial"/>
                <w:sz w:val="18"/>
                <w:szCs w:val="18"/>
                <w:lang w:val="el-GR"/>
              </w:rPr>
              <w:t xml:space="preserve">Κέρδη/(ζημιά) μετά τη φορολογία –οργανικά </w:t>
            </w:r>
            <w:r w:rsidRPr="00982DBB">
              <w:rPr>
                <w:rFonts w:ascii="Arial" w:hAnsi="Arial" w:cs="Arial"/>
                <w:bCs/>
                <w:sz w:val="18"/>
                <w:szCs w:val="18"/>
                <w:lang w:val="el-GR"/>
              </w:rPr>
              <w:t>(που αναλογούν στους ιδιοκτήτες της Εταιρίας)</w:t>
            </w:r>
          </w:p>
        </w:tc>
        <w:tc>
          <w:tcPr>
            <w:tcW w:w="6350" w:type="dxa"/>
            <w:gridSpan w:val="3"/>
          </w:tcPr>
          <w:p w14:paraId="7E0E13C4" w14:textId="7964D0A8" w:rsidR="00982DBB" w:rsidRPr="00982DBB" w:rsidRDefault="00982DBB" w:rsidP="00982DBB">
            <w:pPr>
              <w:pStyle w:val="FootnoteText"/>
              <w:spacing w:after="160"/>
              <w:jc w:val="both"/>
              <w:rPr>
                <w:rFonts w:ascii="Arial" w:hAnsi="Arial" w:cs="Arial"/>
                <w:sz w:val="18"/>
                <w:szCs w:val="18"/>
                <w:lang w:val="el-GR"/>
              </w:rPr>
            </w:pPr>
            <w:r w:rsidRPr="00982DBB">
              <w:rPr>
                <w:rFonts w:ascii="Arial" w:hAnsi="Arial" w:cs="Arial"/>
                <w:sz w:val="18"/>
                <w:szCs w:val="18"/>
                <w:lang w:val="el-GR"/>
              </w:rPr>
              <w:t xml:space="preserve">Αυτό αναφέρεται στα κέρδη ή τη ζημιά μετά τη φορολογία </w:t>
            </w:r>
            <w:r w:rsidRPr="00982DBB">
              <w:rPr>
                <w:rFonts w:ascii="Arial" w:hAnsi="Arial" w:cs="Arial"/>
                <w:bCs/>
                <w:sz w:val="18"/>
                <w:szCs w:val="18"/>
                <w:lang w:val="el-GR"/>
              </w:rPr>
              <w:t>(που αναλογούν στους ιδιοκτήτες της Εταιρίας)</w:t>
            </w:r>
            <w:r w:rsidRPr="00982DBB">
              <w:rPr>
                <w:rFonts w:ascii="Arial" w:hAnsi="Arial" w:cs="Arial"/>
                <w:sz w:val="18"/>
                <w:szCs w:val="18"/>
                <w:lang w:val="el-GR"/>
              </w:rPr>
              <w:t>, εξαιρουμένων των μη-επαναλαμβανόμενων στοιχείων (όπως ορίζονται, εκτός από τα ‘έξοδα συμβούλων και άλλα έξοδα μετασχηματισμού – οργανικά’).</w:t>
            </w:r>
          </w:p>
        </w:tc>
      </w:tr>
      <w:tr w:rsidR="00982DBB" w:rsidRPr="00CF1753" w14:paraId="1530840C" w14:textId="77777777" w:rsidTr="00715401">
        <w:trPr>
          <w:gridAfter w:val="1"/>
          <w:wAfter w:w="98" w:type="dxa"/>
          <w:trHeight w:val="57"/>
        </w:trPr>
        <w:tc>
          <w:tcPr>
            <w:tcW w:w="3233" w:type="dxa"/>
            <w:shd w:val="clear" w:color="auto" w:fill="auto"/>
          </w:tcPr>
          <w:p w14:paraId="4ABE9499" w14:textId="77777777" w:rsidR="00982DBB" w:rsidRPr="00982DBB" w:rsidRDefault="00982DBB" w:rsidP="00982DBB">
            <w:pPr>
              <w:pStyle w:val="FootnoteText"/>
              <w:rPr>
                <w:rFonts w:ascii="Arial" w:hAnsi="Arial" w:cs="Arial"/>
                <w:sz w:val="18"/>
                <w:szCs w:val="18"/>
                <w:lang w:val="el-GR"/>
              </w:rPr>
            </w:pPr>
          </w:p>
        </w:tc>
        <w:tc>
          <w:tcPr>
            <w:tcW w:w="6350" w:type="dxa"/>
            <w:gridSpan w:val="3"/>
            <w:shd w:val="clear" w:color="auto" w:fill="auto"/>
          </w:tcPr>
          <w:p w14:paraId="0C578907" w14:textId="77777777" w:rsidR="00982DBB" w:rsidRPr="00982DBB" w:rsidRDefault="00982DBB" w:rsidP="00982DBB">
            <w:pPr>
              <w:pStyle w:val="FootnoteText"/>
              <w:jc w:val="both"/>
              <w:rPr>
                <w:rFonts w:ascii="Arial" w:hAnsi="Arial" w:cs="Arial"/>
                <w:sz w:val="18"/>
                <w:szCs w:val="18"/>
                <w:lang w:val="el-GR"/>
              </w:rPr>
            </w:pPr>
          </w:p>
        </w:tc>
      </w:tr>
      <w:tr w:rsidR="00982DBB" w:rsidRPr="00CF1753" w14:paraId="521D4E08" w14:textId="77777777" w:rsidTr="00715401">
        <w:trPr>
          <w:gridAfter w:val="1"/>
          <w:wAfter w:w="98" w:type="dxa"/>
          <w:trHeight w:val="958"/>
        </w:trPr>
        <w:tc>
          <w:tcPr>
            <w:tcW w:w="3233" w:type="dxa"/>
            <w:shd w:val="clear" w:color="auto" w:fill="auto"/>
          </w:tcPr>
          <w:p w14:paraId="7C66F2E9" w14:textId="60F28C41" w:rsidR="00982DBB" w:rsidRPr="00982DBB" w:rsidRDefault="00982DBB" w:rsidP="00982DBB">
            <w:pPr>
              <w:pStyle w:val="FootnoteText"/>
              <w:spacing w:after="240"/>
              <w:rPr>
                <w:rFonts w:ascii="Arial" w:hAnsi="Arial" w:cs="Arial"/>
                <w:sz w:val="18"/>
                <w:szCs w:val="18"/>
                <w:lang w:val="el-GR"/>
              </w:rPr>
            </w:pPr>
            <w:r w:rsidRPr="00982DBB">
              <w:rPr>
                <w:rFonts w:ascii="Arial" w:hAnsi="Arial" w:cs="Arial"/>
                <w:sz w:val="18"/>
                <w:szCs w:val="18"/>
                <w:lang w:val="el-GR"/>
              </w:rPr>
              <w:t>Κλιματική ουδετερότητα (Carbon neutral)</w:t>
            </w:r>
          </w:p>
        </w:tc>
        <w:tc>
          <w:tcPr>
            <w:tcW w:w="6350" w:type="dxa"/>
            <w:gridSpan w:val="3"/>
            <w:shd w:val="clear" w:color="auto" w:fill="auto"/>
          </w:tcPr>
          <w:p w14:paraId="1481C989" w14:textId="6CDFBD7A" w:rsidR="00982DBB" w:rsidRPr="00982DBB" w:rsidRDefault="00982DBB" w:rsidP="00982DBB">
            <w:pPr>
              <w:pStyle w:val="FootnoteText"/>
              <w:jc w:val="both"/>
              <w:rPr>
                <w:rFonts w:ascii="Arial" w:hAnsi="Arial" w:cs="Arial"/>
                <w:sz w:val="18"/>
                <w:szCs w:val="18"/>
                <w:lang w:val="el-GR"/>
              </w:rPr>
            </w:pPr>
            <w:r w:rsidRPr="00982DBB">
              <w:rPr>
                <w:rFonts w:ascii="Arial" w:hAnsi="Arial" w:cs="Arial"/>
                <w:sz w:val="18"/>
                <w:szCs w:val="18"/>
                <w:lang w:val="el-GR"/>
              </w:rPr>
              <w:t>Η μείωση και η εξισορρόπησή (μέσω συνδυασμού επενδύσεων αντιστάθμισης ή πιστώσεων έναντι των εκπομπών) των εκπομπών αερίων του θερμοκηπίου από ίδιες δραστηριότητες.</w:t>
            </w:r>
          </w:p>
        </w:tc>
      </w:tr>
      <w:tr w:rsidR="00982DBB" w:rsidRPr="00CF1753" w14:paraId="2A901D85" w14:textId="77777777" w:rsidTr="00715401">
        <w:trPr>
          <w:gridAfter w:val="1"/>
          <w:wAfter w:w="98" w:type="dxa"/>
          <w:trHeight w:val="57"/>
        </w:trPr>
        <w:tc>
          <w:tcPr>
            <w:tcW w:w="3233" w:type="dxa"/>
            <w:shd w:val="clear" w:color="auto" w:fill="auto"/>
          </w:tcPr>
          <w:p w14:paraId="005061C4" w14:textId="77777777" w:rsidR="00982DBB" w:rsidRPr="00982DBB" w:rsidRDefault="00982DBB" w:rsidP="00982DBB">
            <w:pPr>
              <w:pStyle w:val="FootnoteText"/>
              <w:rPr>
                <w:rFonts w:ascii="Arial" w:hAnsi="Arial" w:cs="Arial"/>
                <w:sz w:val="18"/>
                <w:szCs w:val="18"/>
                <w:lang w:val="el-GR"/>
              </w:rPr>
            </w:pPr>
          </w:p>
        </w:tc>
        <w:tc>
          <w:tcPr>
            <w:tcW w:w="6350" w:type="dxa"/>
            <w:gridSpan w:val="3"/>
            <w:shd w:val="clear" w:color="auto" w:fill="auto"/>
          </w:tcPr>
          <w:p w14:paraId="26C339E0" w14:textId="77777777" w:rsidR="00982DBB" w:rsidRPr="00982DBB" w:rsidRDefault="00982DBB" w:rsidP="00982DBB">
            <w:pPr>
              <w:pStyle w:val="FootnoteText"/>
              <w:jc w:val="both"/>
              <w:rPr>
                <w:rFonts w:ascii="Arial" w:hAnsi="Arial" w:cs="Arial"/>
                <w:sz w:val="18"/>
                <w:szCs w:val="18"/>
                <w:lang w:val="el-GR"/>
              </w:rPr>
            </w:pPr>
          </w:p>
        </w:tc>
      </w:tr>
      <w:tr w:rsidR="00982DBB" w:rsidRPr="00CF1753" w14:paraId="7772718F" w14:textId="77777777" w:rsidTr="00715401">
        <w:trPr>
          <w:gridAfter w:val="1"/>
          <w:wAfter w:w="98" w:type="dxa"/>
          <w:trHeight w:val="1361"/>
        </w:trPr>
        <w:tc>
          <w:tcPr>
            <w:tcW w:w="3233" w:type="dxa"/>
            <w:shd w:val="clear" w:color="auto" w:fill="auto"/>
          </w:tcPr>
          <w:p w14:paraId="7EFFE2E2" w14:textId="5425C6B5" w:rsidR="00982DBB" w:rsidRPr="00982DBB" w:rsidRDefault="00982DBB" w:rsidP="00982DBB">
            <w:pPr>
              <w:pStyle w:val="FootnoteText"/>
              <w:spacing w:after="240"/>
              <w:rPr>
                <w:rFonts w:ascii="Arial" w:hAnsi="Arial" w:cs="Arial"/>
                <w:sz w:val="18"/>
                <w:szCs w:val="18"/>
                <w:lang w:val="el-GR"/>
              </w:rPr>
            </w:pPr>
            <w:r w:rsidRPr="00982DBB">
              <w:rPr>
                <w:rFonts w:ascii="Arial" w:hAnsi="Arial" w:cs="Arial"/>
                <w:sz w:val="18"/>
                <w:szCs w:val="18"/>
                <w:lang w:val="el-GR"/>
              </w:rPr>
              <w:t>Λειτουργικά κέρδη</w:t>
            </w:r>
          </w:p>
        </w:tc>
        <w:tc>
          <w:tcPr>
            <w:tcW w:w="6350" w:type="dxa"/>
            <w:gridSpan w:val="3"/>
            <w:shd w:val="clear" w:color="auto" w:fill="auto"/>
          </w:tcPr>
          <w:p w14:paraId="21FD98ED" w14:textId="01D7401B" w:rsidR="00982DBB" w:rsidRPr="00982DBB" w:rsidRDefault="00982DBB" w:rsidP="00982DBB">
            <w:pPr>
              <w:pStyle w:val="FootnoteText"/>
              <w:jc w:val="both"/>
              <w:rPr>
                <w:rFonts w:ascii="Arial" w:hAnsi="Arial" w:cs="Arial"/>
                <w:sz w:val="18"/>
                <w:szCs w:val="18"/>
                <w:lang w:val="el-GR"/>
              </w:rPr>
            </w:pPr>
            <w:r w:rsidRPr="00982DBB">
              <w:rPr>
                <w:rFonts w:ascii="Arial" w:hAnsi="Arial" w:cs="Arial"/>
                <w:sz w:val="18"/>
                <w:szCs w:val="18"/>
                <w:lang w:val="el-GR"/>
              </w:rPr>
              <w:t>Τα λειτουργικά κέρδη αποτελούνται από τα κέρδη πριν τις πιστωτικές ζημιές δανείων (ως ορίζονται), τις απομειώσεις άλλων χρηματοοικονομικών και μη χρηματοοικονομικών περιουσιακών στοιχείων, τις προβλέψεις για επιδικίες, απαιτήσεις, κανονιστικά θέματα και άλλα θέματα (μετά από αναστροφές), τη φορολογία, τα (κέρδη)/ζημιά που αναλογούν στα δικαιώματα μειοψηφίας και μη επαναλαμβανόμενα στοιχεία (ως ορίζονται).</w:t>
            </w:r>
          </w:p>
          <w:p w14:paraId="18E07EF0" w14:textId="0D836C14" w:rsidR="00982DBB" w:rsidRPr="00982DBB" w:rsidRDefault="00982DBB" w:rsidP="00982DBB">
            <w:pPr>
              <w:pStyle w:val="FootnoteText"/>
              <w:tabs>
                <w:tab w:val="left" w:pos="1309"/>
              </w:tabs>
              <w:jc w:val="both"/>
              <w:rPr>
                <w:rFonts w:ascii="Arial" w:hAnsi="Arial" w:cs="Arial"/>
                <w:sz w:val="18"/>
                <w:szCs w:val="18"/>
                <w:lang w:val="el-GR"/>
              </w:rPr>
            </w:pPr>
            <w:r w:rsidRPr="00982DBB">
              <w:rPr>
                <w:rFonts w:ascii="Arial" w:hAnsi="Arial" w:cs="Arial"/>
                <w:sz w:val="18"/>
                <w:szCs w:val="18"/>
                <w:lang w:val="el-GR"/>
              </w:rPr>
              <w:tab/>
            </w:r>
          </w:p>
        </w:tc>
      </w:tr>
      <w:tr w:rsidR="00982DBB" w:rsidRPr="00CF1753" w14:paraId="35C37200" w14:textId="77777777" w:rsidTr="00715401">
        <w:trPr>
          <w:gridAfter w:val="1"/>
          <w:wAfter w:w="98" w:type="dxa"/>
        </w:trPr>
        <w:tc>
          <w:tcPr>
            <w:tcW w:w="3233" w:type="dxa"/>
          </w:tcPr>
          <w:p w14:paraId="0C2B7D9A" w14:textId="77777777" w:rsidR="00982DBB" w:rsidRPr="00982DBB" w:rsidRDefault="00982DBB" w:rsidP="00982DBB">
            <w:pPr>
              <w:pStyle w:val="FootnoteText"/>
              <w:rPr>
                <w:rFonts w:ascii="Arial" w:hAnsi="Arial" w:cs="Arial"/>
                <w:sz w:val="18"/>
                <w:szCs w:val="18"/>
                <w:lang w:val="el-GR"/>
              </w:rPr>
            </w:pPr>
          </w:p>
        </w:tc>
        <w:tc>
          <w:tcPr>
            <w:tcW w:w="6350" w:type="dxa"/>
            <w:gridSpan w:val="3"/>
          </w:tcPr>
          <w:p w14:paraId="7B7E4253" w14:textId="77777777" w:rsidR="00982DBB" w:rsidRPr="00982DBB" w:rsidRDefault="00982DBB" w:rsidP="00982DBB">
            <w:pPr>
              <w:pStyle w:val="FootnoteText"/>
              <w:jc w:val="both"/>
              <w:rPr>
                <w:rFonts w:ascii="Arial" w:hAnsi="Arial" w:cs="Arial"/>
                <w:sz w:val="18"/>
                <w:szCs w:val="18"/>
                <w:lang w:val="el-GR"/>
              </w:rPr>
            </w:pPr>
          </w:p>
        </w:tc>
      </w:tr>
      <w:tr w:rsidR="00982DBB" w:rsidRPr="00CF1753" w14:paraId="0F25C12C" w14:textId="77777777" w:rsidTr="00715401">
        <w:trPr>
          <w:gridAfter w:val="1"/>
          <w:wAfter w:w="98" w:type="dxa"/>
        </w:trPr>
        <w:tc>
          <w:tcPr>
            <w:tcW w:w="3233" w:type="dxa"/>
          </w:tcPr>
          <w:p w14:paraId="7C7B79E0" w14:textId="77777777" w:rsidR="00982DBB" w:rsidRPr="00982DBB" w:rsidRDefault="00982DBB" w:rsidP="00982DBB">
            <w:pPr>
              <w:pStyle w:val="FootnoteText"/>
              <w:spacing w:after="240"/>
              <w:rPr>
                <w:rFonts w:ascii="Arial" w:hAnsi="Arial" w:cs="Arial"/>
                <w:sz w:val="18"/>
                <w:szCs w:val="18"/>
                <w:lang w:val="el-GR"/>
              </w:rPr>
            </w:pPr>
            <w:r w:rsidRPr="00982DBB">
              <w:rPr>
                <w:rFonts w:ascii="Arial" w:hAnsi="Arial" w:cs="Arial"/>
                <w:sz w:val="18"/>
                <w:szCs w:val="18"/>
                <w:lang w:val="el-GR"/>
              </w:rPr>
              <w:t>Λειτουργικά κέρδη επί του μέσου όρου των περιουσιακών στοιχείων</w:t>
            </w:r>
          </w:p>
        </w:tc>
        <w:tc>
          <w:tcPr>
            <w:tcW w:w="6350" w:type="dxa"/>
            <w:gridSpan w:val="3"/>
          </w:tcPr>
          <w:p w14:paraId="375C79D7" w14:textId="77777777" w:rsidR="00982DBB" w:rsidRPr="00982DBB" w:rsidRDefault="00982DBB" w:rsidP="00982DBB">
            <w:pPr>
              <w:pStyle w:val="FootnoteText"/>
              <w:jc w:val="both"/>
              <w:rPr>
                <w:rFonts w:ascii="Arial" w:hAnsi="Arial" w:cs="Arial"/>
                <w:sz w:val="18"/>
                <w:szCs w:val="18"/>
                <w:lang w:val="el-GR"/>
              </w:rPr>
            </w:pPr>
            <w:r w:rsidRPr="00982DBB">
              <w:rPr>
                <w:rFonts w:ascii="Arial" w:hAnsi="Arial" w:cs="Arial"/>
                <w:sz w:val="18"/>
                <w:szCs w:val="18"/>
                <w:lang w:val="el-GR"/>
              </w:rPr>
              <w:t>Τα λειτουργικά κέρδη επί του μέσου όρου των περιουσιακών στοιχείων υπολογίζονται ως τα ετησιοποιημένα λειτουργικά κέρδη (ως ορίζονται) ως προς τον τριμηνιαίο μέσο όρο των περιουσιακών στοιχείων για τη σχετική περίοδο. Στο μέσο όρο των περιουσιακών στοιχείων δεν περιλαμβάνονται τα συνολικά περιουσιακά στοιχεία των μη συνεχιζόμενων δραστηριοτήτων στο τέλος κάθε τρίμηνου, όπου ισχύει.</w:t>
            </w:r>
          </w:p>
          <w:p w14:paraId="27FF7B31" w14:textId="34E103D3" w:rsidR="00982DBB" w:rsidRPr="00982DBB" w:rsidRDefault="00982DBB" w:rsidP="00982DBB">
            <w:pPr>
              <w:pStyle w:val="FootnoteText"/>
              <w:jc w:val="both"/>
              <w:rPr>
                <w:rFonts w:ascii="Arial" w:hAnsi="Arial" w:cs="Arial"/>
                <w:sz w:val="18"/>
                <w:szCs w:val="18"/>
                <w:lang w:val="el-GR"/>
              </w:rPr>
            </w:pPr>
          </w:p>
        </w:tc>
      </w:tr>
      <w:tr w:rsidR="00982DBB" w:rsidRPr="00CF1753" w14:paraId="41E6EC32" w14:textId="77777777" w:rsidTr="00715401">
        <w:trPr>
          <w:gridAfter w:val="1"/>
          <w:wAfter w:w="98" w:type="dxa"/>
        </w:trPr>
        <w:tc>
          <w:tcPr>
            <w:tcW w:w="3233" w:type="dxa"/>
          </w:tcPr>
          <w:p w14:paraId="20D4BB30" w14:textId="77777777" w:rsidR="00982DBB" w:rsidRPr="00982DBB" w:rsidRDefault="00982DBB" w:rsidP="00982DBB">
            <w:pPr>
              <w:pStyle w:val="FootnoteText"/>
              <w:rPr>
                <w:rFonts w:ascii="Arial" w:hAnsi="Arial" w:cs="Arial"/>
                <w:sz w:val="18"/>
                <w:szCs w:val="18"/>
                <w:lang w:val="el-GR"/>
              </w:rPr>
            </w:pPr>
          </w:p>
        </w:tc>
        <w:tc>
          <w:tcPr>
            <w:tcW w:w="6350" w:type="dxa"/>
            <w:gridSpan w:val="3"/>
          </w:tcPr>
          <w:p w14:paraId="1C1DE500" w14:textId="77777777" w:rsidR="00982DBB" w:rsidRPr="00982DBB" w:rsidRDefault="00982DBB" w:rsidP="00982DBB">
            <w:pPr>
              <w:jc w:val="both"/>
              <w:rPr>
                <w:rFonts w:ascii="Arial" w:hAnsi="Arial" w:cs="Arial"/>
                <w:sz w:val="18"/>
                <w:szCs w:val="18"/>
                <w:lang w:val="el-GR"/>
              </w:rPr>
            </w:pPr>
          </w:p>
        </w:tc>
      </w:tr>
      <w:tr w:rsidR="00982DBB" w:rsidRPr="00CF1753" w14:paraId="38A68328" w14:textId="77777777" w:rsidTr="00715401">
        <w:trPr>
          <w:gridAfter w:val="1"/>
          <w:wAfter w:w="98" w:type="dxa"/>
        </w:trPr>
        <w:tc>
          <w:tcPr>
            <w:tcW w:w="3233" w:type="dxa"/>
          </w:tcPr>
          <w:p w14:paraId="2241599D" w14:textId="77777777" w:rsidR="00982DBB" w:rsidRPr="00982DBB" w:rsidRDefault="00982DBB" w:rsidP="00982DBB">
            <w:pPr>
              <w:pStyle w:val="FootnoteText"/>
              <w:spacing w:after="240"/>
              <w:rPr>
                <w:rFonts w:ascii="Arial" w:hAnsi="Arial" w:cs="Arial"/>
                <w:sz w:val="18"/>
                <w:szCs w:val="18"/>
                <w:lang w:val="el-GR"/>
              </w:rPr>
            </w:pPr>
            <w:r w:rsidRPr="00982DBB">
              <w:rPr>
                <w:rFonts w:ascii="Arial" w:hAnsi="Arial" w:cs="Arial"/>
                <w:sz w:val="18"/>
                <w:szCs w:val="18"/>
                <w:lang w:val="el-GR"/>
              </w:rPr>
              <w:t xml:space="preserve">Μερίδια αγοράς </w:t>
            </w:r>
          </w:p>
        </w:tc>
        <w:tc>
          <w:tcPr>
            <w:tcW w:w="6350" w:type="dxa"/>
            <w:gridSpan w:val="3"/>
          </w:tcPr>
          <w:p w14:paraId="32C6E9AC" w14:textId="10E3664B" w:rsidR="00982DBB" w:rsidRPr="00982DBB" w:rsidRDefault="00982DBB" w:rsidP="00982DBB">
            <w:pPr>
              <w:jc w:val="both"/>
              <w:rPr>
                <w:rFonts w:ascii="Arial" w:hAnsi="Arial" w:cs="Arial"/>
                <w:sz w:val="18"/>
                <w:szCs w:val="18"/>
                <w:lang w:val="el-GR" w:eastAsia="el-GR"/>
              </w:rPr>
            </w:pPr>
            <w:r w:rsidRPr="00982DBB">
              <w:rPr>
                <w:rFonts w:ascii="Arial" w:hAnsi="Arial" w:cs="Arial"/>
                <w:sz w:val="18"/>
                <w:szCs w:val="18"/>
                <w:lang w:val="el-GR"/>
              </w:rPr>
              <w:t>Τα μερίδια αγοράς των καταθέσεων και των δανείων βασίζονται σε στοιχεία της ΚΤΚ.</w:t>
            </w:r>
            <w:r w:rsidRPr="00982DBB">
              <w:rPr>
                <w:rFonts w:ascii="Arial" w:hAnsi="Arial" w:cs="Arial"/>
                <w:sz w:val="18"/>
                <w:szCs w:val="18"/>
                <w:lang w:val="el-GR" w:eastAsia="el-GR"/>
              </w:rPr>
              <w:t xml:space="preserve"> Η Τράπεζα είναι ο μεγαλύτερος δανειστής στην Κύπρο με το μερίδιο αγοράς της επί των δανείων να ανέρχεται σε 43.2% στις 30 Ιουνίου 2024 (σε σύγκριση με 42.9% στις 31 Μαρτίου 2024 και με 42.2% στις 31 Δεκεμβρίου 2023). Το μερίδιο αγοράς της Τράπεζας στις καταθέσεις στην Κύπρο ανήλθε σε 37.5% στις 30 Ιουνίου 2024 (σε σύγκριση με 37.5% στις 31 Μαρτίου 2024 και με 37.7% στις 31 Δεκεμβρίου 2023).</w:t>
            </w:r>
          </w:p>
          <w:p w14:paraId="6573809B" w14:textId="77777777" w:rsidR="00982DBB" w:rsidRDefault="00982DBB" w:rsidP="00982DBB">
            <w:pPr>
              <w:jc w:val="both"/>
              <w:rPr>
                <w:rFonts w:ascii="Arial" w:hAnsi="Arial" w:cs="Arial"/>
                <w:sz w:val="18"/>
                <w:szCs w:val="18"/>
                <w:lang w:val="el-GR" w:eastAsia="el-GR"/>
              </w:rPr>
            </w:pPr>
          </w:p>
          <w:p w14:paraId="6433F763" w14:textId="45B7AF25" w:rsidR="00982DBB" w:rsidRPr="00982DBB" w:rsidRDefault="00982DBB" w:rsidP="00982DBB">
            <w:pPr>
              <w:jc w:val="both"/>
              <w:rPr>
                <w:rFonts w:ascii="Arial" w:hAnsi="Arial" w:cs="Arial"/>
                <w:sz w:val="18"/>
                <w:szCs w:val="18"/>
                <w:lang w:val="el-GR" w:eastAsia="el-GR"/>
              </w:rPr>
            </w:pPr>
          </w:p>
        </w:tc>
      </w:tr>
      <w:tr w:rsidR="00982DBB" w:rsidRPr="00CF1753" w14:paraId="4681435A" w14:textId="77777777" w:rsidTr="00216133">
        <w:trPr>
          <w:gridAfter w:val="1"/>
          <w:wAfter w:w="98" w:type="dxa"/>
        </w:trPr>
        <w:tc>
          <w:tcPr>
            <w:tcW w:w="9583" w:type="dxa"/>
            <w:gridSpan w:val="4"/>
            <w:shd w:val="clear" w:color="auto" w:fill="auto"/>
          </w:tcPr>
          <w:p w14:paraId="2F79A8CC" w14:textId="77777777" w:rsidR="00982DBB" w:rsidRPr="00982DBB" w:rsidRDefault="00982DBB" w:rsidP="00982DBB">
            <w:pPr>
              <w:jc w:val="both"/>
              <w:rPr>
                <w:rFonts w:ascii="Arial" w:hAnsi="Arial" w:cs="Arial"/>
                <w:bCs/>
                <w:color w:val="FF9900"/>
                <w:sz w:val="24"/>
                <w:szCs w:val="24"/>
                <w:lang w:val="el-GR"/>
              </w:rPr>
            </w:pPr>
            <w:r w:rsidRPr="00982DBB">
              <w:rPr>
                <w:rFonts w:ascii="Arial" w:hAnsi="Arial" w:cs="Arial"/>
                <w:b/>
                <w:color w:val="FF9900"/>
                <w:sz w:val="24"/>
                <w:szCs w:val="24"/>
                <w:lang w:val="el-GR"/>
              </w:rPr>
              <w:lastRenderedPageBreak/>
              <w:t>ΣΤ. Όροι και Επεξηγήσεις</w:t>
            </w:r>
            <w:r w:rsidRPr="00982DBB">
              <w:rPr>
                <w:rFonts w:ascii="Arial" w:hAnsi="Arial" w:cs="Arial"/>
                <w:bCs/>
                <w:color w:val="FF9900"/>
                <w:sz w:val="24"/>
                <w:szCs w:val="24"/>
                <w:lang w:val="el-GR"/>
              </w:rPr>
              <w:t xml:space="preserve"> (συνέχεια)</w:t>
            </w:r>
          </w:p>
          <w:p w14:paraId="67EB3C9D" w14:textId="77777777" w:rsidR="00982DBB" w:rsidRPr="00982DBB" w:rsidRDefault="00982DBB" w:rsidP="00982DBB">
            <w:pPr>
              <w:pStyle w:val="FootnoteText"/>
              <w:jc w:val="both"/>
              <w:rPr>
                <w:rFonts w:ascii="Arial" w:hAnsi="Arial" w:cs="Arial"/>
                <w:sz w:val="18"/>
                <w:szCs w:val="18"/>
                <w:lang w:val="el-GR"/>
              </w:rPr>
            </w:pPr>
          </w:p>
        </w:tc>
      </w:tr>
      <w:tr w:rsidR="00982DBB" w:rsidRPr="00CF1753" w14:paraId="501BCDCD" w14:textId="77777777" w:rsidTr="00715401">
        <w:trPr>
          <w:gridAfter w:val="1"/>
          <w:wAfter w:w="98" w:type="dxa"/>
        </w:trPr>
        <w:tc>
          <w:tcPr>
            <w:tcW w:w="3233" w:type="dxa"/>
            <w:shd w:val="clear" w:color="auto" w:fill="auto"/>
          </w:tcPr>
          <w:p w14:paraId="6702687A" w14:textId="77777777" w:rsidR="00982DBB" w:rsidRPr="00982DBB" w:rsidRDefault="00982DBB" w:rsidP="00982DBB">
            <w:pPr>
              <w:pStyle w:val="FootnoteText"/>
              <w:spacing w:after="240"/>
              <w:rPr>
                <w:rFonts w:ascii="Arial" w:hAnsi="Arial" w:cs="Arial"/>
                <w:sz w:val="18"/>
                <w:szCs w:val="18"/>
                <w:lang w:val="el-GR"/>
              </w:rPr>
            </w:pPr>
            <w:r w:rsidRPr="00982DBB">
              <w:rPr>
                <w:rFonts w:ascii="Arial" w:hAnsi="Arial" w:cs="Arial"/>
                <w:sz w:val="18"/>
                <w:szCs w:val="18"/>
                <w:lang w:val="el-GR"/>
              </w:rPr>
              <w:t>Μέσος τριμηνιαίος όρος των τοκοφόρων περιουσιακών στοιχείων</w:t>
            </w:r>
          </w:p>
        </w:tc>
        <w:tc>
          <w:tcPr>
            <w:tcW w:w="6350" w:type="dxa"/>
            <w:gridSpan w:val="3"/>
          </w:tcPr>
          <w:p w14:paraId="626EED14" w14:textId="67D030FE" w:rsidR="00982DBB" w:rsidRPr="00982DBB" w:rsidRDefault="00982DBB" w:rsidP="00982DBB">
            <w:pPr>
              <w:pStyle w:val="FootnoteText"/>
              <w:jc w:val="both"/>
              <w:rPr>
                <w:rFonts w:ascii="Arial" w:hAnsi="Arial" w:cs="Arial"/>
                <w:sz w:val="18"/>
                <w:szCs w:val="18"/>
                <w:lang w:val="el-GR"/>
              </w:rPr>
            </w:pPr>
            <w:r w:rsidRPr="00982DBB">
              <w:rPr>
                <w:rFonts w:ascii="Arial" w:hAnsi="Arial" w:cs="Arial"/>
                <w:sz w:val="18"/>
                <w:szCs w:val="18"/>
                <w:lang w:val="el-GR"/>
              </w:rPr>
              <w:t>Αναφέρεται στον μέσο τριμηνιαίο όρο των τοκοφόρων περιουσιακών στοιχείων κατά την αρχή και το τέλος του σχετικού τριμήνου. Τα τοκοφόρα περιουσιακά στοιχεία είναι το σύνολο των: μετρητών και καταθέσεων με κεντρικές τράπεζες (περιλαμβανομένων μετρητών και καταθέσεων με κεντρικές τράπεζες που κατηγοριοποιήθηκαν ως μη κυκλοφορούντα περιουσιακά στοιχεία που κατέχονται προς πώληση),</w:t>
            </w:r>
            <w:r w:rsidRPr="00982DBB">
              <w:rPr>
                <w:lang w:val="el-GR"/>
              </w:rPr>
              <w:t xml:space="preserve"> </w:t>
            </w:r>
            <w:r w:rsidRPr="00982DBB">
              <w:rPr>
                <w:rFonts w:ascii="Arial" w:hAnsi="Arial" w:cs="Arial"/>
                <w:sz w:val="18"/>
                <w:szCs w:val="18"/>
                <w:lang w:val="el-GR"/>
              </w:rPr>
              <w:t>συμφωνιών επαναπώλησης (‘reverse repos’), δανείων και απαιτήσεων σε τράπεζες, καθαρών δανείων και απαιτήσεων από πελάτες (</w:t>
            </w:r>
            <w:bookmarkStart w:id="38" w:name="_Hlk112660963"/>
            <w:r w:rsidRPr="00982DBB">
              <w:rPr>
                <w:rFonts w:ascii="Arial" w:hAnsi="Arial" w:cs="Arial"/>
                <w:sz w:val="18"/>
                <w:szCs w:val="18"/>
                <w:lang w:val="el-GR"/>
              </w:rPr>
              <w:t xml:space="preserve">περιλαμβανομένων δανείων και απαιτήσεων από πελάτες που κατηγοριοποιήθηκαν ως μη κυκλοφορούντα περιουσιακά στοιχεία που κατέχονται προς πώληση), </w:t>
            </w:r>
            <w:bookmarkEnd w:id="38"/>
            <w:r w:rsidRPr="00982DBB">
              <w:rPr>
                <w:rFonts w:ascii="Arial" w:hAnsi="Arial" w:cs="Arial"/>
                <w:sz w:val="18"/>
                <w:szCs w:val="18"/>
                <w:lang w:val="el-GR"/>
              </w:rPr>
              <w:t xml:space="preserve">και ‘αναβαλλόμενου εισπρακτέου τιμήματος πώλησης’ το οποίο περιλαμβάνεται στα ‘λοιπά περιουσιακά στοιχεία’, και επενδύσεων (με εξαίρεση τις μετοχές, τα αμοιβαία κεφάλαια και άλλες μη-τοκοφόρες επενδύσεις). </w:t>
            </w:r>
          </w:p>
          <w:p w14:paraId="548A1386" w14:textId="77777777" w:rsidR="00982DBB" w:rsidRPr="00982DBB" w:rsidRDefault="00982DBB" w:rsidP="00982DBB">
            <w:pPr>
              <w:pStyle w:val="FootnoteText"/>
              <w:jc w:val="both"/>
              <w:rPr>
                <w:rFonts w:ascii="Arial" w:hAnsi="Arial" w:cs="Arial"/>
                <w:sz w:val="18"/>
                <w:szCs w:val="18"/>
                <w:lang w:val="el-GR"/>
              </w:rPr>
            </w:pPr>
          </w:p>
        </w:tc>
      </w:tr>
      <w:tr w:rsidR="00982DBB" w:rsidRPr="00CF1753" w14:paraId="2F00E410" w14:textId="77777777" w:rsidTr="00715401">
        <w:trPr>
          <w:gridAfter w:val="1"/>
          <w:wAfter w:w="98" w:type="dxa"/>
        </w:trPr>
        <w:tc>
          <w:tcPr>
            <w:tcW w:w="3233" w:type="dxa"/>
          </w:tcPr>
          <w:p w14:paraId="53B63C24" w14:textId="77777777" w:rsidR="00982DBB" w:rsidRPr="00982DBB" w:rsidRDefault="00982DBB" w:rsidP="00982DBB">
            <w:pPr>
              <w:pStyle w:val="FootnoteText"/>
              <w:rPr>
                <w:rFonts w:ascii="Arial" w:hAnsi="Arial" w:cs="Arial"/>
                <w:sz w:val="18"/>
                <w:szCs w:val="18"/>
                <w:lang w:val="el-GR"/>
              </w:rPr>
            </w:pPr>
          </w:p>
        </w:tc>
        <w:tc>
          <w:tcPr>
            <w:tcW w:w="6350" w:type="dxa"/>
            <w:gridSpan w:val="3"/>
          </w:tcPr>
          <w:p w14:paraId="112E0EF7" w14:textId="77777777" w:rsidR="00982DBB" w:rsidRPr="00982DBB" w:rsidRDefault="00982DBB" w:rsidP="00982DBB">
            <w:pPr>
              <w:pStyle w:val="FootnoteText"/>
              <w:jc w:val="both"/>
              <w:rPr>
                <w:rFonts w:ascii="Arial" w:hAnsi="Arial" w:cs="Arial"/>
                <w:sz w:val="18"/>
                <w:szCs w:val="18"/>
                <w:lang w:val="el-GR"/>
              </w:rPr>
            </w:pPr>
          </w:p>
        </w:tc>
      </w:tr>
      <w:tr w:rsidR="00982DBB" w:rsidRPr="00CF1753" w14:paraId="00728449" w14:textId="77777777" w:rsidTr="00715401">
        <w:trPr>
          <w:gridAfter w:val="1"/>
          <w:wAfter w:w="98" w:type="dxa"/>
        </w:trPr>
        <w:tc>
          <w:tcPr>
            <w:tcW w:w="3233" w:type="dxa"/>
          </w:tcPr>
          <w:p w14:paraId="36BFC35E" w14:textId="77777777" w:rsidR="00982DBB" w:rsidRPr="00982DBB" w:rsidRDefault="00982DBB" w:rsidP="00982DBB">
            <w:pPr>
              <w:pStyle w:val="FootnoteText"/>
              <w:spacing w:after="240"/>
              <w:rPr>
                <w:rFonts w:ascii="Arial" w:hAnsi="Arial" w:cs="Arial"/>
                <w:sz w:val="18"/>
                <w:szCs w:val="18"/>
                <w:lang w:val="el-GR"/>
              </w:rPr>
            </w:pPr>
            <w:r w:rsidRPr="00982DBB">
              <w:rPr>
                <w:rFonts w:ascii="Arial" w:hAnsi="Arial" w:cs="Arial"/>
                <w:sz w:val="18"/>
                <w:szCs w:val="18"/>
                <w:lang w:val="el-GR"/>
              </w:rPr>
              <w:t>Μεταβατικές διατάξεις για το αποθεματικό ασφαλείας διατήρησης κεφαλαίου (</w:t>
            </w:r>
            <w:r w:rsidRPr="00982DBB">
              <w:rPr>
                <w:rFonts w:ascii="Arial" w:hAnsi="Arial" w:cs="Arial"/>
                <w:sz w:val="18"/>
                <w:szCs w:val="18"/>
              </w:rPr>
              <w:t>CCB</w:t>
            </w:r>
            <w:r w:rsidRPr="00982DBB">
              <w:rPr>
                <w:rFonts w:ascii="Arial" w:hAnsi="Arial" w:cs="Arial"/>
                <w:sz w:val="18"/>
                <w:szCs w:val="18"/>
                <w:lang w:val="el-GR"/>
              </w:rPr>
              <w:t>)</w:t>
            </w:r>
          </w:p>
        </w:tc>
        <w:tc>
          <w:tcPr>
            <w:tcW w:w="6350" w:type="dxa"/>
            <w:gridSpan w:val="3"/>
          </w:tcPr>
          <w:p w14:paraId="75B6CA0E" w14:textId="77777777" w:rsidR="00982DBB" w:rsidRPr="00982DBB" w:rsidRDefault="00982DBB" w:rsidP="00982DBB">
            <w:pPr>
              <w:pStyle w:val="FootnoteText"/>
              <w:jc w:val="both"/>
              <w:rPr>
                <w:rFonts w:ascii="Arial" w:hAnsi="Arial" w:cs="Arial"/>
                <w:sz w:val="18"/>
                <w:szCs w:val="18"/>
                <w:lang w:val="el-GR"/>
              </w:rPr>
            </w:pPr>
            <w:r w:rsidRPr="00982DBB">
              <w:rPr>
                <w:rFonts w:ascii="Arial" w:hAnsi="Arial" w:cs="Arial"/>
                <w:sz w:val="18"/>
                <w:szCs w:val="18"/>
                <w:lang w:val="el-GR"/>
              </w:rPr>
              <w:t>Σύμφωνα με την Κυπριακή νομοθεσία η οποία έχει ορισθεί για όλα τα πιστωτικά ιδρύματα, το αποθεματικό ασφαλείας διατήρησης κεφαλαίου ανέρχεται σε 1.25% για το 2017, 1.875% για το 2018 και 2.5% για το 2019 (σε πλήρη ισχύ).</w:t>
            </w:r>
          </w:p>
        </w:tc>
      </w:tr>
      <w:tr w:rsidR="00982DBB" w:rsidRPr="00CF1753" w14:paraId="0871E2FC" w14:textId="77777777" w:rsidTr="00715401">
        <w:trPr>
          <w:gridAfter w:val="1"/>
          <w:wAfter w:w="98" w:type="dxa"/>
        </w:trPr>
        <w:tc>
          <w:tcPr>
            <w:tcW w:w="3233" w:type="dxa"/>
          </w:tcPr>
          <w:p w14:paraId="66982778" w14:textId="77777777" w:rsidR="00982DBB" w:rsidRPr="00982DBB" w:rsidRDefault="00982DBB" w:rsidP="00982DBB">
            <w:pPr>
              <w:pStyle w:val="FootnoteText"/>
              <w:rPr>
                <w:rFonts w:ascii="Arial" w:hAnsi="Arial" w:cs="Arial"/>
                <w:sz w:val="18"/>
                <w:szCs w:val="18"/>
                <w:lang w:val="el-GR"/>
              </w:rPr>
            </w:pPr>
          </w:p>
        </w:tc>
        <w:tc>
          <w:tcPr>
            <w:tcW w:w="6350" w:type="dxa"/>
            <w:gridSpan w:val="3"/>
          </w:tcPr>
          <w:p w14:paraId="762F1CD4" w14:textId="77777777" w:rsidR="00982DBB" w:rsidRPr="00982DBB" w:rsidRDefault="00982DBB" w:rsidP="00982DBB">
            <w:pPr>
              <w:pStyle w:val="FootnoteText"/>
              <w:jc w:val="both"/>
              <w:rPr>
                <w:rFonts w:ascii="Arial" w:hAnsi="Arial" w:cs="Arial"/>
                <w:sz w:val="18"/>
                <w:szCs w:val="18"/>
                <w:lang w:val="el-GR"/>
              </w:rPr>
            </w:pPr>
          </w:p>
        </w:tc>
      </w:tr>
      <w:tr w:rsidR="00982DBB" w:rsidRPr="00CF1753" w14:paraId="00C6A267" w14:textId="77777777" w:rsidTr="00715401">
        <w:trPr>
          <w:gridAfter w:val="2"/>
          <w:wAfter w:w="195" w:type="dxa"/>
        </w:trPr>
        <w:tc>
          <w:tcPr>
            <w:tcW w:w="3233" w:type="dxa"/>
          </w:tcPr>
          <w:p w14:paraId="7A5F7C45" w14:textId="77777777" w:rsidR="00982DBB" w:rsidRPr="00982DBB" w:rsidRDefault="00982DBB" w:rsidP="00982DBB">
            <w:pPr>
              <w:pStyle w:val="FootnoteText"/>
              <w:rPr>
                <w:rFonts w:ascii="Arial" w:hAnsi="Arial" w:cs="Arial"/>
                <w:sz w:val="18"/>
                <w:szCs w:val="18"/>
                <w:lang w:val="el-GR"/>
              </w:rPr>
            </w:pPr>
          </w:p>
        </w:tc>
        <w:tc>
          <w:tcPr>
            <w:tcW w:w="6253" w:type="dxa"/>
            <w:gridSpan w:val="2"/>
          </w:tcPr>
          <w:p w14:paraId="3C2F61C5" w14:textId="77777777" w:rsidR="00982DBB" w:rsidRPr="00982DBB" w:rsidRDefault="00982DBB" w:rsidP="00982DBB">
            <w:pPr>
              <w:pStyle w:val="FootnoteText"/>
              <w:jc w:val="both"/>
              <w:rPr>
                <w:rFonts w:ascii="Arial" w:hAnsi="Arial" w:cs="Arial"/>
                <w:sz w:val="18"/>
                <w:szCs w:val="18"/>
                <w:lang w:val="el-GR"/>
              </w:rPr>
            </w:pPr>
          </w:p>
        </w:tc>
      </w:tr>
      <w:tr w:rsidR="00982DBB" w:rsidRPr="00CF1753" w14:paraId="5938AE57" w14:textId="77777777" w:rsidTr="00715401">
        <w:trPr>
          <w:gridAfter w:val="2"/>
          <w:wAfter w:w="195" w:type="dxa"/>
          <w:trHeight w:val="142"/>
        </w:trPr>
        <w:tc>
          <w:tcPr>
            <w:tcW w:w="3233" w:type="dxa"/>
          </w:tcPr>
          <w:p w14:paraId="5F51091B" w14:textId="264B2DE0" w:rsidR="00982DBB" w:rsidRPr="00982DBB" w:rsidRDefault="00982DBB" w:rsidP="00982DBB">
            <w:pPr>
              <w:pStyle w:val="FootnoteText"/>
              <w:rPr>
                <w:rFonts w:ascii="Arial" w:hAnsi="Arial" w:cs="Arial"/>
                <w:sz w:val="18"/>
                <w:szCs w:val="18"/>
                <w:lang w:val="el-GR"/>
              </w:rPr>
            </w:pPr>
            <w:r w:rsidRPr="00982DBB">
              <w:rPr>
                <w:rFonts w:ascii="Arial" w:hAnsi="Arial" w:cs="Arial"/>
                <w:sz w:val="18"/>
                <w:szCs w:val="18"/>
              </w:rPr>
              <w:t>M</w:t>
            </w:r>
            <w:r w:rsidRPr="00982DBB">
              <w:rPr>
                <w:rFonts w:ascii="Arial" w:hAnsi="Arial" w:cs="Arial"/>
                <w:sz w:val="18"/>
                <w:szCs w:val="18"/>
                <w:lang w:val="el-GR"/>
              </w:rPr>
              <w:t xml:space="preserve">η εξυπηρετούμενα δάνεια (ΜΕΔ) </w:t>
            </w:r>
          </w:p>
        </w:tc>
        <w:tc>
          <w:tcPr>
            <w:tcW w:w="6253" w:type="dxa"/>
            <w:gridSpan w:val="2"/>
          </w:tcPr>
          <w:p w14:paraId="42D739C9" w14:textId="77777777" w:rsidR="00982DBB" w:rsidRPr="00982DBB" w:rsidRDefault="00982DBB" w:rsidP="00982DBB">
            <w:pPr>
              <w:jc w:val="both"/>
              <w:rPr>
                <w:rFonts w:ascii="Arial" w:hAnsi="Arial" w:cs="Arial"/>
                <w:sz w:val="18"/>
                <w:szCs w:val="18"/>
                <w:lang w:val="el-GR"/>
              </w:rPr>
            </w:pPr>
            <w:r w:rsidRPr="00982DBB">
              <w:rPr>
                <w:rFonts w:ascii="Arial" w:hAnsi="Arial" w:cs="Arial"/>
                <w:sz w:val="18"/>
                <w:szCs w:val="18"/>
                <w:lang w:val="el-GR"/>
              </w:rPr>
              <w:t>Με βάση τα πρότυπα αναφοράς της Ευρωπαϊκής Αρχής Τραπεζών (ΕΑΤ) και τις κατευθυντήριες γραμμές της Ευρωπαϊκής Κεντρικής Τράπεζας (ΕΚΤ) προς τις τράπεζες για τα Μη Εξυπηρετούμενα Δάνεια (που δημοσιεύθηκε τον Μάρτιο 2017), Μη Εξυπηρετούμενα Δάνεια (ΜΕΔ) ορίζονται τα ανοίγματα τα οποία ικανοποιούν ένα από τους πιο κάτω όρους:</w:t>
            </w:r>
          </w:p>
          <w:p w14:paraId="55D0A551" w14:textId="79A02394" w:rsidR="00982DBB" w:rsidRPr="00982DBB" w:rsidRDefault="00982DBB" w:rsidP="00982DBB">
            <w:pPr>
              <w:ind w:left="885" w:hanging="425"/>
              <w:jc w:val="both"/>
              <w:rPr>
                <w:rFonts w:ascii="Arial" w:hAnsi="Arial" w:cs="Arial"/>
                <w:sz w:val="18"/>
                <w:szCs w:val="18"/>
                <w:lang w:val="el-GR"/>
              </w:rPr>
            </w:pPr>
            <w:r w:rsidRPr="00982DBB">
              <w:rPr>
                <w:rFonts w:ascii="Arial" w:hAnsi="Arial" w:cs="Arial"/>
                <w:sz w:val="18"/>
                <w:szCs w:val="18"/>
                <w:lang w:val="el-GR"/>
              </w:rPr>
              <w:t>(i)      Ο δανειολήπτης έχει αξιολογηθεί ότι δεν είναι πιθανό να εκπληρώσει πλήρως τις πιστωτικές του υποχρεώσεις χωρίς την εκποίηση της εξασφάλισής του, ανεξάρτητα από την ύπαρξη τυχόν ληξιπρόθεσμων οφειλών ή τον αριθμό των ημερών σε καθυστέρηση.</w:t>
            </w:r>
          </w:p>
          <w:p w14:paraId="4062F156" w14:textId="150E8D0B" w:rsidR="00982DBB" w:rsidRPr="00982DBB" w:rsidRDefault="00982DBB" w:rsidP="00982DBB">
            <w:pPr>
              <w:ind w:left="885" w:hanging="425"/>
              <w:jc w:val="both"/>
              <w:rPr>
                <w:rFonts w:ascii="Arial" w:hAnsi="Arial" w:cs="Arial"/>
                <w:sz w:val="18"/>
                <w:szCs w:val="18"/>
                <w:lang w:val="el-GR"/>
              </w:rPr>
            </w:pPr>
            <w:r w:rsidRPr="00982DBB">
              <w:rPr>
                <w:rFonts w:ascii="Arial" w:hAnsi="Arial" w:cs="Arial"/>
                <w:sz w:val="18"/>
                <w:szCs w:val="18"/>
                <w:lang w:val="el-GR"/>
              </w:rPr>
              <w:t>(ii)  Δάνεια σε αθέτηση ή απομειωμένα δάνεια σύμφωνα με την προσέγγιση που προβλέπεται από τον Κανονισμό Κεφαλαιακών Απαιτήσεων (CRR), τα οποία θα προκαλούσαν επίσης αθέτηση υποχρέωσης βάσει συγκεκριμένης πιστωτικής προσαρμογής, μείωση της χρηματοοικονομικής υποχρέωσης και πτώχευση του οφειλέτη.</w:t>
            </w:r>
          </w:p>
          <w:p w14:paraId="2ED15313" w14:textId="08F18A91" w:rsidR="00982DBB" w:rsidRPr="00982DBB" w:rsidRDefault="00982DBB" w:rsidP="00982DBB">
            <w:pPr>
              <w:ind w:left="885" w:hanging="425"/>
              <w:jc w:val="both"/>
              <w:rPr>
                <w:rFonts w:ascii="Arial" w:hAnsi="Arial" w:cs="Arial"/>
                <w:sz w:val="18"/>
                <w:szCs w:val="18"/>
                <w:lang w:val="el-GR"/>
              </w:rPr>
            </w:pPr>
            <w:r w:rsidRPr="00982DBB">
              <w:rPr>
                <w:rFonts w:ascii="Arial" w:hAnsi="Arial" w:cs="Arial"/>
                <w:sz w:val="18"/>
                <w:szCs w:val="18"/>
                <w:lang w:val="el-GR"/>
              </w:rPr>
              <w:t>(iii)  Σημαντικά ανοίγματα όπως καθορίζονται από την ΚΤΚ, τα οποία παρουσιάζουν ληξιπρόθεσμες οφειλές πάνω από 90 μέρες.</w:t>
            </w:r>
          </w:p>
          <w:p w14:paraId="2F6CC9C8" w14:textId="5FE34BAF" w:rsidR="00982DBB" w:rsidRPr="00982DBB" w:rsidRDefault="00982DBB" w:rsidP="00982DBB">
            <w:pPr>
              <w:ind w:left="885" w:hanging="425"/>
              <w:jc w:val="both"/>
              <w:rPr>
                <w:rFonts w:ascii="Arial" w:hAnsi="Arial" w:cs="Arial"/>
                <w:sz w:val="18"/>
                <w:szCs w:val="18"/>
                <w:lang w:val="el-GR"/>
              </w:rPr>
            </w:pPr>
            <w:r w:rsidRPr="00982DBB">
              <w:rPr>
                <w:rFonts w:ascii="Arial" w:hAnsi="Arial" w:cs="Arial"/>
                <w:sz w:val="18"/>
                <w:szCs w:val="18"/>
                <w:lang w:val="el-GR"/>
              </w:rPr>
              <w:t>(iv)  Εξυπηρετούμενα, ρυθμισμένα δάνεια υπό επίβλεψη για τα οποία έγιναν επιπρόσθετες ρυθμίσεις.</w:t>
            </w:r>
          </w:p>
          <w:p w14:paraId="174D5F0B" w14:textId="56A14861" w:rsidR="00982DBB" w:rsidRDefault="00982DBB" w:rsidP="00982DBB">
            <w:pPr>
              <w:ind w:left="885" w:hanging="425"/>
              <w:jc w:val="both"/>
              <w:rPr>
                <w:rFonts w:ascii="Arial" w:hAnsi="Arial" w:cs="Arial"/>
                <w:sz w:val="18"/>
                <w:szCs w:val="18"/>
                <w:lang w:val="el-GR"/>
              </w:rPr>
            </w:pPr>
            <w:r w:rsidRPr="00982DBB">
              <w:rPr>
                <w:rFonts w:ascii="Arial" w:hAnsi="Arial" w:cs="Arial"/>
                <w:sz w:val="18"/>
                <w:szCs w:val="18"/>
                <w:lang w:val="el-GR"/>
              </w:rPr>
              <w:t>(v)  Εξυπηρετούμενα, ρυθμισμένα δάνεια που είχαν προηγουμένως ταξινομηθεί ως ΜΕΔ τα οποία παρουσιάζουν ληξιπρόθεσμες οφειλές πάνω από 30 μέρες εντός της περιόδου επίβλεψης.</w:t>
            </w:r>
          </w:p>
          <w:p w14:paraId="39A098F2" w14:textId="77777777" w:rsidR="00715401" w:rsidRDefault="00715401" w:rsidP="00982DBB">
            <w:pPr>
              <w:ind w:left="885" w:hanging="425"/>
              <w:jc w:val="both"/>
              <w:rPr>
                <w:rFonts w:ascii="Arial" w:hAnsi="Arial" w:cs="Arial"/>
                <w:sz w:val="18"/>
                <w:szCs w:val="18"/>
                <w:lang w:val="el-GR"/>
              </w:rPr>
            </w:pPr>
          </w:p>
          <w:p w14:paraId="183CBB88" w14:textId="77777777" w:rsidR="00715401" w:rsidRPr="00982DBB" w:rsidRDefault="00715401" w:rsidP="00715401">
            <w:pPr>
              <w:pStyle w:val="FootnoteText"/>
              <w:jc w:val="both"/>
              <w:rPr>
                <w:rFonts w:ascii="Arial" w:hAnsi="Arial" w:cs="Arial"/>
                <w:sz w:val="18"/>
                <w:szCs w:val="18"/>
                <w:lang w:val="el-GR"/>
              </w:rPr>
            </w:pPr>
            <w:r w:rsidRPr="00982DBB">
              <w:rPr>
                <w:rFonts w:ascii="Arial" w:hAnsi="Arial" w:cs="Arial"/>
                <w:sz w:val="18"/>
                <w:szCs w:val="18"/>
                <w:lang w:val="el-GR"/>
              </w:rPr>
              <w:t>Από 1 Ιανουαρίου 2021 εφαρμόζονται δύο νέες εποπτικές κατευθυντήριες γραμμές οι οποίες επηρεάζουν την ταξινόμηση των ΜΕΔ και τον υπολογισμό των ημερών σε καθυστέρηση. Συγκεκριμένα, αυτές οι οδηγίες αφορούν τα ρυθμιστικά τεχνικά πρότυπα για το όριο σημαντικότητας για πιστωτικές υποχρεώσεις σε καθυστέρηση (EBA/RTS/2016/06) και τις  κατευθυντήριες γραμμές σε σχέση με την εφαρμογή του ορισμού της αθέτησης υποχρέωσης δυνάμει του άρθρου 178 (EBA/ RTS /2016/07).</w:t>
            </w:r>
          </w:p>
          <w:p w14:paraId="6CF3181C" w14:textId="77777777" w:rsidR="00715401" w:rsidRPr="00982DBB" w:rsidRDefault="00715401" w:rsidP="00715401">
            <w:pPr>
              <w:jc w:val="both"/>
              <w:rPr>
                <w:rFonts w:ascii="Arial" w:hAnsi="Arial" w:cs="Arial"/>
                <w:sz w:val="18"/>
                <w:szCs w:val="18"/>
                <w:lang w:val="el-GR"/>
              </w:rPr>
            </w:pPr>
          </w:p>
          <w:p w14:paraId="7D6187F6" w14:textId="77777777" w:rsidR="00982DBB" w:rsidRDefault="00715401" w:rsidP="00982DBB">
            <w:pPr>
              <w:jc w:val="both"/>
              <w:rPr>
                <w:rFonts w:ascii="Arial" w:hAnsi="Arial" w:cs="Arial"/>
                <w:sz w:val="18"/>
                <w:szCs w:val="18"/>
                <w:lang w:val="el-GR"/>
              </w:rPr>
            </w:pPr>
            <w:r w:rsidRPr="00982DBB">
              <w:rPr>
                <w:rFonts w:ascii="Arial" w:hAnsi="Arial" w:cs="Arial"/>
                <w:sz w:val="18"/>
                <w:szCs w:val="18"/>
                <w:lang w:val="el-GR"/>
              </w:rPr>
              <w:t>Βάσει του υπολογισμού των ημερών σε καθυστέρηση, οι ημέρες σε καθυστέρηση ξεκινούν να υπολογίζονται όταν οι καθυστερήσεις/υπερβάσεις του δανείου ξεπεράσουν το όριο σημαντικότητας (αντί από την πρώτη μέρα που το δάνειο παρουσιάζει καθυστέρηση/υπέρβαση). Επίσης, οι ημέρες σε καθυστέρηση θα μηδενίζονται όταν οι καθυστερήσεις/υπερβάσεις του δανείου μειωθούν κάτω από το όριο σημαντικότητας. Οι πληρωμές έναντι του δανείου που δεν μειώνουν τις καθυστερήσεις/υπερβάσεις πιο κάτω από το όριο σημαντικότητας, δεν θα επηρεάζουν τον υπολογισμό του αριθμού ημερών σε καθυστέρηση</w:t>
            </w:r>
            <w:r>
              <w:rPr>
                <w:rFonts w:ascii="Arial" w:hAnsi="Arial" w:cs="Arial"/>
                <w:sz w:val="18"/>
                <w:szCs w:val="18"/>
                <w:lang w:val="el-GR"/>
              </w:rPr>
              <w:t>.</w:t>
            </w:r>
          </w:p>
          <w:p w14:paraId="0CCDAC11" w14:textId="77777777" w:rsidR="00060097" w:rsidRDefault="00060097" w:rsidP="00982DBB">
            <w:pPr>
              <w:jc w:val="both"/>
              <w:rPr>
                <w:rFonts w:ascii="Arial" w:hAnsi="Arial" w:cs="Arial"/>
                <w:sz w:val="18"/>
                <w:szCs w:val="18"/>
                <w:lang w:val="el-GR"/>
              </w:rPr>
            </w:pPr>
          </w:p>
          <w:p w14:paraId="6A6DFF43" w14:textId="77777777" w:rsidR="00060097" w:rsidRDefault="00060097" w:rsidP="00982DBB">
            <w:pPr>
              <w:jc w:val="both"/>
              <w:rPr>
                <w:rFonts w:ascii="Arial" w:hAnsi="Arial" w:cs="Arial"/>
                <w:sz w:val="18"/>
                <w:szCs w:val="18"/>
                <w:lang w:val="el-GR"/>
              </w:rPr>
            </w:pPr>
          </w:p>
          <w:p w14:paraId="7B85DB3D" w14:textId="6FF443A0" w:rsidR="00060097" w:rsidRPr="00CF1753" w:rsidRDefault="00060097" w:rsidP="00982DBB">
            <w:pPr>
              <w:jc w:val="both"/>
              <w:rPr>
                <w:rFonts w:ascii="Arial" w:hAnsi="Arial" w:cs="Arial"/>
                <w:sz w:val="18"/>
                <w:szCs w:val="18"/>
                <w:lang w:val="el-GR"/>
              </w:rPr>
            </w:pPr>
          </w:p>
        </w:tc>
      </w:tr>
      <w:tr w:rsidR="00715401" w:rsidRPr="00CF1753" w14:paraId="63EE0F85" w14:textId="77777777" w:rsidTr="00715401">
        <w:trPr>
          <w:gridAfter w:val="1"/>
          <w:wAfter w:w="98" w:type="dxa"/>
          <w:trHeight w:val="426"/>
        </w:trPr>
        <w:tc>
          <w:tcPr>
            <w:tcW w:w="9583" w:type="dxa"/>
            <w:gridSpan w:val="4"/>
          </w:tcPr>
          <w:p w14:paraId="049BB150" w14:textId="3D886886" w:rsidR="00715401" w:rsidRPr="00715401" w:rsidRDefault="00715401" w:rsidP="00715401">
            <w:pPr>
              <w:jc w:val="both"/>
              <w:rPr>
                <w:rFonts w:ascii="Arial" w:hAnsi="Arial" w:cs="Arial"/>
                <w:bCs/>
                <w:color w:val="FF9900"/>
                <w:sz w:val="24"/>
                <w:szCs w:val="24"/>
                <w:lang w:val="el-GR"/>
              </w:rPr>
            </w:pPr>
            <w:r w:rsidRPr="00982DBB">
              <w:rPr>
                <w:rFonts w:ascii="Arial" w:hAnsi="Arial" w:cs="Arial"/>
                <w:b/>
                <w:color w:val="FF9900"/>
                <w:sz w:val="24"/>
                <w:szCs w:val="24"/>
                <w:lang w:val="el-GR"/>
              </w:rPr>
              <w:lastRenderedPageBreak/>
              <w:t>ΣΤ. Όροι και Επεξηγήσεις</w:t>
            </w:r>
            <w:r w:rsidRPr="00982DBB">
              <w:rPr>
                <w:rFonts w:ascii="Arial" w:hAnsi="Arial" w:cs="Arial"/>
                <w:bCs/>
                <w:color w:val="FF9900"/>
                <w:sz w:val="24"/>
                <w:szCs w:val="24"/>
                <w:lang w:val="el-GR"/>
              </w:rPr>
              <w:t xml:space="preserve"> (συνέχεια)</w:t>
            </w:r>
          </w:p>
        </w:tc>
      </w:tr>
      <w:tr w:rsidR="00982DBB" w:rsidRPr="00CF1753" w14:paraId="2A20B204" w14:textId="77777777" w:rsidTr="00715401">
        <w:trPr>
          <w:gridAfter w:val="1"/>
          <w:wAfter w:w="98" w:type="dxa"/>
          <w:trHeight w:val="832"/>
        </w:trPr>
        <w:tc>
          <w:tcPr>
            <w:tcW w:w="3233" w:type="dxa"/>
          </w:tcPr>
          <w:p w14:paraId="5DD68AA4" w14:textId="326DA955" w:rsidR="00982DBB" w:rsidRPr="00982DBB" w:rsidRDefault="00715401" w:rsidP="00982DBB">
            <w:pPr>
              <w:spacing w:after="240"/>
              <w:rPr>
                <w:rFonts w:ascii="Arial" w:hAnsi="Arial" w:cs="Arial"/>
                <w:sz w:val="18"/>
                <w:szCs w:val="18"/>
                <w:lang w:val="el-GR"/>
              </w:rPr>
            </w:pPr>
            <w:r w:rsidRPr="00982DBB">
              <w:rPr>
                <w:rFonts w:ascii="Arial" w:hAnsi="Arial" w:cs="Arial"/>
                <w:sz w:val="18"/>
                <w:szCs w:val="18"/>
              </w:rPr>
              <w:t>M</w:t>
            </w:r>
            <w:r w:rsidRPr="00982DBB">
              <w:rPr>
                <w:rFonts w:ascii="Arial" w:hAnsi="Arial" w:cs="Arial"/>
                <w:sz w:val="18"/>
                <w:szCs w:val="18"/>
                <w:lang w:val="el-GR"/>
              </w:rPr>
              <w:t>η εξυπηρετούμενα δάνεια (ΜΕΔ) (συνέχεια)</w:t>
            </w:r>
          </w:p>
        </w:tc>
        <w:tc>
          <w:tcPr>
            <w:tcW w:w="6350" w:type="dxa"/>
            <w:gridSpan w:val="3"/>
          </w:tcPr>
          <w:p w14:paraId="47A2FEF1" w14:textId="77777777" w:rsidR="00715401" w:rsidRPr="00982DBB" w:rsidRDefault="00715401" w:rsidP="00715401">
            <w:pPr>
              <w:jc w:val="both"/>
              <w:rPr>
                <w:rFonts w:ascii="Arial" w:hAnsi="Arial" w:cs="Arial"/>
                <w:sz w:val="18"/>
                <w:szCs w:val="18"/>
                <w:lang w:val="el-GR"/>
              </w:rPr>
            </w:pPr>
            <w:r w:rsidRPr="00982DBB">
              <w:rPr>
                <w:rFonts w:ascii="Arial" w:hAnsi="Arial" w:cs="Arial"/>
                <w:sz w:val="18"/>
                <w:szCs w:val="18"/>
                <w:lang w:val="el-GR"/>
              </w:rPr>
              <w:t>Για ιδιώτες οφειλέτες όταν ένα συγκεκριμένο μέρος των δανείων του οφειλέτη, το οποίο πληροί τα πιο πάνω κριτήρια των ΜΕΔ, υπερβαίνει το 20% της μεικτής λογιστικής αξίας όλων των εντός ισολογισμού δανείων του, τότε όλα τα δάνεια του οφειλέτη κατηγοριοποιούνται ως μη εξυπηρετούμενα. Σε αντίθετη περίπτωση, μόνο το συγκεκριμένο μέρος των δανείων κατηγοριοποιείται ως μη εξυπηρετούμενο. Για μη ιδιώτες οφειλέτες, όταν το άνοιγμα πληροί τα κριτήρια ΜΕΔ που αναφέρονται πιο πάνω, τότε το συνολικό άνοιγμα του πελάτη ταξινομείται ως μη εξυπηρετούμενο.</w:t>
            </w:r>
          </w:p>
          <w:p w14:paraId="531B4209" w14:textId="77777777" w:rsidR="00715401" w:rsidRPr="00982DBB" w:rsidRDefault="00715401" w:rsidP="00715401">
            <w:pPr>
              <w:jc w:val="both"/>
              <w:rPr>
                <w:rFonts w:ascii="Arial" w:hAnsi="Arial" w:cs="Arial"/>
                <w:sz w:val="18"/>
                <w:szCs w:val="18"/>
                <w:lang w:val="el-GR"/>
              </w:rPr>
            </w:pPr>
          </w:p>
          <w:p w14:paraId="57C12EFB" w14:textId="77777777" w:rsidR="00715401" w:rsidRPr="00982DBB" w:rsidRDefault="00715401" w:rsidP="00715401">
            <w:pPr>
              <w:jc w:val="both"/>
              <w:rPr>
                <w:rFonts w:ascii="Arial" w:hAnsi="Arial" w:cs="Arial"/>
                <w:sz w:val="18"/>
                <w:szCs w:val="18"/>
                <w:lang w:val="el-GR"/>
              </w:rPr>
            </w:pPr>
            <w:r w:rsidRPr="00982DBB">
              <w:rPr>
                <w:rFonts w:ascii="Arial" w:hAnsi="Arial" w:cs="Arial"/>
                <w:sz w:val="18"/>
                <w:szCs w:val="18"/>
                <w:lang w:val="el-GR"/>
              </w:rPr>
              <w:t xml:space="preserve">Σημαντικές καθυστερήσεις/υπερβάσεις ορίζονται ως εξής: (α) Έκθεση σε ιδιώτες: Συνολικές καθυστερήσεις/υπερβάσεις πάνω από €100, (β) Έκθεση σε μη ιδιώτες: Συνολικές καθυστερήσεις/υπερβάσεις πάνω από €500 και το ποσό σε καθυστέρηση/υπέρβαση να είναι τουλάχιστον 1% του συνολικού ποσού χρηματοδότησης του πελάτη. </w:t>
            </w:r>
          </w:p>
          <w:p w14:paraId="2934399D" w14:textId="77777777" w:rsidR="00715401" w:rsidRPr="00982DBB" w:rsidRDefault="00715401" w:rsidP="00715401">
            <w:pPr>
              <w:jc w:val="both"/>
              <w:rPr>
                <w:rFonts w:ascii="Arial" w:hAnsi="Arial" w:cs="Arial"/>
                <w:sz w:val="18"/>
                <w:szCs w:val="18"/>
                <w:lang w:val="el-GR"/>
              </w:rPr>
            </w:pPr>
          </w:p>
          <w:p w14:paraId="5392FB20" w14:textId="77777777" w:rsidR="00715401" w:rsidRPr="00982DBB" w:rsidRDefault="00715401" w:rsidP="00715401">
            <w:pPr>
              <w:jc w:val="both"/>
              <w:rPr>
                <w:rFonts w:ascii="Arial" w:hAnsi="Arial" w:cs="Arial"/>
                <w:sz w:val="18"/>
                <w:szCs w:val="18"/>
                <w:lang w:val="el-GR"/>
              </w:rPr>
            </w:pPr>
            <w:r w:rsidRPr="00982DBB">
              <w:rPr>
                <w:rFonts w:ascii="Arial" w:hAnsi="Arial" w:cs="Arial"/>
                <w:sz w:val="18"/>
                <w:szCs w:val="18"/>
                <w:lang w:val="el-GR"/>
              </w:rPr>
              <w:t>Τα ΜΕΔ αναφέρονται πριν από την αφαίρεση των συσσωρευμένων αναμενόμενων πιστωτικών ζημιών δανείων (όπως ορίζεται).</w:t>
            </w:r>
          </w:p>
          <w:p w14:paraId="3B7F9FC2" w14:textId="6C4A7B20" w:rsidR="00982DBB" w:rsidRPr="00982DBB" w:rsidRDefault="00982DBB" w:rsidP="00982DBB">
            <w:pPr>
              <w:jc w:val="both"/>
              <w:rPr>
                <w:rFonts w:ascii="Arial" w:hAnsi="Arial" w:cs="Arial"/>
                <w:sz w:val="18"/>
                <w:szCs w:val="18"/>
                <w:lang w:val="el-GR"/>
              </w:rPr>
            </w:pPr>
          </w:p>
        </w:tc>
      </w:tr>
      <w:tr w:rsidR="00715401" w:rsidRPr="00CF1753" w14:paraId="083F47A8" w14:textId="77777777" w:rsidTr="00715401">
        <w:trPr>
          <w:trHeight w:val="57"/>
        </w:trPr>
        <w:tc>
          <w:tcPr>
            <w:tcW w:w="3233" w:type="dxa"/>
          </w:tcPr>
          <w:p w14:paraId="4F57D096" w14:textId="77777777" w:rsidR="00715401" w:rsidRPr="00982DBB" w:rsidRDefault="00715401" w:rsidP="00715401">
            <w:pPr>
              <w:pStyle w:val="FootnoteText"/>
              <w:rPr>
                <w:rFonts w:ascii="Arial" w:hAnsi="Arial" w:cs="Arial"/>
                <w:sz w:val="18"/>
                <w:szCs w:val="18"/>
                <w:lang w:val="el-GR"/>
              </w:rPr>
            </w:pPr>
          </w:p>
        </w:tc>
        <w:tc>
          <w:tcPr>
            <w:tcW w:w="6448" w:type="dxa"/>
            <w:gridSpan w:val="4"/>
          </w:tcPr>
          <w:p w14:paraId="76E9F3EA" w14:textId="77777777" w:rsidR="00715401" w:rsidRPr="00982DBB" w:rsidRDefault="00715401" w:rsidP="00715401">
            <w:pPr>
              <w:pStyle w:val="FootnoteText"/>
              <w:rPr>
                <w:rFonts w:ascii="Arial" w:hAnsi="Arial" w:cs="Arial"/>
                <w:sz w:val="18"/>
                <w:szCs w:val="18"/>
                <w:lang w:val="el-GR"/>
              </w:rPr>
            </w:pPr>
          </w:p>
        </w:tc>
      </w:tr>
      <w:tr w:rsidR="00982DBB" w:rsidRPr="00CF1753" w14:paraId="44CB501C" w14:textId="77777777" w:rsidTr="00715401">
        <w:trPr>
          <w:trHeight w:val="832"/>
        </w:trPr>
        <w:tc>
          <w:tcPr>
            <w:tcW w:w="3233" w:type="dxa"/>
          </w:tcPr>
          <w:p w14:paraId="435A0371" w14:textId="77777777" w:rsidR="00982DBB" w:rsidRPr="00982DBB" w:rsidRDefault="00982DBB" w:rsidP="00982DBB">
            <w:pPr>
              <w:spacing w:after="240"/>
              <w:rPr>
                <w:rFonts w:ascii="Arial" w:hAnsi="Arial" w:cs="Arial"/>
                <w:sz w:val="18"/>
                <w:szCs w:val="18"/>
                <w:lang w:val="el-GR"/>
              </w:rPr>
            </w:pPr>
            <w:r w:rsidRPr="00982DBB">
              <w:rPr>
                <w:rFonts w:ascii="Arial" w:hAnsi="Arial" w:cs="Arial"/>
                <w:sz w:val="18"/>
                <w:szCs w:val="18"/>
                <w:lang w:val="el-GR"/>
              </w:rPr>
              <w:t>Μη</w:t>
            </w:r>
            <w:r w:rsidRPr="00982DBB">
              <w:rPr>
                <w:rFonts w:ascii="Arial" w:hAnsi="Arial" w:cs="Arial"/>
                <w:sz w:val="18"/>
                <w:szCs w:val="18"/>
              </w:rPr>
              <w:t xml:space="preserve"> </w:t>
            </w:r>
            <w:r w:rsidRPr="00982DBB">
              <w:rPr>
                <w:rFonts w:ascii="Arial" w:hAnsi="Arial" w:cs="Arial"/>
                <w:sz w:val="18"/>
                <w:szCs w:val="18"/>
                <w:lang w:val="el-GR"/>
              </w:rPr>
              <w:t>επαναλαμβανόμενα στοιχεία</w:t>
            </w:r>
          </w:p>
        </w:tc>
        <w:tc>
          <w:tcPr>
            <w:tcW w:w="6448" w:type="dxa"/>
            <w:gridSpan w:val="4"/>
          </w:tcPr>
          <w:p w14:paraId="125CE24D" w14:textId="05CB641E" w:rsidR="00982DBB" w:rsidRPr="00982DBB" w:rsidRDefault="00982DBB" w:rsidP="00982DBB">
            <w:pPr>
              <w:jc w:val="both"/>
              <w:rPr>
                <w:rFonts w:ascii="Arial" w:hAnsi="Arial" w:cs="Arial"/>
                <w:sz w:val="18"/>
                <w:szCs w:val="18"/>
                <w:lang w:val="el-GR"/>
              </w:rPr>
            </w:pPr>
            <w:r w:rsidRPr="00982DBB">
              <w:rPr>
                <w:rFonts w:ascii="Arial" w:hAnsi="Arial" w:cs="Arial"/>
                <w:sz w:val="18"/>
                <w:szCs w:val="18"/>
                <w:lang w:val="el-GR"/>
              </w:rPr>
              <w:t xml:space="preserve">Τα μη επαναλαμβανόμενα στοιχεία όπως παρουσιάζονται στη ‘Μη Ελεγμένη Ενδιάμεση Συνοπτική Ενοποιημένη Κατάσταση Λογαριασμού Αποτελεσμάτων – Υποκείμενη βάση’ αφορούν: Έξοδα συμβούλων και άλλα έξοδα μετασχηματισμού – οργανικά’. </w:t>
            </w:r>
          </w:p>
          <w:p w14:paraId="7446377B" w14:textId="77777777" w:rsidR="00982DBB" w:rsidRPr="00982DBB" w:rsidRDefault="00982DBB" w:rsidP="00982DBB">
            <w:pPr>
              <w:jc w:val="both"/>
              <w:rPr>
                <w:rFonts w:ascii="Arial" w:hAnsi="Arial" w:cs="Arial"/>
                <w:sz w:val="12"/>
                <w:szCs w:val="12"/>
                <w:lang w:val="el-GR"/>
              </w:rPr>
            </w:pPr>
          </w:p>
        </w:tc>
      </w:tr>
      <w:tr w:rsidR="00715401" w:rsidRPr="00CF1753" w14:paraId="73DFD107" w14:textId="77777777" w:rsidTr="00715401">
        <w:trPr>
          <w:trHeight w:val="57"/>
        </w:trPr>
        <w:tc>
          <w:tcPr>
            <w:tcW w:w="3233" w:type="dxa"/>
          </w:tcPr>
          <w:p w14:paraId="012A1EA7" w14:textId="77777777" w:rsidR="00715401" w:rsidRPr="00982DBB" w:rsidRDefault="00715401" w:rsidP="00715401">
            <w:pPr>
              <w:pStyle w:val="FootnoteText"/>
              <w:rPr>
                <w:rFonts w:ascii="Arial" w:hAnsi="Arial" w:cs="Arial"/>
                <w:sz w:val="18"/>
                <w:szCs w:val="18"/>
                <w:lang w:val="el-GR"/>
              </w:rPr>
            </w:pPr>
          </w:p>
        </w:tc>
        <w:tc>
          <w:tcPr>
            <w:tcW w:w="6448" w:type="dxa"/>
            <w:gridSpan w:val="4"/>
          </w:tcPr>
          <w:p w14:paraId="47E6949B" w14:textId="77777777" w:rsidR="00715401" w:rsidRPr="00982DBB" w:rsidRDefault="00715401" w:rsidP="00715401">
            <w:pPr>
              <w:pStyle w:val="FootnoteText"/>
              <w:rPr>
                <w:rFonts w:ascii="Arial" w:hAnsi="Arial" w:cs="Arial"/>
                <w:sz w:val="18"/>
                <w:szCs w:val="18"/>
                <w:lang w:val="el-GR"/>
              </w:rPr>
            </w:pPr>
          </w:p>
        </w:tc>
      </w:tr>
      <w:tr w:rsidR="00982DBB" w:rsidRPr="00CF1753" w14:paraId="330AFF4B" w14:textId="77777777" w:rsidTr="00715401">
        <w:trPr>
          <w:trHeight w:val="832"/>
        </w:trPr>
        <w:tc>
          <w:tcPr>
            <w:tcW w:w="3233" w:type="dxa"/>
          </w:tcPr>
          <w:p w14:paraId="46CD27B3" w14:textId="77777777" w:rsidR="00982DBB" w:rsidRPr="00982DBB" w:rsidRDefault="00982DBB" w:rsidP="00982DBB">
            <w:pPr>
              <w:spacing w:after="240"/>
              <w:rPr>
                <w:rFonts w:ascii="Arial" w:hAnsi="Arial" w:cs="Arial"/>
                <w:sz w:val="18"/>
                <w:szCs w:val="18"/>
                <w:lang w:val="el-GR"/>
              </w:rPr>
            </w:pPr>
            <w:r w:rsidRPr="00982DBB">
              <w:rPr>
                <w:rFonts w:ascii="Arial" w:hAnsi="Arial" w:cs="Arial"/>
                <w:sz w:val="18"/>
                <w:szCs w:val="18"/>
                <w:lang w:val="el-GR"/>
              </w:rPr>
              <w:t>Mη επιτοκιακά έσοδα</w:t>
            </w:r>
          </w:p>
        </w:tc>
        <w:tc>
          <w:tcPr>
            <w:tcW w:w="6448" w:type="dxa"/>
            <w:gridSpan w:val="4"/>
          </w:tcPr>
          <w:p w14:paraId="4778DC96" w14:textId="66CC7C2F" w:rsidR="00982DBB" w:rsidRPr="00982DBB" w:rsidRDefault="00982DBB" w:rsidP="00982DBB">
            <w:pPr>
              <w:jc w:val="both"/>
              <w:rPr>
                <w:rFonts w:ascii="Arial" w:hAnsi="Arial" w:cs="Arial"/>
                <w:sz w:val="18"/>
                <w:szCs w:val="18"/>
                <w:lang w:val="el-GR"/>
              </w:rPr>
            </w:pPr>
            <w:r w:rsidRPr="00982DBB">
              <w:rPr>
                <w:rFonts w:ascii="Arial" w:hAnsi="Arial" w:cs="Arial"/>
                <w:sz w:val="18"/>
                <w:szCs w:val="18"/>
                <w:lang w:val="el-GR"/>
              </w:rPr>
              <w:t>Τα μη επιτοκιακά έσοδα αποτελούνται από Καθαρά έσοδα από δικαιώματα και προμήθειες, Καθαρά κέρδη/(ζημιές) από διαπραγμάτευση συναλλάγματος και καθαρά κέρδη από συναλλαγές με χρηματοοικονομικά μέσα (με εξαίρεση τα καθαρά κέρδη από δάνεια και απαιτήσεις από πελάτες σε εύλογη αξία μέσω των αποτελεσμάτων), Καθαρό αποτέλεσμα από ασφαλιστικές εργασίες, Καθαρά κέρδη/(ζημιές) από επανεκτίμηση και πώληση επενδύσεων σε ακίνητα και από πώληση αποθεμάτων ακινήτων, και Λοιπά έσοδα.</w:t>
            </w:r>
          </w:p>
          <w:p w14:paraId="02B3492D" w14:textId="77777777" w:rsidR="00982DBB" w:rsidRPr="00982DBB" w:rsidRDefault="00982DBB" w:rsidP="00982DBB">
            <w:pPr>
              <w:jc w:val="both"/>
              <w:rPr>
                <w:rFonts w:ascii="Arial" w:hAnsi="Arial" w:cs="Arial"/>
                <w:sz w:val="18"/>
                <w:szCs w:val="18"/>
                <w:lang w:val="el-GR"/>
              </w:rPr>
            </w:pPr>
          </w:p>
        </w:tc>
      </w:tr>
      <w:tr w:rsidR="00715401" w:rsidRPr="00CF1753" w14:paraId="38149E1A" w14:textId="77777777" w:rsidTr="00715401">
        <w:trPr>
          <w:trHeight w:val="57"/>
        </w:trPr>
        <w:tc>
          <w:tcPr>
            <w:tcW w:w="3233" w:type="dxa"/>
          </w:tcPr>
          <w:p w14:paraId="6BE2DE2E" w14:textId="77777777" w:rsidR="00715401" w:rsidRPr="00982DBB" w:rsidRDefault="00715401" w:rsidP="00715401">
            <w:pPr>
              <w:pStyle w:val="FootnoteText"/>
              <w:rPr>
                <w:rFonts w:ascii="Arial" w:hAnsi="Arial" w:cs="Arial"/>
                <w:sz w:val="18"/>
                <w:szCs w:val="18"/>
                <w:lang w:val="el-GR"/>
              </w:rPr>
            </w:pPr>
          </w:p>
        </w:tc>
        <w:tc>
          <w:tcPr>
            <w:tcW w:w="6448" w:type="dxa"/>
            <w:gridSpan w:val="4"/>
          </w:tcPr>
          <w:p w14:paraId="79727C39" w14:textId="77777777" w:rsidR="00715401" w:rsidRPr="00982DBB" w:rsidRDefault="00715401" w:rsidP="00715401">
            <w:pPr>
              <w:pStyle w:val="FootnoteText"/>
              <w:rPr>
                <w:rFonts w:ascii="Arial" w:hAnsi="Arial" w:cs="Arial"/>
                <w:sz w:val="18"/>
                <w:szCs w:val="18"/>
                <w:lang w:val="el-GR"/>
              </w:rPr>
            </w:pPr>
          </w:p>
        </w:tc>
      </w:tr>
      <w:tr w:rsidR="00982DBB" w:rsidRPr="00CF1753" w14:paraId="6CE6C316" w14:textId="77777777" w:rsidTr="00715401">
        <w:trPr>
          <w:trHeight w:val="832"/>
        </w:trPr>
        <w:tc>
          <w:tcPr>
            <w:tcW w:w="3233" w:type="dxa"/>
          </w:tcPr>
          <w:p w14:paraId="47F09FB6" w14:textId="77777777" w:rsidR="00982DBB" w:rsidRPr="00982DBB" w:rsidRDefault="00982DBB" w:rsidP="00982DBB">
            <w:pPr>
              <w:spacing w:after="240"/>
              <w:rPr>
                <w:rFonts w:ascii="Arial" w:hAnsi="Arial" w:cs="Arial"/>
                <w:sz w:val="18"/>
                <w:szCs w:val="18"/>
                <w:lang w:val="el-GR"/>
              </w:rPr>
            </w:pPr>
            <w:r w:rsidRPr="00982DBB">
              <w:rPr>
                <w:rFonts w:ascii="Arial" w:hAnsi="Arial" w:cs="Arial"/>
                <w:sz w:val="18"/>
                <w:szCs w:val="18"/>
                <w:lang w:val="el-GR"/>
              </w:rPr>
              <w:t>Νέος δανεισμός</w:t>
            </w:r>
          </w:p>
        </w:tc>
        <w:tc>
          <w:tcPr>
            <w:tcW w:w="6448" w:type="dxa"/>
            <w:gridSpan w:val="4"/>
          </w:tcPr>
          <w:p w14:paraId="752BF430" w14:textId="77777777" w:rsidR="00982DBB" w:rsidRPr="00982DBB" w:rsidRDefault="00982DBB" w:rsidP="00982DBB">
            <w:pPr>
              <w:jc w:val="both"/>
              <w:rPr>
                <w:rFonts w:ascii="Arial" w:hAnsi="Arial" w:cs="Arial"/>
                <w:sz w:val="18"/>
                <w:szCs w:val="18"/>
                <w:lang w:val="el-GR"/>
              </w:rPr>
            </w:pPr>
            <w:r w:rsidRPr="00982DBB">
              <w:rPr>
                <w:rFonts w:ascii="Arial" w:hAnsi="Arial" w:cs="Arial"/>
                <w:sz w:val="18"/>
                <w:szCs w:val="18"/>
                <w:lang w:val="el-GR"/>
              </w:rPr>
              <w:t>Ο νέος δανεισμός περιλαμβάνει ποσά που έχουν εκταμιευθεί για νέες και υφιστάμενες μη-ανακυκλούμενες διευκολύνσεις (εξαιρουμένων των ρυθμίσεων ή την εκ νέου διαπραγμάτευση των λογαριασμών (αναδιαρθρώσεων)) καθώς επίσης όσον αφορά τους τρεχούμενους λογαριασμούς και τα παρατραβήγματα περιλαμβάνει τη μέση μεταβολή (εάν είναι θετική) του υπολοίπου στην αρχή και στο τέλος της περιόδου. Οι διευκολύνσεις του τομέα ‘Ανακτήσεις Χρεών’ εξαιρούνται από τον υπολογισμό αφού η μεταβολή στους τρεχούμενους λογαριασμούς και τα παρατραβήγματα σχετίζεται κυρίως με τους δεδουλευμένους τόκους και όχι με νέο δανεισμό.</w:t>
            </w:r>
          </w:p>
          <w:p w14:paraId="3243C4EF" w14:textId="77777777" w:rsidR="00982DBB" w:rsidRPr="00982DBB" w:rsidRDefault="00982DBB" w:rsidP="00982DBB">
            <w:pPr>
              <w:jc w:val="both"/>
              <w:rPr>
                <w:rFonts w:ascii="Arial" w:hAnsi="Arial" w:cs="Arial"/>
                <w:sz w:val="18"/>
                <w:szCs w:val="18"/>
                <w:lang w:val="el-GR"/>
              </w:rPr>
            </w:pPr>
          </w:p>
        </w:tc>
      </w:tr>
      <w:tr w:rsidR="00715401" w:rsidRPr="00CF1753" w14:paraId="447081B4" w14:textId="77777777" w:rsidTr="00715401">
        <w:tc>
          <w:tcPr>
            <w:tcW w:w="3233" w:type="dxa"/>
          </w:tcPr>
          <w:p w14:paraId="2D5CFD12" w14:textId="77777777" w:rsidR="00715401" w:rsidRPr="00982DBB" w:rsidRDefault="00715401" w:rsidP="00715401">
            <w:pPr>
              <w:pStyle w:val="FootnoteText"/>
              <w:rPr>
                <w:rFonts w:ascii="Arial" w:hAnsi="Arial" w:cs="Arial"/>
                <w:sz w:val="18"/>
                <w:szCs w:val="18"/>
                <w:lang w:val="el-GR"/>
              </w:rPr>
            </w:pPr>
          </w:p>
        </w:tc>
        <w:tc>
          <w:tcPr>
            <w:tcW w:w="6448" w:type="dxa"/>
            <w:gridSpan w:val="4"/>
          </w:tcPr>
          <w:p w14:paraId="636568C0" w14:textId="77777777" w:rsidR="00715401" w:rsidRPr="00982DBB" w:rsidRDefault="00715401" w:rsidP="00715401">
            <w:pPr>
              <w:pStyle w:val="FootnoteText"/>
              <w:jc w:val="both"/>
              <w:rPr>
                <w:rFonts w:ascii="Arial" w:hAnsi="Arial" w:cs="Arial"/>
                <w:sz w:val="18"/>
                <w:szCs w:val="18"/>
                <w:lang w:val="el-GR"/>
              </w:rPr>
            </w:pPr>
          </w:p>
        </w:tc>
      </w:tr>
      <w:tr w:rsidR="00982DBB" w:rsidRPr="00CF1753" w14:paraId="2C54ACF3" w14:textId="77777777" w:rsidTr="00715401">
        <w:tc>
          <w:tcPr>
            <w:tcW w:w="3233" w:type="dxa"/>
          </w:tcPr>
          <w:p w14:paraId="5C009959" w14:textId="7EC6552E" w:rsidR="00982DBB" w:rsidRPr="00982DBB" w:rsidRDefault="00982DBB" w:rsidP="00982DBB">
            <w:pPr>
              <w:pStyle w:val="FootnoteText"/>
              <w:spacing w:after="120"/>
              <w:rPr>
                <w:rFonts w:ascii="Arial" w:hAnsi="Arial" w:cs="Arial"/>
                <w:sz w:val="18"/>
                <w:szCs w:val="18"/>
                <w:lang w:val="el-GR"/>
              </w:rPr>
            </w:pPr>
            <w:r w:rsidRPr="00982DBB">
              <w:rPr>
                <w:rFonts w:ascii="Arial" w:hAnsi="Arial" w:cs="Arial"/>
                <w:sz w:val="18"/>
                <w:szCs w:val="18"/>
                <w:lang w:val="el-GR"/>
              </w:rPr>
              <w:t>Ποσοστό/Δείκτης ΜΕΔ προς δάνεια</w:t>
            </w:r>
          </w:p>
        </w:tc>
        <w:tc>
          <w:tcPr>
            <w:tcW w:w="6448" w:type="dxa"/>
            <w:gridSpan w:val="4"/>
          </w:tcPr>
          <w:p w14:paraId="1E07CD1E" w14:textId="19BECAF0" w:rsidR="00982DBB" w:rsidRPr="00982DBB" w:rsidRDefault="00982DBB" w:rsidP="00982DBB">
            <w:pPr>
              <w:pStyle w:val="FootnoteText"/>
              <w:spacing w:after="160"/>
              <w:jc w:val="both"/>
              <w:rPr>
                <w:rFonts w:ascii="Arial" w:hAnsi="Arial" w:cs="Arial"/>
                <w:sz w:val="18"/>
                <w:szCs w:val="18"/>
                <w:lang w:val="el-GR"/>
              </w:rPr>
            </w:pPr>
            <w:r w:rsidRPr="00982DBB">
              <w:rPr>
                <w:rFonts w:ascii="Arial" w:hAnsi="Arial" w:cs="Arial"/>
                <w:sz w:val="18"/>
                <w:szCs w:val="18"/>
                <w:lang w:val="el-GR"/>
              </w:rPr>
              <w:t>Υπολογίζεται ως τα ΜΕΔ (όπως ορίζονται) ως προς τα δάνεια (όπως ορίζονται).</w:t>
            </w:r>
          </w:p>
        </w:tc>
      </w:tr>
      <w:tr w:rsidR="00715401" w:rsidRPr="00CF1753" w14:paraId="38E4E0EC" w14:textId="77777777" w:rsidTr="00715401">
        <w:trPr>
          <w:trHeight w:val="57"/>
        </w:trPr>
        <w:tc>
          <w:tcPr>
            <w:tcW w:w="3233" w:type="dxa"/>
          </w:tcPr>
          <w:p w14:paraId="41F99612" w14:textId="77777777" w:rsidR="00715401" w:rsidRPr="00982DBB" w:rsidRDefault="00715401" w:rsidP="00982DBB">
            <w:pPr>
              <w:pStyle w:val="FootnoteText"/>
              <w:rPr>
                <w:rFonts w:ascii="Arial" w:hAnsi="Arial" w:cs="Arial"/>
                <w:sz w:val="18"/>
                <w:szCs w:val="18"/>
                <w:lang w:val="el-GR"/>
              </w:rPr>
            </w:pPr>
          </w:p>
        </w:tc>
        <w:tc>
          <w:tcPr>
            <w:tcW w:w="6448" w:type="dxa"/>
            <w:gridSpan w:val="4"/>
          </w:tcPr>
          <w:p w14:paraId="1EFF080F" w14:textId="77777777" w:rsidR="00715401" w:rsidRPr="00982DBB" w:rsidRDefault="00715401" w:rsidP="00982DBB">
            <w:pPr>
              <w:pStyle w:val="FootnoteText"/>
              <w:spacing w:after="160"/>
              <w:jc w:val="both"/>
              <w:rPr>
                <w:rFonts w:ascii="Arial" w:hAnsi="Arial" w:cs="Arial"/>
                <w:sz w:val="18"/>
                <w:szCs w:val="18"/>
                <w:lang w:val="el-GR"/>
              </w:rPr>
            </w:pPr>
          </w:p>
        </w:tc>
      </w:tr>
      <w:tr w:rsidR="00982DBB" w:rsidRPr="00CF1753" w14:paraId="5F1A28BB" w14:textId="77777777" w:rsidTr="00715401">
        <w:tc>
          <w:tcPr>
            <w:tcW w:w="3233" w:type="dxa"/>
          </w:tcPr>
          <w:p w14:paraId="477BB0D5" w14:textId="477C0B2A" w:rsidR="00982DBB" w:rsidRPr="00982DBB" w:rsidRDefault="00982DBB" w:rsidP="00982DBB">
            <w:pPr>
              <w:pStyle w:val="FootnoteText"/>
              <w:rPr>
                <w:rFonts w:ascii="Arial" w:hAnsi="Arial" w:cs="Arial"/>
                <w:sz w:val="18"/>
                <w:szCs w:val="18"/>
                <w:lang w:val="el-GR"/>
              </w:rPr>
            </w:pPr>
            <w:r w:rsidRPr="00982DBB">
              <w:rPr>
                <w:rFonts w:ascii="Arial" w:hAnsi="Arial" w:cs="Arial"/>
                <w:sz w:val="18"/>
                <w:szCs w:val="18"/>
                <w:lang w:val="el-GR"/>
              </w:rPr>
              <w:t xml:space="preserve">Ποσοστό/Δείκτης  κάλυψης ΜΕΔ </w:t>
            </w:r>
          </w:p>
        </w:tc>
        <w:tc>
          <w:tcPr>
            <w:tcW w:w="6448" w:type="dxa"/>
            <w:gridSpan w:val="4"/>
          </w:tcPr>
          <w:p w14:paraId="6F3BAAF3" w14:textId="7CC52A03" w:rsidR="00982DBB" w:rsidRPr="00982DBB" w:rsidRDefault="00982DBB" w:rsidP="00982DBB">
            <w:pPr>
              <w:pStyle w:val="FootnoteText"/>
              <w:spacing w:after="160"/>
              <w:jc w:val="both"/>
              <w:rPr>
                <w:rFonts w:ascii="Arial" w:hAnsi="Arial" w:cs="Arial"/>
                <w:sz w:val="18"/>
                <w:szCs w:val="18"/>
                <w:lang w:val="el-GR"/>
              </w:rPr>
            </w:pPr>
            <w:r w:rsidRPr="00982DBB">
              <w:rPr>
                <w:rFonts w:ascii="Arial" w:hAnsi="Arial" w:cs="Arial"/>
                <w:sz w:val="18"/>
                <w:szCs w:val="18"/>
                <w:lang w:val="el-GR"/>
              </w:rPr>
              <w:t>Υπολογίζεται ως οι συσσωρευμένες αναμενόμενες πιστωτικές ζημιές δανείων (όπως ορίζονται) ως προς το σύνολο των ΜΕΔ (όπως ορίζονται).</w:t>
            </w:r>
          </w:p>
        </w:tc>
      </w:tr>
      <w:tr w:rsidR="00715401" w:rsidRPr="00CF1753" w14:paraId="4EF855C7" w14:textId="77777777" w:rsidTr="00715401">
        <w:tc>
          <w:tcPr>
            <w:tcW w:w="3233" w:type="dxa"/>
          </w:tcPr>
          <w:p w14:paraId="3ABE6477" w14:textId="77777777" w:rsidR="00715401" w:rsidRPr="00982DBB" w:rsidRDefault="00715401" w:rsidP="00715401">
            <w:pPr>
              <w:pStyle w:val="FootnoteText"/>
              <w:rPr>
                <w:rFonts w:ascii="Arial" w:hAnsi="Arial" w:cs="Arial"/>
                <w:sz w:val="18"/>
                <w:szCs w:val="18"/>
                <w:lang w:val="el-GR"/>
              </w:rPr>
            </w:pPr>
          </w:p>
        </w:tc>
        <w:tc>
          <w:tcPr>
            <w:tcW w:w="6448" w:type="dxa"/>
            <w:gridSpan w:val="4"/>
          </w:tcPr>
          <w:p w14:paraId="35210638" w14:textId="77777777" w:rsidR="00715401" w:rsidRPr="00982DBB" w:rsidRDefault="00715401" w:rsidP="00715401">
            <w:pPr>
              <w:pStyle w:val="FootnoteText"/>
              <w:jc w:val="both"/>
              <w:rPr>
                <w:rFonts w:ascii="Arial" w:hAnsi="Arial" w:cs="Arial"/>
                <w:sz w:val="18"/>
                <w:szCs w:val="18"/>
                <w:lang w:val="el-GR"/>
              </w:rPr>
            </w:pPr>
          </w:p>
        </w:tc>
      </w:tr>
      <w:tr w:rsidR="00982DBB" w:rsidRPr="00CF1753" w14:paraId="17C50B72" w14:textId="77777777" w:rsidTr="00715401">
        <w:tc>
          <w:tcPr>
            <w:tcW w:w="3233" w:type="dxa"/>
          </w:tcPr>
          <w:p w14:paraId="595A5BDE" w14:textId="77777777" w:rsidR="00982DBB" w:rsidRPr="00982DBB" w:rsidRDefault="00982DBB" w:rsidP="00982DBB">
            <w:pPr>
              <w:pStyle w:val="FootnoteText"/>
              <w:spacing w:after="120"/>
              <w:rPr>
                <w:rFonts w:ascii="Arial" w:hAnsi="Arial" w:cs="Arial"/>
                <w:sz w:val="18"/>
                <w:szCs w:val="18"/>
                <w:lang w:val="el-GR"/>
              </w:rPr>
            </w:pPr>
            <w:r w:rsidRPr="00982DBB">
              <w:rPr>
                <w:rFonts w:ascii="Arial" w:hAnsi="Arial" w:cs="Arial"/>
                <w:sz w:val="18"/>
                <w:szCs w:val="18"/>
                <w:lang w:val="el-GR"/>
              </w:rPr>
              <w:t>Πιστωτικές ζημιές δανείων (</w:t>
            </w:r>
            <w:r w:rsidRPr="00982DBB">
              <w:rPr>
                <w:rFonts w:ascii="Arial" w:hAnsi="Arial" w:cs="Arial"/>
                <w:sz w:val="18"/>
                <w:szCs w:val="18"/>
              </w:rPr>
              <w:t>PL</w:t>
            </w:r>
            <w:r w:rsidRPr="00982DBB">
              <w:rPr>
                <w:rFonts w:ascii="Arial" w:hAnsi="Arial" w:cs="Arial"/>
                <w:sz w:val="18"/>
                <w:szCs w:val="18"/>
                <w:lang w:val="el-GR"/>
              </w:rPr>
              <w:t>)</w:t>
            </w:r>
          </w:p>
        </w:tc>
        <w:tc>
          <w:tcPr>
            <w:tcW w:w="6448" w:type="dxa"/>
            <w:gridSpan w:val="4"/>
          </w:tcPr>
          <w:p w14:paraId="7A833CEB" w14:textId="2E471CD0" w:rsidR="00982DBB" w:rsidRPr="00982DBB" w:rsidRDefault="00982DBB" w:rsidP="00982DBB">
            <w:pPr>
              <w:pStyle w:val="FootnoteText"/>
              <w:spacing w:after="120"/>
              <w:jc w:val="both"/>
              <w:rPr>
                <w:rFonts w:ascii="Arial" w:hAnsi="Arial" w:cs="Arial"/>
                <w:sz w:val="18"/>
                <w:szCs w:val="18"/>
                <w:lang w:val="el-GR"/>
              </w:rPr>
            </w:pPr>
            <w:r w:rsidRPr="00982DBB">
              <w:rPr>
                <w:rFonts w:ascii="Arial" w:hAnsi="Arial" w:cs="Arial"/>
                <w:sz w:val="18"/>
                <w:szCs w:val="18"/>
                <w:lang w:val="el-GR"/>
              </w:rPr>
              <w:t>Οι πιστωτικές ζημιές δανείων αποτελούνται από: (i) πιστωτικές ζημιές για κάλυψη πιστωτικού κινδύνου δανείων και απαιτήσεων από πελάτες, (ii) καθαρά κέρδη από αποαναγνώριση χρηματοοικονομικών περιουσιακών στοιχείων που επιμετρούνται σε αποσβεσμένο κόστος και αφορούν δάνεια και απαιτήσεις από πελάτες και (iii) τα καθαρά κέρδη από δάνεια και απαιτήσεις από πελάτες στην εύλογη αξία μέσω των αποτελεσμάτων, για την περίοδο/για το έτος.</w:t>
            </w:r>
          </w:p>
        </w:tc>
      </w:tr>
      <w:tr w:rsidR="00715401" w:rsidRPr="00CF1753" w14:paraId="4AC6E6FB" w14:textId="77777777" w:rsidTr="00715401">
        <w:tc>
          <w:tcPr>
            <w:tcW w:w="3233" w:type="dxa"/>
          </w:tcPr>
          <w:p w14:paraId="27137053" w14:textId="77777777" w:rsidR="00715401" w:rsidRPr="00982DBB" w:rsidRDefault="00715401" w:rsidP="00715401">
            <w:pPr>
              <w:pStyle w:val="FootnoteText"/>
              <w:rPr>
                <w:rFonts w:ascii="Arial" w:hAnsi="Arial" w:cs="Arial"/>
                <w:sz w:val="18"/>
                <w:szCs w:val="18"/>
                <w:lang w:val="el-GR"/>
              </w:rPr>
            </w:pPr>
          </w:p>
        </w:tc>
        <w:tc>
          <w:tcPr>
            <w:tcW w:w="6448" w:type="dxa"/>
            <w:gridSpan w:val="4"/>
          </w:tcPr>
          <w:p w14:paraId="2FC8F0B4" w14:textId="77777777" w:rsidR="00715401" w:rsidRPr="00982DBB" w:rsidRDefault="00715401" w:rsidP="00715401">
            <w:pPr>
              <w:pStyle w:val="FootnoteText"/>
              <w:jc w:val="both"/>
              <w:rPr>
                <w:rFonts w:ascii="Arial" w:hAnsi="Arial" w:cs="Arial"/>
                <w:sz w:val="18"/>
                <w:szCs w:val="18"/>
                <w:lang w:val="el-GR"/>
              </w:rPr>
            </w:pPr>
          </w:p>
        </w:tc>
      </w:tr>
      <w:tr w:rsidR="00982DBB" w:rsidRPr="00CF1753" w14:paraId="08BEF538" w14:textId="77777777" w:rsidTr="00715401">
        <w:tc>
          <w:tcPr>
            <w:tcW w:w="3233" w:type="dxa"/>
          </w:tcPr>
          <w:p w14:paraId="3E517E47" w14:textId="4534A05F" w:rsidR="00982DBB" w:rsidRPr="00982DBB" w:rsidRDefault="00982DBB" w:rsidP="00982DBB">
            <w:pPr>
              <w:pStyle w:val="FootnoteText"/>
              <w:spacing w:after="120"/>
              <w:rPr>
                <w:rFonts w:ascii="Arial" w:hAnsi="Arial" w:cs="Arial"/>
                <w:sz w:val="18"/>
                <w:szCs w:val="18"/>
                <w:lang w:val="el-GR"/>
              </w:rPr>
            </w:pPr>
            <w:r w:rsidRPr="00982DBB">
              <w:rPr>
                <w:rFonts w:ascii="Arial" w:hAnsi="Arial" w:cs="Arial"/>
                <w:sz w:val="18"/>
                <w:szCs w:val="18"/>
                <w:lang w:val="el-GR"/>
              </w:rPr>
              <w:t xml:space="preserve">Προσαρμοσμένα κέρδη κατά μετοχή αναλογούντα στους ιδιοκτήτες της Εταιρίας </w:t>
            </w:r>
          </w:p>
        </w:tc>
        <w:tc>
          <w:tcPr>
            <w:tcW w:w="6448" w:type="dxa"/>
            <w:gridSpan w:val="4"/>
          </w:tcPr>
          <w:p w14:paraId="57664056" w14:textId="41B90C7E" w:rsidR="00982DBB" w:rsidRPr="00982DBB" w:rsidRDefault="00982DBB" w:rsidP="00982DBB">
            <w:pPr>
              <w:pStyle w:val="FootnoteText"/>
              <w:spacing w:after="120"/>
              <w:jc w:val="both"/>
              <w:rPr>
                <w:rFonts w:ascii="Arial" w:hAnsi="Arial" w:cs="Arial"/>
                <w:sz w:val="18"/>
                <w:szCs w:val="18"/>
                <w:lang w:val="el-GR"/>
              </w:rPr>
            </w:pPr>
            <w:r w:rsidRPr="00982DBB">
              <w:rPr>
                <w:rFonts w:ascii="Arial" w:hAnsi="Arial" w:cs="Arial"/>
                <w:sz w:val="18"/>
                <w:szCs w:val="18"/>
                <w:lang w:val="el-GR"/>
              </w:rPr>
              <w:t>Τα προσαρμοσμένα κέρδη μετά τη φορολογία ανά μετοχή (που αναλογούν στους ιδιοκτήτες της Εταιρίας) είναι τα κέρδη/(ζημιές) μετά τη φορολογία (που αναλογούν στους ιδιοκτήτες της Εταιρίας) διαιρεμένα με το μεσοσταθμικό αριθμό μετοχών που ήταν εκδομένες κατά τη διάρκεια της περιόδου, εξαιρουμένων των ιδίων μετοχών, προσαρμοσμένο για τις κοινές μετοχές που ενδέχεται να προκύψουν σε σχέση με παροχές που εξαρτώνται από την αξία μετοχών σε εκτελεστικά διευθυντικά στελέχη και την ανώτερη διοίκηση του</w:t>
            </w:r>
          </w:p>
        </w:tc>
      </w:tr>
      <w:tr w:rsidR="00982DBB" w:rsidRPr="00CF1753" w14:paraId="3C293163" w14:textId="77777777" w:rsidTr="00216133">
        <w:tc>
          <w:tcPr>
            <w:tcW w:w="9681" w:type="dxa"/>
            <w:gridSpan w:val="5"/>
          </w:tcPr>
          <w:p w14:paraId="525DB205" w14:textId="77777777" w:rsidR="00982DBB" w:rsidRDefault="00982DBB" w:rsidP="00715401">
            <w:pPr>
              <w:jc w:val="both"/>
              <w:rPr>
                <w:rFonts w:ascii="Arial" w:hAnsi="Arial" w:cs="Arial"/>
                <w:bCs/>
                <w:color w:val="FF9900"/>
                <w:sz w:val="24"/>
                <w:szCs w:val="24"/>
                <w:lang w:val="el-GR"/>
              </w:rPr>
            </w:pPr>
            <w:r w:rsidRPr="00982DBB">
              <w:rPr>
                <w:rFonts w:ascii="Arial" w:hAnsi="Arial" w:cs="Arial"/>
                <w:b/>
                <w:color w:val="FF9900"/>
                <w:sz w:val="24"/>
                <w:szCs w:val="24"/>
                <w:lang w:val="el-GR"/>
              </w:rPr>
              <w:lastRenderedPageBreak/>
              <w:t>ΣΤ. Όροι και Επεξηγήσεις</w:t>
            </w:r>
            <w:r w:rsidRPr="00982DBB">
              <w:rPr>
                <w:rFonts w:ascii="Arial" w:hAnsi="Arial" w:cs="Arial"/>
                <w:bCs/>
                <w:color w:val="FF9900"/>
                <w:sz w:val="24"/>
                <w:szCs w:val="24"/>
                <w:lang w:val="el-GR"/>
              </w:rPr>
              <w:t xml:space="preserve"> (συνέχεια)</w:t>
            </w:r>
          </w:p>
          <w:p w14:paraId="659C6706" w14:textId="433C11E6" w:rsidR="00715401" w:rsidRPr="00715401" w:rsidRDefault="00715401" w:rsidP="00715401">
            <w:pPr>
              <w:jc w:val="both"/>
              <w:rPr>
                <w:rFonts w:ascii="Arial" w:hAnsi="Arial" w:cs="Arial"/>
                <w:bCs/>
                <w:color w:val="FF9900"/>
                <w:sz w:val="24"/>
                <w:szCs w:val="24"/>
                <w:lang w:val="el-GR"/>
              </w:rPr>
            </w:pPr>
          </w:p>
        </w:tc>
      </w:tr>
      <w:tr w:rsidR="00982DBB" w:rsidRPr="00CF1753" w14:paraId="155A136D" w14:textId="77777777" w:rsidTr="00715401">
        <w:tc>
          <w:tcPr>
            <w:tcW w:w="3233" w:type="dxa"/>
          </w:tcPr>
          <w:p w14:paraId="126B09E1" w14:textId="47E3C748" w:rsidR="00982DBB" w:rsidRPr="00982DBB" w:rsidRDefault="00982DBB" w:rsidP="00982DBB">
            <w:pPr>
              <w:pStyle w:val="FootnoteText"/>
              <w:spacing w:after="120"/>
              <w:rPr>
                <w:rFonts w:ascii="Arial" w:hAnsi="Arial" w:cs="Arial"/>
                <w:sz w:val="18"/>
                <w:szCs w:val="18"/>
                <w:lang w:val="el-GR"/>
              </w:rPr>
            </w:pPr>
            <w:r w:rsidRPr="00982DBB">
              <w:rPr>
                <w:rFonts w:ascii="Arial" w:hAnsi="Arial" w:cs="Arial"/>
                <w:sz w:val="18"/>
                <w:szCs w:val="18"/>
                <w:lang w:val="el-GR"/>
              </w:rPr>
              <w:t>Προσαρμοσμένα κέρδη κατά μετοχή αναλογούντα στους ιδιοκτήτες της Εταιρίας (συνέχεια)</w:t>
            </w:r>
          </w:p>
        </w:tc>
        <w:tc>
          <w:tcPr>
            <w:tcW w:w="6448" w:type="dxa"/>
            <w:gridSpan w:val="4"/>
          </w:tcPr>
          <w:p w14:paraId="2F66C9D7" w14:textId="73210EEB" w:rsidR="00982DBB" w:rsidRPr="00982DBB" w:rsidRDefault="00982DBB" w:rsidP="00982DBB">
            <w:pPr>
              <w:pStyle w:val="FootnoteText"/>
              <w:spacing w:after="120"/>
              <w:jc w:val="both"/>
              <w:rPr>
                <w:rFonts w:ascii="Arial" w:hAnsi="Arial" w:cs="Arial"/>
                <w:sz w:val="18"/>
                <w:szCs w:val="18"/>
                <w:lang w:val="el-GR"/>
              </w:rPr>
            </w:pPr>
            <w:r w:rsidRPr="00982DBB">
              <w:rPr>
                <w:rFonts w:ascii="Arial" w:hAnsi="Arial" w:cs="Arial"/>
                <w:sz w:val="18"/>
                <w:szCs w:val="18"/>
                <w:lang w:val="el-GR"/>
              </w:rPr>
              <w:t>του Συγκροτήματος βάσει των Μακροπρόθεσμων Σχεδίων Παροχής Κινήτρων (LTIP).</w:t>
            </w:r>
          </w:p>
        </w:tc>
      </w:tr>
      <w:tr w:rsidR="00715401" w:rsidRPr="00CF1753" w14:paraId="3540793F" w14:textId="77777777" w:rsidTr="00715401">
        <w:tc>
          <w:tcPr>
            <w:tcW w:w="3233" w:type="dxa"/>
          </w:tcPr>
          <w:p w14:paraId="4FE4EBBF" w14:textId="77777777" w:rsidR="00715401" w:rsidRPr="00982DBB" w:rsidRDefault="00715401" w:rsidP="00715401">
            <w:pPr>
              <w:pStyle w:val="FootnoteText"/>
              <w:rPr>
                <w:rFonts w:ascii="Arial" w:hAnsi="Arial" w:cs="Arial"/>
                <w:sz w:val="18"/>
                <w:szCs w:val="18"/>
                <w:lang w:val="el-GR"/>
              </w:rPr>
            </w:pPr>
          </w:p>
        </w:tc>
        <w:tc>
          <w:tcPr>
            <w:tcW w:w="6448" w:type="dxa"/>
            <w:gridSpan w:val="4"/>
          </w:tcPr>
          <w:p w14:paraId="1C34EBA2" w14:textId="77777777" w:rsidR="00715401" w:rsidRPr="00982DBB" w:rsidRDefault="00715401" w:rsidP="00715401">
            <w:pPr>
              <w:pStyle w:val="FootnoteText"/>
              <w:jc w:val="both"/>
              <w:rPr>
                <w:rFonts w:ascii="Arial" w:hAnsi="Arial" w:cs="Arial"/>
                <w:sz w:val="18"/>
                <w:szCs w:val="18"/>
                <w:lang w:val="el-GR"/>
              </w:rPr>
            </w:pPr>
          </w:p>
        </w:tc>
      </w:tr>
      <w:tr w:rsidR="00982DBB" w:rsidRPr="00CF1753" w14:paraId="1034B537" w14:textId="77777777" w:rsidTr="00715401">
        <w:tc>
          <w:tcPr>
            <w:tcW w:w="3233" w:type="dxa"/>
          </w:tcPr>
          <w:p w14:paraId="006BE36B" w14:textId="01DE13A1" w:rsidR="00982DBB" w:rsidRPr="00982DBB" w:rsidRDefault="00982DBB" w:rsidP="00982DBB">
            <w:pPr>
              <w:pStyle w:val="FootnoteText"/>
              <w:spacing w:after="120"/>
              <w:rPr>
                <w:rFonts w:ascii="Arial" w:hAnsi="Arial" w:cs="Arial"/>
                <w:sz w:val="18"/>
                <w:szCs w:val="18"/>
                <w:lang w:val="el-GR"/>
              </w:rPr>
            </w:pPr>
            <w:r w:rsidRPr="00982DBB">
              <w:rPr>
                <w:rFonts w:ascii="Arial" w:hAnsi="Arial" w:cs="Arial"/>
                <w:sz w:val="18"/>
                <w:szCs w:val="18"/>
                <w:lang w:val="el-GR"/>
              </w:rPr>
              <w:t>Προσαρμοσμένη κερδοφορία πριν τα μη-επαναλαμβανόμενα στοιχεία</w:t>
            </w:r>
          </w:p>
        </w:tc>
        <w:tc>
          <w:tcPr>
            <w:tcW w:w="6448" w:type="dxa"/>
            <w:gridSpan w:val="4"/>
          </w:tcPr>
          <w:p w14:paraId="46002FC0" w14:textId="2E8BB81B" w:rsidR="00982DBB" w:rsidRPr="00982DBB" w:rsidRDefault="00982DBB" w:rsidP="00982DBB">
            <w:pPr>
              <w:pStyle w:val="FootnoteText"/>
              <w:spacing w:after="120"/>
              <w:jc w:val="both"/>
              <w:rPr>
                <w:rFonts w:ascii="Arial" w:hAnsi="Arial" w:cs="Arial"/>
                <w:sz w:val="18"/>
                <w:szCs w:val="18"/>
                <w:lang w:val="el-GR"/>
              </w:rPr>
            </w:pPr>
            <w:r w:rsidRPr="00982DBB">
              <w:rPr>
                <w:rFonts w:ascii="Arial" w:hAnsi="Arial" w:cs="Arial"/>
                <w:sz w:val="18"/>
                <w:szCs w:val="18"/>
                <w:lang w:val="el-GR"/>
              </w:rPr>
              <w:t>Τα κέρδη του Συγκροτήματος μετά τη φορολογία και πριν τα μη-επαναλαμβανόμενα στοιχεία (που αναλογούν στους ιδιοκτήτες της Εταιρίας), λαμβάνοντας υπόψη τις διανομές λοιπών συμμετοχικών τίτλων όπως την πληρωμή κουπονιού στους κατόχους Χρεογράφων Πρόσθετου Κεφαλαίου</w:t>
            </w:r>
            <w:r w:rsidRPr="00982DBB">
              <w:rPr>
                <w:rFonts w:ascii="Arial" w:hAnsi="Arial" w:cs="Arial"/>
                <w:color w:val="000000" w:themeColor="text1"/>
                <w:sz w:val="18"/>
                <w:szCs w:val="18"/>
                <w:lang w:val="el-GR"/>
              </w:rPr>
              <w:t xml:space="preserve"> Κατηγορίας 1</w:t>
            </w:r>
            <w:r w:rsidRPr="00982DBB">
              <w:rPr>
                <w:rFonts w:ascii="Arial" w:hAnsi="Arial" w:cs="Arial"/>
                <w:sz w:val="18"/>
                <w:szCs w:val="18"/>
                <w:lang w:val="el-GR"/>
              </w:rPr>
              <w:t>.</w:t>
            </w:r>
          </w:p>
        </w:tc>
      </w:tr>
      <w:tr w:rsidR="00715401" w:rsidRPr="00CF1753" w14:paraId="5B1A0D1C" w14:textId="77777777" w:rsidTr="00715401">
        <w:tc>
          <w:tcPr>
            <w:tcW w:w="3233" w:type="dxa"/>
          </w:tcPr>
          <w:p w14:paraId="1EB602CB" w14:textId="77777777" w:rsidR="00715401" w:rsidRPr="00982DBB" w:rsidRDefault="00715401" w:rsidP="00715401">
            <w:pPr>
              <w:pStyle w:val="FootnoteText"/>
              <w:rPr>
                <w:rFonts w:ascii="Arial" w:hAnsi="Arial" w:cs="Arial"/>
                <w:sz w:val="18"/>
                <w:szCs w:val="18"/>
                <w:lang w:val="el-GR"/>
              </w:rPr>
            </w:pPr>
          </w:p>
        </w:tc>
        <w:tc>
          <w:tcPr>
            <w:tcW w:w="6448" w:type="dxa"/>
            <w:gridSpan w:val="4"/>
          </w:tcPr>
          <w:p w14:paraId="4795DBB2" w14:textId="77777777" w:rsidR="00715401" w:rsidRPr="00982DBB" w:rsidRDefault="00715401" w:rsidP="00715401">
            <w:pPr>
              <w:pStyle w:val="FootnoteText"/>
              <w:tabs>
                <w:tab w:val="left" w:pos="1141"/>
              </w:tabs>
              <w:jc w:val="both"/>
              <w:rPr>
                <w:rFonts w:ascii="Arial" w:hAnsi="Arial" w:cs="Arial"/>
                <w:sz w:val="18"/>
                <w:szCs w:val="18"/>
                <w:lang w:val="el-GR"/>
              </w:rPr>
            </w:pPr>
          </w:p>
        </w:tc>
      </w:tr>
      <w:tr w:rsidR="00982DBB" w:rsidRPr="00CF1753" w14:paraId="7305A22F" w14:textId="77777777" w:rsidTr="00715401">
        <w:tc>
          <w:tcPr>
            <w:tcW w:w="3233" w:type="dxa"/>
          </w:tcPr>
          <w:p w14:paraId="5B312F06" w14:textId="21BC3FE7" w:rsidR="00982DBB" w:rsidRPr="00982DBB" w:rsidRDefault="00982DBB" w:rsidP="00982DBB">
            <w:pPr>
              <w:pStyle w:val="FootnoteText"/>
              <w:spacing w:after="120"/>
              <w:rPr>
                <w:rFonts w:ascii="Arial" w:hAnsi="Arial" w:cs="Arial"/>
                <w:sz w:val="18"/>
                <w:szCs w:val="18"/>
                <w:lang w:val="el-GR"/>
              </w:rPr>
            </w:pPr>
            <w:r w:rsidRPr="00982DBB">
              <w:rPr>
                <w:rFonts w:ascii="Arial" w:hAnsi="Arial" w:cs="Arial"/>
                <w:sz w:val="18"/>
                <w:szCs w:val="18"/>
                <w:lang w:val="el-GR"/>
              </w:rPr>
              <w:t>Πρόσθετα Κεφάλαια Κατηγορίας 1 (ΑΤ1)</w:t>
            </w:r>
          </w:p>
        </w:tc>
        <w:tc>
          <w:tcPr>
            <w:tcW w:w="6448" w:type="dxa"/>
            <w:gridSpan w:val="4"/>
          </w:tcPr>
          <w:p w14:paraId="08E5CD67" w14:textId="4DEC38E4" w:rsidR="00982DBB" w:rsidRPr="00982DBB" w:rsidRDefault="00982DBB" w:rsidP="00982DBB">
            <w:pPr>
              <w:pStyle w:val="FootnoteText"/>
              <w:tabs>
                <w:tab w:val="left" w:pos="1141"/>
              </w:tabs>
              <w:spacing w:after="120"/>
              <w:jc w:val="both"/>
              <w:rPr>
                <w:rFonts w:ascii="Arial" w:hAnsi="Arial" w:cs="Arial"/>
                <w:sz w:val="18"/>
                <w:szCs w:val="18"/>
                <w:lang w:val="el-GR"/>
              </w:rPr>
            </w:pPr>
            <w:r w:rsidRPr="00982DBB">
              <w:rPr>
                <w:rFonts w:ascii="Arial" w:hAnsi="Arial" w:cs="Arial"/>
                <w:sz w:val="18"/>
                <w:szCs w:val="18"/>
                <w:lang w:val="el-GR"/>
              </w:rPr>
              <w:t xml:space="preserve">Τα Πρόσθετα Κεφάλαια Κατηγορίας 1 (ΑΤ1) έχουν καθοριστεί σύμφωνα με τον Κανονισμό Κεφαλαιακών Απαιτήσεων (ΕΕ) Αρ.575/2013, όπως τροποποιήθηκε από τον </w:t>
            </w:r>
            <w:r w:rsidRPr="00982DBB">
              <w:rPr>
                <w:rFonts w:ascii="Arial" w:hAnsi="Arial" w:cs="Arial"/>
                <w:sz w:val="18"/>
                <w:szCs w:val="18"/>
              </w:rPr>
              <w:t>CRR</w:t>
            </w:r>
            <w:r w:rsidRPr="00982DBB">
              <w:rPr>
                <w:rFonts w:ascii="Arial" w:hAnsi="Arial" w:cs="Arial"/>
                <w:sz w:val="18"/>
                <w:szCs w:val="18"/>
                <w:lang w:val="el-GR"/>
              </w:rPr>
              <w:t xml:space="preserve"> </w:t>
            </w:r>
            <w:r w:rsidRPr="00982DBB">
              <w:rPr>
                <w:rFonts w:ascii="Arial" w:hAnsi="Arial" w:cs="Arial"/>
                <w:sz w:val="18"/>
                <w:szCs w:val="18"/>
              </w:rPr>
              <w:t>II</w:t>
            </w:r>
            <w:r w:rsidRPr="00982DBB">
              <w:rPr>
                <w:rFonts w:ascii="Arial" w:hAnsi="Arial" w:cs="Arial"/>
                <w:sz w:val="18"/>
                <w:szCs w:val="18"/>
                <w:lang w:val="el-GR"/>
              </w:rPr>
              <w:t>, όπως εφαρμόζεται κατά την ημερομηνία αναφοράς.</w:t>
            </w:r>
          </w:p>
        </w:tc>
      </w:tr>
      <w:tr w:rsidR="00982DBB" w:rsidRPr="00CF1753" w14:paraId="2FE1BC2B" w14:textId="77777777" w:rsidTr="00715401">
        <w:tc>
          <w:tcPr>
            <w:tcW w:w="3233" w:type="dxa"/>
          </w:tcPr>
          <w:p w14:paraId="409CFDC6" w14:textId="15DAF5D1" w:rsidR="00982DBB" w:rsidRPr="00982DBB" w:rsidRDefault="00982DBB" w:rsidP="00715401">
            <w:pPr>
              <w:pStyle w:val="FootnoteText"/>
              <w:rPr>
                <w:rFonts w:ascii="Arial" w:hAnsi="Arial" w:cs="Arial"/>
                <w:sz w:val="18"/>
                <w:szCs w:val="18"/>
                <w:lang w:val="el-GR"/>
              </w:rPr>
            </w:pPr>
          </w:p>
        </w:tc>
        <w:tc>
          <w:tcPr>
            <w:tcW w:w="6448" w:type="dxa"/>
            <w:gridSpan w:val="4"/>
          </w:tcPr>
          <w:p w14:paraId="61C078A8" w14:textId="1F66BACA" w:rsidR="00982DBB" w:rsidRPr="00982DBB" w:rsidRDefault="00982DBB" w:rsidP="00715401">
            <w:pPr>
              <w:jc w:val="both"/>
              <w:rPr>
                <w:rFonts w:ascii="Arial" w:hAnsi="Arial" w:cs="Arial"/>
                <w:sz w:val="18"/>
                <w:szCs w:val="18"/>
                <w:lang w:val="el-GR"/>
              </w:rPr>
            </w:pPr>
          </w:p>
        </w:tc>
      </w:tr>
      <w:tr w:rsidR="00982DBB" w:rsidRPr="00CF1753" w14:paraId="68470AE9" w14:textId="77777777" w:rsidTr="00715401">
        <w:tc>
          <w:tcPr>
            <w:tcW w:w="3233" w:type="dxa"/>
          </w:tcPr>
          <w:p w14:paraId="7D54C27E" w14:textId="43188F94" w:rsidR="00982DBB" w:rsidRPr="00982DBB" w:rsidRDefault="00982DBB" w:rsidP="00982DBB">
            <w:pPr>
              <w:pStyle w:val="FootnoteText"/>
              <w:spacing w:after="120"/>
              <w:rPr>
                <w:rFonts w:ascii="Arial" w:hAnsi="Arial" w:cs="Arial"/>
                <w:sz w:val="18"/>
                <w:szCs w:val="18"/>
                <w:lang w:val="el-GR"/>
              </w:rPr>
            </w:pPr>
            <w:r w:rsidRPr="00982DBB">
              <w:rPr>
                <w:rFonts w:ascii="Arial" w:hAnsi="Arial" w:cs="Arial"/>
                <w:sz w:val="18"/>
                <w:szCs w:val="18"/>
                <w:lang w:val="el-GR"/>
              </w:rPr>
              <w:t>Ρυθμός ψηφιακής υιοθέτησης</w:t>
            </w:r>
          </w:p>
        </w:tc>
        <w:tc>
          <w:tcPr>
            <w:tcW w:w="6448" w:type="dxa"/>
            <w:gridSpan w:val="4"/>
          </w:tcPr>
          <w:p w14:paraId="37B650D0" w14:textId="0FC089C9" w:rsidR="00982DBB" w:rsidRPr="00982DBB" w:rsidRDefault="00982DBB" w:rsidP="00982DBB">
            <w:pPr>
              <w:pStyle w:val="FootnoteText"/>
              <w:spacing w:after="120"/>
              <w:jc w:val="both"/>
              <w:rPr>
                <w:rFonts w:ascii="Arial" w:hAnsi="Arial" w:cs="Arial"/>
                <w:sz w:val="18"/>
                <w:szCs w:val="18"/>
                <w:lang w:val="el-GR"/>
              </w:rPr>
            </w:pPr>
            <w:r w:rsidRPr="00982DBB">
              <w:rPr>
                <w:rFonts w:ascii="Arial" w:hAnsi="Arial" w:cs="Arial"/>
                <w:sz w:val="18"/>
                <w:szCs w:val="18"/>
                <w:lang w:val="el-GR"/>
              </w:rPr>
              <w:t xml:space="preserve">Ο αριθμός των ιδιωτών πελατών που έχουν υιοθετήσει τα ψηφιακά κανάλια και προϊόντα της Τράπεζας ως προς τον συνολικό αριθμό των ιδιωτών πελατών. Οι  ψηφιακά ενεργοί πελάτες είναι τα άτομα που χρησιμοποιούν τα ψηφιακά κανάλια της Τράπεζας (την τραπεζική εφαρμογή για κινητά, τη διαδικτυακή τραπεζική και τις Αυτόματες Ταμειακές Μηχανές (ΑΤΜs)) για να πραγματοποιήσουν τις τραπεζικές τους συναλλαγές, καθώς και μέσα διευκόλυνσης διεκπεραίωσης ψηφιακών συναλλαγών, όπως τις κάρτες που εκδίδει η Τράπεζα για την πραγματοποίηση ηλεκτρονικών αγορών, βάσει της σκοροκάρτας που έχει αναπτυχθεί εσωτερικά (scorecard). </w:t>
            </w:r>
          </w:p>
        </w:tc>
      </w:tr>
      <w:tr w:rsidR="00982DBB" w:rsidRPr="00CF1753" w14:paraId="38EAAA0F" w14:textId="77777777" w:rsidTr="00715401">
        <w:tc>
          <w:tcPr>
            <w:tcW w:w="3233" w:type="dxa"/>
          </w:tcPr>
          <w:p w14:paraId="5B76EB2A" w14:textId="77777777" w:rsidR="00982DBB" w:rsidRPr="00982DBB" w:rsidRDefault="00982DBB" w:rsidP="00715401">
            <w:pPr>
              <w:pStyle w:val="FootnoteText"/>
              <w:rPr>
                <w:rFonts w:ascii="Arial" w:hAnsi="Arial" w:cs="Arial"/>
                <w:sz w:val="18"/>
                <w:szCs w:val="18"/>
                <w:lang w:val="el-GR"/>
              </w:rPr>
            </w:pPr>
          </w:p>
        </w:tc>
        <w:tc>
          <w:tcPr>
            <w:tcW w:w="6448" w:type="dxa"/>
            <w:gridSpan w:val="4"/>
          </w:tcPr>
          <w:p w14:paraId="7C288105" w14:textId="77777777" w:rsidR="00982DBB" w:rsidRPr="00982DBB" w:rsidRDefault="00982DBB" w:rsidP="00715401">
            <w:pPr>
              <w:pStyle w:val="FootnoteText"/>
              <w:jc w:val="both"/>
              <w:rPr>
                <w:rFonts w:ascii="Arial" w:hAnsi="Arial" w:cs="Arial"/>
                <w:sz w:val="18"/>
                <w:szCs w:val="18"/>
                <w:lang w:val="el-GR"/>
              </w:rPr>
            </w:pPr>
          </w:p>
        </w:tc>
      </w:tr>
      <w:tr w:rsidR="00982DBB" w:rsidRPr="00CF1753" w14:paraId="102E6AEC" w14:textId="77777777" w:rsidTr="00715401">
        <w:tc>
          <w:tcPr>
            <w:tcW w:w="3233" w:type="dxa"/>
          </w:tcPr>
          <w:p w14:paraId="3F1F0F02" w14:textId="6872A175" w:rsidR="00982DBB" w:rsidRPr="00982DBB" w:rsidRDefault="00982DBB" w:rsidP="00982DBB">
            <w:pPr>
              <w:pStyle w:val="FootnoteText"/>
              <w:spacing w:after="120"/>
              <w:rPr>
                <w:rFonts w:ascii="Arial" w:hAnsi="Arial" w:cs="Arial"/>
                <w:sz w:val="18"/>
                <w:szCs w:val="18"/>
                <w:lang w:val="el-GR"/>
              </w:rPr>
            </w:pPr>
            <w:r w:rsidRPr="00982DBB">
              <w:rPr>
                <w:rFonts w:ascii="Arial" w:hAnsi="Arial" w:cs="Arial"/>
                <w:sz w:val="18"/>
                <w:szCs w:val="18"/>
                <w:lang w:val="el-GR"/>
              </w:rPr>
              <w:t xml:space="preserve">Στοιχεία από τη Στατιστική Υπηρεσία </w:t>
            </w:r>
          </w:p>
        </w:tc>
        <w:tc>
          <w:tcPr>
            <w:tcW w:w="6448" w:type="dxa"/>
            <w:gridSpan w:val="4"/>
          </w:tcPr>
          <w:p w14:paraId="258F9406" w14:textId="11D22E08" w:rsidR="00982DBB" w:rsidRPr="00982DBB" w:rsidRDefault="00982DBB" w:rsidP="00982DBB">
            <w:pPr>
              <w:pStyle w:val="FootnoteText"/>
              <w:jc w:val="both"/>
              <w:rPr>
                <w:rFonts w:ascii="Arial" w:hAnsi="Arial" w:cs="Arial"/>
                <w:sz w:val="18"/>
                <w:szCs w:val="18"/>
                <w:lang w:val="el-GR"/>
              </w:rPr>
            </w:pPr>
            <w:r w:rsidRPr="00982DBB">
              <w:rPr>
                <w:rFonts w:ascii="Arial" w:hAnsi="Arial" w:cs="Arial"/>
                <w:sz w:val="18"/>
                <w:szCs w:val="18"/>
                <w:lang w:val="el-GR"/>
              </w:rPr>
              <w:t>Τα τελευταία στοιχεία δημοσιεύτηκαν από τη Στατιστική Υπηρεσία της Κυπριακής Δημοκρατίας (Κυπριακή Στατιστική Υπηρεσία) στις 30 Ιουλίου 2024.</w:t>
            </w:r>
          </w:p>
        </w:tc>
      </w:tr>
      <w:tr w:rsidR="00982DBB" w:rsidRPr="00CF1753" w14:paraId="27905F47" w14:textId="77777777" w:rsidTr="00715401">
        <w:tc>
          <w:tcPr>
            <w:tcW w:w="3233" w:type="dxa"/>
          </w:tcPr>
          <w:p w14:paraId="444F8042" w14:textId="77777777" w:rsidR="00982DBB" w:rsidRPr="00982DBB" w:rsidRDefault="00982DBB" w:rsidP="00982DBB">
            <w:pPr>
              <w:pStyle w:val="FootnoteText"/>
              <w:rPr>
                <w:rFonts w:ascii="Arial" w:hAnsi="Arial" w:cs="Arial"/>
                <w:sz w:val="18"/>
                <w:szCs w:val="18"/>
                <w:lang w:val="el-GR"/>
              </w:rPr>
            </w:pPr>
          </w:p>
        </w:tc>
        <w:tc>
          <w:tcPr>
            <w:tcW w:w="6448" w:type="dxa"/>
            <w:gridSpan w:val="4"/>
          </w:tcPr>
          <w:p w14:paraId="38F84589" w14:textId="1D3EF14F" w:rsidR="00982DBB" w:rsidRPr="00982DBB" w:rsidRDefault="00982DBB" w:rsidP="00982DBB">
            <w:pPr>
              <w:pStyle w:val="FootnoteText"/>
              <w:jc w:val="both"/>
              <w:rPr>
                <w:rFonts w:ascii="Arial" w:hAnsi="Arial" w:cs="Arial"/>
                <w:sz w:val="18"/>
                <w:szCs w:val="18"/>
                <w:lang w:val="el-GR"/>
              </w:rPr>
            </w:pPr>
          </w:p>
        </w:tc>
      </w:tr>
      <w:tr w:rsidR="00982DBB" w:rsidRPr="00CF1753" w14:paraId="303C92A7" w14:textId="77777777" w:rsidTr="00715401">
        <w:tc>
          <w:tcPr>
            <w:tcW w:w="3233" w:type="dxa"/>
          </w:tcPr>
          <w:p w14:paraId="60A6522C" w14:textId="6F18140C" w:rsidR="00982DBB" w:rsidRPr="00982DBB" w:rsidRDefault="00982DBB" w:rsidP="00982DBB">
            <w:pPr>
              <w:pStyle w:val="FootnoteText"/>
              <w:rPr>
                <w:rFonts w:ascii="Arial" w:hAnsi="Arial" w:cs="Arial"/>
                <w:sz w:val="18"/>
                <w:szCs w:val="18"/>
                <w:lang w:val="el-GR"/>
              </w:rPr>
            </w:pPr>
            <w:r w:rsidRPr="00982DBB">
              <w:rPr>
                <w:rFonts w:ascii="Arial" w:hAnsi="Arial" w:cs="Arial"/>
                <w:sz w:val="18"/>
                <w:szCs w:val="18"/>
                <w:lang w:val="el-GR"/>
              </w:rPr>
              <w:t xml:space="preserve">Συγκρότημα </w:t>
            </w:r>
          </w:p>
        </w:tc>
        <w:tc>
          <w:tcPr>
            <w:tcW w:w="6448" w:type="dxa"/>
            <w:gridSpan w:val="4"/>
          </w:tcPr>
          <w:p w14:paraId="67AB432A" w14:textId="41EBF0EB" w:rsidR="00982DBB" w:rsidRPr="00982DBB" w:rsidRDefault="00982DBB" w:rsidP="00982DBB">
            <w:pPr>
              <w:pStyle w:val="FootnoteText"/>
              <w:jc w:val="both"/>
              <w:rPr>
                <w:rFonts w:ascii="Arial" w:hAnsi="Arial" w:cs="Arial"/>
                <w:sz w:val="18"/>
                <w:szCs w:val="18"/>
                <w:lang w:val="el-GR"/>
              </w:rPr>
            </w:pPr>
            <w:r w:rsidRPr="00982DBB">
              <w:rPr>
                <w:rFonts w:ascii="Arial" w:hAnsi="Arial" w:cs="Arial"/>
                <w:sz w:val="18"/>
                <w:szCs w:val="18"/>
                <w:lang w:val="el-GR"/>
              </w:rPr>
              <w:t>Το Συγκρότημα αποτελείται από την Bank of Cyprus Holdings Public Limited Company, ‘BOC Holdings’</w:t>
            </w:r>
            <w:r w:rsidRPr="00982DBB">
              <w:rPr>
                <w:rFonts w:ascii="Arial" w:hAnsi="Arial" w:cs="Arial"/>
                <w:sz w:val="18"/>
                <w:szCs w:val="18"/>
                <w:lang w:val="el-GR" w:eastAsia="el-GR"/>
              </w:rPr>
              <w:t xml:space="preserve"> ή η ‘Εταιρία’</w:t>
            </w:r>
            <w:r w:rsidRPr="00982DBB">
              <w:rPr>
                <w:rFonts w:ascii="Arial" w:hAnsi="Arial" w:cs="Arial"/>
                <w:sz w:val="18"/>
                <w:szCs w:val="18"/>
                <w:lang w:val="el-GR"/>
              </w:rPr>
              <w:t xml:space="preserve">, τη θυγατρική της </w:t>
            </w:r>
            <w:r w:rsidRPr="00982DBB">
              <w:rPr>
                <w:rFonts w:ascii="Arial" w:hAnsi="Arial" w:cs="Arial"/>
                <w:sz w:val="18"/>
                <w:szCs w:val="18"/>
                <w:lang w:val="el-GR" w:eastAsia="el-GR"/>
              </w:rPr>
              <w:t>Τράπεζα Κύπρου Δημόσια Εταιρία Λίμιτεδ</w:t>
            </w:r>
            <w:r w:rsidRPr="00982DBB">
              <w:rPr>
                <w:rFonts w:ascii="Arial" w:hAnsi="Arial" w:cs="Arial"/>
                <w:sz w:val="18"/>
                <w:szCs w:val="18"/>
                <w:lang w:val="el-GR"/>
              </w:rPr>
              <w:t xml:space="preserve">, την </w:t>
            </w:r>
            <w:r w:rsidRPr="00982DBB">
              <w:rPr>
                <w:rFonts w:ascii="Arial" w:hAnsi="Arial" w:cs="Arial"/>
                <w:sz w:val="18"/>
                <w:szCs w:val="18"/>
                <w:lang w:val="el-GR" w:eastAsia="el-GR"/>
              </w:rPr>
              <w:t>‘</w:t>
            </w:r>
            <w:r w:rsidRPr="00982DBB">
              <w:rPr>
                <w:rFonts w:ascii="Arial" w:hAnsi="Arial" w:cs="Arial"/>
                <w:sz w:val="18"/>
                <w:szCs w:val="18"/>
                <w:lang w:val="el-GR"/>
              </w:rPr>
              <w:t>Τράπεζα</w:t>
            </w:r>
            <w:r w:rsidRPr="00982DBB">
              <w:rPr>
                <w:rFonts w:ascii="Arial" w:hAnsi="Arial" w:cs="Arial"/>
                <w:sz w:val="18"/>
                <w:szCs w:val="18"/>
                <w:lang w:val="el-GR" w:eastAsia="el-GR"/>
              </w:rPr>
              <w:t>’</w:t>
            </w:r>
            <w:r w:rsidRPr="00982DBB">
              <w:rPr>
                <w:rFonts w:ascii="Arial" w:hAnsi="Arial" w:cs="Arial"/>
                <w:sz w:val="18"/>
                <w:szCs w:val="18"/>
                <w:lang w:val="el-GR"/>
              </w:rPr>
              <w:t xml:space="preserve"> και τις θυγατρικές της Τράπεζας.</w:t>
            </w:r>
          </w:p>
        </w:tc>
      </w:tr>
      <w:tr w:rsidR="00982DBB" w:rsidRPr="00CF1753" w14:paraId="5DA47D1F" w14:textId="77777777" w:rsidTr="00715401">
        <w:tc>
          <w:tcPr>
            <w:tcW w:w="3233" w:type="dxa"/>
          </w:tcPr>
          <w:p w14:paraId="1ED2D5D4" w14:textId="77777777" w:rsidR="00982DBB" w:rsidRPr="00982DBB" w:rsidRDefault="00982DBB" w:rsidP="00982DBB">
            <w:pPr>
              <w:pStyle w:val="FootnoteText"/>
              <w:rPr>
                <w:rFonts w:ascii="Arial" w:hAnsi="Arial" w:cs="Arial"/>
                <w:sz w:val="18"/>
                <w:szCs w:val="18"/>
                <w:lang w:val="el-GR"/>
              </w:rPr>
            </w:pPr>
          </w:p>
        </w:tc>
        <w:tc>
          <w:tcPr>
            <w:tcW w:w="6448" w:type="dxa"/>
            <w:gridSpan w:val="4"/>
          </w:tcPr>
          <w:p w14:paraId="1961F298" w14:textId="77777777" w:rsidR="00982DBB" w:rsidRPr="00982DBB" w:rsidRDefault="00982DBB" w:rsidP="00982DBB">
            <w:pPr>
              <w:pStyle w:val="FootnoteText"/>
              <w:jc w:val="both"/>
              <w:rPr>
                <w:rFonts w:ascii="Arial" w:hAnsi="Arial" w:cs="Arial"/>
                <w:sz w:val="18"/>
                <w:szCs w:val="18"/>
                <w:lang w:val="el-GR"/>
              </w:rPr>
            </w:pPr>
          </w:p>
        </w:tc>
      </w:tr>
      <w:tr w:rsidR="00982DBB" w:rsidRPr="00CF1753" w14:paraId="22F2652E" w14:textId="77777777" w:rsidTr="00715401">
        <w:tc>
          <w:tcPr>
            <w:tcW w:w="3233" w:type="dxa"/>
          </w:tcPr>
          <w:p w14:paraId="0A60E82E" w14:textId="138638C0" w:rsidR="00982DBB" w:rsidRPr="00982DBB" w:rsidRDefault="00982DBB" w:rsidP="00982DBB">
            <w:pPr>
              <w:pStyle w:val="FootnoteText"/>
              <w:rPr>
                <w:rFonts w:ascii="Arial" w:hAnsi="Arial" w:cs="Arial"/>
                <w:sz w:val="18"/>
                <w:szCs w:val="18"/>
                <w:lang w:val="el-GR"/>
              </w:rPr>
            </w:pPr>
            <w:r w:rsidRPr="00982DBB">
              <w:rPr>
                <w:rFonts w:ascii="Arial" w:hAnsi="Arial" w:cs="Arial"/>
                <w:sz w:val="18"/>
                <w:szCs w:val="18"/>
                <w:lang w:val="el-GR"/>
              </w:rPr>
              <w:t>Συνολικός δείκτης κεφαλαιακής επάρκειας</w:t>
            </w:r>
          </w:p>
        </w:tc>
        <w:tc>
          <w:tcPr>
            <w:tcW w:w="6448" w:type="dxa"/>
            <w:gridSpan w:val="4"/>
          </w:tcPr>
          <w:p w14:paraId="42B7DEFD" w14:textId="0C988E42" w:rsidR="00982DBB" w:rsidRPr="00982DBB" w:rsidRDefault="00982DBB" w:rsidP="00982DBB">
            <w:pPr>
              <w:pStyle w:val="FootnoteText"/>
              <w:jc w:val="both"/>
              <w:rPr>
                <w:rFonts w:ascii="Arial" w:hAnsi="Arial" w:cs="Arial"/>
                <w:sz w:val="18"/>
                <w:szCs w:val="18"/>
                <w:lang w:val="el-GR"/>
              </w:rPr>
            </w:pPr>
            <w:r w:rsidRPr="00982DBB">
              <w:rPr>
                <w:rFonts w:ascii="Arial" w:hAnsi="Arial" w:cs="Arial"/>
                <w:sz w:val="18"/>
                <w:szCs w:val="18"/>
                <w:lang w:val="el-GR"/>
              </w:rPr>
              <w:t xml:space="preserve">Ο συνολικός δείκτης κεφαλαιακής επάρκειας έχει καθοριστεί σύμφωνα με τον Κανονισμό Κεφαλαιακών Απαιτήσεων (ΕΕ) Αρ.575/2013, όπως τροποποιήθηκε από τον </w:t>
            </w:r>
            <w:r w:rsidRPr="00982DBB">
              <w:rPr>
                <w:rFonts w:ascii="Arial" w:hAnsi="Arial" w:cs="Arial"/>
                <w:sz w:val="18"/>
                <w:szCs w:val="18"/>
              </w:rPr>
              <w:t>CRR</w:t>
            </w:r>
            <w:r w:rsidRPr="00982DBB">
              <w:rPr>
                <w:rFonts w:ascii="Arial" w:hAnsi="Arial" w:cs="Arial"/>
                <w:sz w:val="18"/>
                <w:szCs w:val="18"/>
                <w:lang w:val="el-GR"/>
              </w:rPr>
              <w:t xml:space="preserve"> </w:t>
            </w:r>
            <w:r w:rsidRPr="00982DBB">
              <w:rPr>
                <w:rFonts w:ascii="Arial" w:hAnsi="Arial" w:cs="Arial"/>
                <w:sz w:val="18"/>
                <w:szCs w:val="18"/>
              </w:rPr>
              <w:t>II</w:t>
            </w:r>
            <w:r w:rsidRPr="00982DBB">
              <w:rPr>
                <w:rFonts w:ascii="Arial" w:hAnsi="Arial" w:cs="Arial"/>
                <w:sz w:val="18"/>
                <w:szCs w:val="18"/>
                <w:lang w:val="el-GR"/>
              </w:rPr>
              <w:t>, όπως εφαρμόζεται κατά την ημερομηνία αναφοράς.</w:t>
            </w:r>
          </w:p>
        </w:tc>
      </w:tr>
      <w:tr w:rsidR="00982DBB" w:rsidRPr="00CF1753" w14:paraId="47982FFB" w14:textId="77777777" w:rsidTr="00715401">
        <w:tc>
          <w:tcPr>
            <w:tcW w:w="3233" w:type="dxa"/>
          </w:tcPr>
          <w:p w14:paraId="4820644F" w14:textId="77777777" w:rsidR="00982DBB" w:rsidRPr="00982DBB" w:rsidRDefault="00982DBB" w:rsidP="00982DBB">
            <w:pPr>
              <w:pStyle w:val="FootnoteText"/>
              <w:rPr>
                <w:rFonts w:ascii="Arial" w:hAnsi="Arial" w:cs="Arial"/>
                <w:sz w:val="18"/>
                <w:szCs w:val="18"/>
                <w:lang w:val="el-GR"/>
              </w:rPr>
            </w:pPr>
          </w:p>
        </w:tc>
        <w:tc>
          <w:tcPr>
            <w:tcW w:w="6448" w:type="dxa"/>
            <w:gridSpan w:val="4"/>
          </w:tcPr>
          <w:p w14:paraId="1DB5194C" w14:textId="77777777" w:rsidR="00982DBB" w:rsidRPr="00982DBB" w:rsidRDefault="00982DBB" w:rsidP="00982DBB">
            <w:pPr>
              <w:pStyle w:val="FootnoteText"/>
              <w:jc w:val="both"/>
              <w:rPr>
                <w:rFonts w:ascii="Arial" w:hAnsi="Arial" w:cs="Arial"/>
                <w:sz w:val="18"/>
                <w:szCs w:val="18"/>
                <w:lang w:val="el-GR"/>
              </w:rPr>
            </w:pPr>
          </w:p>
        </w:tc>
      </w:tr>
      <w:tr w:rsidR="00982DBB" w:rsidRPr="00CF1753" w14:paraId="28399293" w14:textId="77777777" w:rsidTr="00715401">
        <w:tc>
          <w:tcPr>
            <w:tcW w:w="3233" w:type="dxa"/>
          </w:tcPr>
          <w:p w14:paraId="347592F1" w14:textId="5396383E" w:rsidR="00982DBB" w:rsidRPr="00982DBB" w:rsidRDefault="00982DBB" w:rsidP="00982DBB">
            <w:pPr>
              <w:pStyle w:val="FootnoteText"/>
              <w:rPr>
                <w:rFonts w:ascii="Arial" w:hAnsi="Arial" w:cs="Arial"/>
                <w:sz w:val="18"/>
                <w:szCs w:val="18"/>
                <w:lang w:val="el-GR"/>
              </w:rPr>
            </w:pPr>
            <w:r w:rsidRPr="00982DBB">
              <w:rPr>
                <w:rFonts w:ascii="Arial" w:hAnsi="Arial" w:cs="Arial"/>
                <w:sz w:val="18"/>
                <w:szCs w:val="18"/>
                <w:lang w:val="el-GR"/>
              </w:rPr>
              <w:t>Σύνολο εξόδων</w:t>
            </w:r>
          </w:p>
        </w:tc>
        <w:tc>
          <w:tcPr>
            <w:tcW w:w="6448" w:type="dxa"/>
            <w:gridSpan w:val="4"/>
          </w:tcPr>
          <w:p w14:paraId="1D92EA77" w14:textId="4D4B8FE6" w:rsidR="00982DBB" w:rsidRPr="00982DBB" w:rsidRDefault="00982DBB" w:rsidP="00982DBB">
            <w:pPr>
              <w:pStyle w:val="FootnoteText"/>
              <w:jc w:val="both"/>
              <w:rPr>
                <w:rFonts w:ascii="Arial" w:hAnsi="Arial" w:cs="Arial"/>
                <w:sz w:val="18"/>
                <w:szCs w:val="18"/>
                <w:lang w:val="el-GR"/>
              </w:rPr>
            </w:pPr>
            <w:r w:rsidRPr="00982DBB">
              <w:rPr>
                <w:rFonts w:ascii="Arial" w:hAnsi="Arial" w:cs="Arial"/>
                <w:sz w:val="18"/>
                <w:szCs w:val="18"/>
                <w:lang w:val="el-GR"/>
              </w:rPr>
              <w:t xml:space="preserve">Το σύνολο λειτουργικών εξόδων αποτελείται από το κόστος προσωπικού, άλλα λειτουργικά έξοδα και τον ειδικό φόρο επί των καταθέσεων και άλλα τέλη/εισφορές. Δεν περιλαμβάνει ‘έξοδα συμβούλων και άλλα έξοδα μετασχηματισμού- οργανικά’, όπου εφαρμόζονται. Τα ‘έξοδα συμβούλων και άλλα έξοδα μετασχηματισμού- οργανικά’ ήταν μηδενικά για β’ τρίμηνο 2024 (σε σύγκριση με μηδενικά για α’ τρίμηνο 2024 και με €2 εκατ. για το α’ εξάμηνο 2023). </w:t>
            </w:r>
          </w:p>
        </w:tc>
      </w:tr>
      <w:tr w:rsidR="00715401" w:rsidRPr="00CF1753" w14:paraId="5A44DA3A" w14:textId="77777777" w:rsidTr="00715401">
        <w:trPr>
          <w:trHeight w:val="72"/>
        </w:trPr>
        <w:tc>
          <w:tcPr>
            <w:tcW w:w="3233" w:type="dxa"/>
          </w:tcPr>
          <w:p w14:paraId="12F83247" w14:textId="77777777" w:rsidR="00715401" w:rsidRPr="00982DBB" w:rsidRDefault="00715401" w:rsidP="00982DBB">
            <w:pPr>
              <w:pStyle w:val="FootnoteText"/>
              <w:rPr>
                <w:rFonts w:ascii="Arial" w:hAnsi="Arial" w:cs="Arial"/>
                <w:sz w:val="18"/>
                <w:szCs w:val="18"/>
                <w:lang w:val="el-GR"/>
              </w:rPr>
            </w:pPr>
          </w:p>
        </w:tc>
        <w:tc>
          <w:tcPr>
            <w:tcW w:w="6448" w:type="dxa"/>
            <w:gridSpan w:val="4"/>
          </w:tcPr>
          <w:p w14:paraId="56AD87F0" w14:textId="77777777" w:rsidR="00715401" w:rsidRPr="00982DBB" w:rsidRDefault="00715401" w:rsidP="00982DBB">
            <w:pPr>
              <w:pStyle w:val="FootnoteText"/>
              <w:jc w:val="both"/>
              <w:rPr>
                <w:rFonts w:ascii="Arial" w:hAnsi="Arial" w:cs="Arial"/>
                <w:sz w:val="18"/>
                <w:szCs w:val="18"/>
                <w:lang w:val="el-GR"/>
              </w:rPr>
            </w:pPr>
          </w:p>
        </w:tc>
      </w:tr>
      <w:tr w:rsidR="00982DBB" w:rsidRPr="00CF1753" w14:paraId="3D263E6D" w14:textId="77777777" w:rsidTr="00715401">
        <w:trPr>
          <w:trHeight w:val="610"/>
        </w:trPr>
        <w:tc>
          <w:tcPr>
            <w:tcW w:w="3233" w:type="dxa"/>
          </w:tcPr>
          <w:p w14:paraId="43B8E5D9" w14:textId="132C7BC2" w:rsidR="00982DBB" w:rsidRPr="00982DBB" w:rsidRDefault="00982DBB" w:rsidP="00982DBB">
            <w:pPr>
              <w:pStyle w:val="FootnoteText"/>
              <w:rPr>
                <w:rFonts w:ascii="Arial" w:hAnsi="Arial" w:cs="Arial"/>
                <w:sz w:val="18"/>
                <w:szCs w:val="18"/>
                <w:lang w:val="el-GR"/>
              </w:rPr>
            </w:pPr>
            <w:r w:rsidRPr="00982DBB">
              <w:rPr>
                <w:rFonts w:ascii="Arial" w:hAnsi="Arial" w:cs="Arial"/>
                <w:sz w:val="18"/>
                <w:szCs w:val="18"/>
                <w:lang w:val="el-GR"/>
              </w:rPr>
              <w:t xml:space="preserve">Σύνολο εσόδων </w:t>
            </w:r>
          </w:p>
        </w:tc>
        <w:tc>
          <w:tcPr>
            <w:tcW w:w="6448" w:type="dxa"/>
            <w:gridSpan w:val="4"/>
          </w:tcPr>
          <w:p w14:paraId="27568482" w14:textId="2C947F5F" w:rsidR="00982DBB" w:rsidRPr="00982DBB" w:rsidRDefault="00982DBB" w:rsidP="00982DBB">
            <w:pPr>
              <w:pStyle w:val="FootnoteText"/>
              <w:jc w:val="both"/>
              <w:rPr>
                <w:rFonts w:ascii="Arial" w:hAnsi="Arial" w:cs="Arial"/>
                <w:sz w:val="18"/>
                <w:szCs w:val="18"/>
                <w:lang w:val="el-GR"/>
              </w:rPr>
            </w:pPr>
            <w:r w:rsidRPr="00982DBB">
              <w:rPr>
                <w:rFonts w:ascii="Arial" w:hAnsi="Arial" w:cs="Arial"/>
                <w:sz w:val="18"/>
                <w:szCs w:val="18"/>
                <w:lang w:val="el-GR"/>
              </w:rPr>
              <w:t>Το σύνολο εσόδων αποτελείται από τα καθαρά έσοδα από τόκους και τα μη επιτοκιακά έσοδα (ως ορίζεται).</w:t>
            </w:r>
          </w:p>
        </w:tc>
      </w:tr>
      <w:tr w:rsidR="00715401" w:rsidRPr="00CF1753" w14:paraId="0461B3ED" w14:textId="77777777" w:rsidTr="00715401">
        <w:trPr>
          <w:trHeight w:val="99"/>
        </w:trPr>
        <w:tc>
          <w:tcPr>
            <w:tcW w:w="3233" w:type="dxa"/>
          </w:tcPr>
          <w:p w14:paraId="565F3D18" w14:textId="77777777" w:rsidR="00715401" w:rsidRPr="00982DBB" w:rsidRDefault="00715401" w:rsidP="00715401">
            <w:pPr>
              <w:pStyle w:val="FootnoteText"/>
              <w:rPr>
                <w:rFonts w:ascii="Arial" w:hAnsi="Arial" w:cs="Arial"/>
                <w:sz w:val="18"/>
                <w:szCs w:val="18"/>
                <w:lang w:val="el-GR"/>
              </w:rPr>
            </w:pPr>
          </w:p>
        </w:tc>
        <w:tc>
          <w:tcPr>
            <w:tcW w:w="6448" w:type="dxa"/>
            <w:gridSpan w:val="4"/>
          </w:tcPr>
          <w:p w14:paraId="1EB7987D" w14:textId="77777777" w:rsidR="00715401" w:rsidRPr="00982DBB" w:rsidRDefault="00715401" w:rsidP="00715401">
            <w:pPr>
              <w:pStyle w:val="FootnoteText"/>
              <w:jc w:val="both"/>
              <w:rPr>
                <w:rFonts w:ascii="Arial" w:hAnsi="Arial" w:cs="Arial"/>
                <w:sz w:val="18"/>
                <w:szCs w:val="18"/>
                <w:lang w:val="el-GR"/>
              </w:rPr>
            </w:pPr>
          </w:p>
        </w:tc>
      </w:tr>
      <w:tr w:rsidR="00982DBB" w:rsidRPr="00CF1753" w14:paraId="21B07437" w14:textId="77777777" w:rsidTr="00715401">
        <w:tc>
          <w:tcPr>
            <w:tcW w:w="3233" w:type="dxa"/>
          </w:tcPr>
          <w:p w14:paraId="7F35B535" w14:textId="235BCED1" w:rsidR="00982DBB" w:rsidRPr="00982DBB" w:rsidRDefault="00982DBB" w:rsidP="00982DBB">
            <w:pPr>
              <w:pStyle w:val="FootnoteText"/>
              <w:spacing w:after="240"/>
              <w:rPr>
                <w:rFonts w:ascii="Arial" w:hAnsi="Arial" w:cs="Arial"/>
                <w:sz w:val="18"/>
                <w:szCs w:val="18"/>
                <w:lang w:val="el-GR"/>
              </w:rPr>
            </w:pPr>
            <w:r w:rsidRPr="00982DBB">
              <w:rPr>
                <w:rFonts w:ascii="Arial" w:hAnsi="Arial" w:cs="Arial"/>
                <w:sz w:val="18"/>
                <w:szCs w:val="18"/>
                <w:lang w:val="el-GR"/>
              </w:rPr>
              <w:t>Σύνολο πιστωτικών ζημιών δανείων, απομειώσεων και προβλέψεων</w:t>
            </w:r>
          </w:p>
        </w:tc>
        <w:tc>
          <w:tcPr>
            <w:tcW w:w="6448" w:type="dxa"/>
            <w:gridSpan w:val="4"/>
          </w:tcPr>
          <w:p w14:paraId="3B1D3124" w14:textId="77777777" w:rsidR="00982DBB" w:rsidRPr="00982DBB" w:rsidRDefault="00982DBB" w:rsidP="00982DBB">
            <w:pPr>
              <w:pStyle w:val="FootnoteText"/>
              <w:jc w:val="both"/>
              <w:rPr>
                <w:rFonts w:ascii="Arial" w:hAnsi="Arial" w:cs="Arial"/>
                <w:sz w:val="18"/>
                <w:szCs w:val="18"/>
                <w:lang w:val="el-GR"/>
              </w:rPr>
            </w:pPr>
            <w:r w:rsidRPr="00982DBB">
              <w:rPr>
                <w:rFonts w:ascii="Arial" w:hAnsi="Arial" w:cs="Arial"/>
                <w:sz w:val="18"/>
                <w:szCs w:val="18"/>
                <w:lang w:val="el-GR"/>
              </w:rPr>
              <w:t>Το σύνολο πιστωτικών ζημιών δανείων, απομειώσεων και προβλέψεων αποτελείται από πιστωτικές ζημιές δανείων (όπως ορίζονται), και απομειώσεις άλλων χρηματοοικονομικών και μη χρηματοοικονομικών περιουσιακών στοιχείων</w:t>
            </w:r>
            <w:r w:rsidRPr="00982DBB" w:rsidDel="004F3C50">
              <w:rPr>
                <w:rFonts w:ascii="Arial" w:hAnsi="Arial" w:cs="Arial"/>
                <w:sz w:val="18"/>
                <w:szCs w:val="18"/>
                <w:lang w:val="el-GR"/>
              </w:rPr>
              <w:t xml:space="preserve"> </w:t>
            </w:r>
            <w:r w:rsidRPr="00982DBB">
              <w:rPr>
                <w:rFonts w:ascii="Arial" w:hAnsi="Arial" w:cs="Arial"/>
                <w:sz w:val="18"/>
                <w:szCs w:val="18"/>
                <w:lang w:val="el-GR"/>
              </w:rPr>
              <w:t>και προβλέψεις για επιδικίες, απαιτήσεις, κανονιστικά θέματα και άλλα θέματα (μετά από αναστροφές).</w:t>
            </w:r>
          </w:p>
          <w:p w14:paraId="4A75BBBF" w14:textId="1CCA3B1A" w:rsidR="00982DBB" w:rsidRPr="00982DBB" w:rsidRDefault="00982DBB" w:rsidP="00982DBB">
            <w:pPr>
              <w:pStyle w:val="FootnoteText"/>
              <w:spacing w:after="240"/>
              <w:jc w:val="both"/>
              <w:rPr>
                <w:rFonts w:ascii="Arial" w:hAnsi="Arial" w:cs="Arial"/>
                <w:sz w:val="18"/>
                <w:szCs w:val="18"/>
                <w:lang w:val="el-GR"/>
              </w:rPr>
            </w:pPr>
          </w:p>
        </w:tc>
      </w:tr>
      <w:tr w:rsidR="00982DBB" w:rsidRPr="00CF1753" w14:paraId="7F8CB52C" w14:textId="77777777" w:rsidTr="00715401">
        <w:tc>
          <w:tcPr>
            <w:tcW w:w="3233" w:type="dxa"/>
          </w:tcPr>
          <w:p w14:paraId="0967360E" w14:textId="154A26DF" w:rsidR="00982DBB" w:rsidRPr="00982DBB" w:rsidRDefault="00982DBB" w:rsidP="00715401">
            <w:pPr>
              <w:pStyle w:val="FootnoteText"/>
              <w:rPr>
                <w:rFonts w:ascii="Arial" w:hAnsi="Arial" w:cs="Arial"/>
                <w:sz w:val="18"/>
                <w:szCs w:val="18"/>
                <w:lang w:val="el-GR"/>
              </w:rPr>
            </w:pPr>
          </w:p>
        </w:tc>
        <w:tc>
          <w:tcPr>
            <w:tcW w:w="6448" w:type="dxa"/>
            <w:gridSpan w:val="4"/>
          </w:tcPr>
          <w:p w14:paraId="579162EB" w14:textId="217AD604" w:rsidR="00982DBB" w:rsidRPr="00982DBB" w:rsidRDefault="00982DBB" w:rsidP="00715401">
            <w:pPr>
              <w:pStyle w:val="FootnoteText"/>
              <w:jc w:val="both"/>
              <w:rPr>
                <w:rFonts w:ascii="Arial" w:hAnsi="Arial" w:cs="Arial"/>
                <w:sz w:val="18"/>
                <w:szCs w:val="18"/>
                <w:lang w:val="el-GR"/>
              </w:rPr>
            </w:pPr>
          </w:p>
        </w:tc>
      </w:tr>
      <w:tr w:rsidR="00715401" w:rsidRPr="00CF1753" w14:paraId="7191BB81" w14:textId="77777777" w:rsidTr="00715401">
        <w:tc>
          <w:tcPr>
            <w:tcW w:w="3233" w:type="dxa"/>
          </w:tcPr>
          <w:p w14:paraId="72A2D941" w14:textId="050D4B7B" w:rsidR="00715401" w:rsidRPr="00982DBB" w:rsidRDefault="00715401" w:rsidP="00715401">
            <w:pPr>
              <w:pStyle w:val="FootnoteText"/>
              <w:rPr>
                <w:rFonts w:ascii="Arial" w:hAnsi="Arial" w:cs="Arial"/>
                <w:sz w:val="18"/>
                <w:szCs w:val="18"/>
                <w:lang w:val="el-GR"/>
              </w:rPr>
            </w:pPr>
            <w:r w:rsidRPr="00982DBB">
              <w:rPr>
                <w:rFonts w:ascii="Arial" w:hAnsi="Arial" w:cs="Arial"/>
                <w:sz w:val="18"/>
                <w:szCs w:val="18"/>
                <w:lang w:val="el-GR"/>
              </w:rPr>
              <w:t>Σύνολο πιστωτικών ζημιών δανείων, απομειώσεων και προβλέψεων</w:t>
            </w:r>
          </w:p>
        </w:tc>
        <w:tc>
          <w:tcPr>
            <w:tcW w:w="6448" w:type="dxa"/>
            <w:gridSpan w:val="4"/>
          </w:tcPr>
          <w:p w14:paraId="6A155698" w14:textId="77777777" w:rsidR="00715401" w:rsidRPr="00982DBB" w:rsidRDefault="00715401" w:rsidP="00715401">
            <w:pPr>
              <w:pStyle w:val="FootnoteText"/>
              <w:jc w:val="both"/>
              <w:rPr>
                <w:rFonts w:ascii="Arial" w:hAnsi="Arial" w:cs="Arial"/>
                <w:sz w:val="18"/>
                <w:szCs w:val="18"/>
                <w:lang w:val="el-GR"/>
              </w:rPr>
            </w:pPr>
            <w:r w:rsidRPr="00982DBB">
              <w:rPr>
                <w:rFonts w:ascii="Arial" w:hAnsi="Arial" w:cs="Arial"/>
                <w:sz w:val="18"/>
                <w:szCs w:val="18"/>
                <w:lang w:val="el-GR"/>
              </w:rPr>
              <w:t>Το σύνολο πιστωτικών ζημιών δανείων, απομειώσεων και προβλέψεων αποτελείται από πιστωτικές ζημιές δανείων (όπως ορίζονται), και απομειώσεις άλλων χρηματοοικονομικών και μη χρηματοοικονομικών περιουσιακών στοιχείων</w:t>
            </w:r>
            <w:r w:rsidRPr="00982DBB" w:rsidDel="004F3C50">
              <w:rPr>
                <w:rFonts w:ascii="Arial" w:hAnsi="Arial" w:cs="Arial"/>
                <w:sz w:val="18"/>
                <w:szCs w:val="18"/>
                <w:lang w:val="el-GR"/>
              </w:rPr>
              <w:t xml:space="preserve"> </w:t>
            </w:r>
            <w:r w:rsidRPr="00982DBB">
              <w:rPr>
                <w:rFonts w:ascii="Arial" w:hAnsi="Arial" w:cs="Arial"/>
                <w:sz w:val="18"/>
                <w:szCs w:val="18"/>
                <w:lang w:val="el-GR"/>
              </w:rPr>
              <w:t>και προβλέψεις για επιδικίες, απαιτήσεις, κανονιστικά θέματα και άλλα θέματα (μετά από αναστροφές).</w:t>
            </w:r>
          </w:p>
          <w:p w14:paraId="6C757837" w14:textId="77777777" w:rsidR="00715401" w:rsidRPr="00982DBB" w:rsidRDefault="00715401" w:rsidP="00715401">
            <w:pPr>
              <w:pStyle w:val="FootnoteText"/>
              <w:jc w:val="both"/>
              <w:rPr>
                <w:rFonts w:ascii="Arial" w:hAnsi="Arial" w:cs="Arial"/>
                <w:sz w:val="18"/>
                <w:szCs w:val="18"/>
                <w:lang w:val="el-GR"/>
              </w:rPr>
            </w:pPr>
          </w:p>
        </w:tc>
      </w:tr>
      <w:tr w:rsidR="00715401" w:rsidRPr="00CF1753" w14:paraId="36F48CD2" w14:textId="77777777" w:rsidTr="00715401">
        <w:trPr>
          <w:trHeight w:val="426"/>
        </w:trPr>
        <w:tc>
          <w:tcPr>
            <w:tcW w:w="9681" w:type="dxa"/>
            <w:gridSpan w:val="5"/>
          </w:tcPr>
          <w:p w14:paraId="411753BF" w14:textId="1E1E5D78" w:rsidR="00715401" w:rsidRPr="00715401" w:rsidRDefault="00715401" w:rsidP="00715401">
            <w:pPr>
              <w:jc w:val="both"/>
              <w:rPr>
                <w:rFonts w:ascii="Arial" w:hAnsi="Arial" w:cs="Arial"/>
                <w:bCs/>
                <w:color w:val="FF9900"/>
                <w:sz w:val="24"/>
                <w:szCs w:val="24"/>
                <w:lang w:val="el-GR"/>
              </w:rPr>
            </w:pPr>
            <w:r w:rsidRPr="00982DBB">
              <w:rPr>
                <w:rFonts w:ascii="Arial" w:hAnsi="Arial" w:cs="Arial"/>
                <w:b/>
                <w:color w:val="FF9900"/>
                <w:sz w:val="24"/>
                <w:szCs w:val="24"/>
                <w:lang w:val="el-GR"/>
              </w:rPr>
              <w:lastRenderedPageBreak/>
              <w:t>ΣΤ. Όροι και Επεξηγήσεις</w:t>
            </w:r>
            <w:r w:rsidRPr="00982DBB">
              <w:rPr>
                <w:rFonts w:ascii="Arial" w:hAnsi="Arial" w:cs="Arial"/>
                <w:bCs/>
                <w:color w:val="FF9900"/>
                <w:sz w:val="24"/>
                <w:szCs w:val="24"/>
                <w:lang w:val="el-GR"/>
              </w:rPr>
              <w:t xml:space="preserve"> (συνέχεια)</w:t>
            </w:r>
          </w:p>
        </w:tc>
      </w:tr>
      <w:tr w:rsidR="00715401" w:rsidRPr="00CF1753" w14:paraId="7D8FE474" w14:textId="77777777" w:rsidTr="00715401">
        <w:tc>
          <w:tcPr>
            <w:tcW w:w="3233" w:type="dxa"/>
          </w:tcPr>
          <w:p w14:paraId="6569BA1C" w14:textId="77777777" w:rsidR="00715401" w:rsidRPr="00982DBB" w:rsidRDefault="00715401" w:rsidP="00715401">
            <w:pPr>
              <w:pStyle w:val="FootnoteText"/>
              <w:spacing w:after="120"/>
              <w:rPr>
                <w:rFonts w:ascii="Arial" w:hAnsi="Arial" w:cs="Arial"/>
                <w:sz w:val="18"/>
                <w:szCs w:val="18"/>
                <w:lang w:val="el-GR"/>
              </w:rPr>
            </w:pPr>
            <w:r w:rsidRPr="00982DBB">
              <w:rPr>
                <w:rFonts w:ascii="Arial" w:hAnsi="Arial" w:cs="Arial"/>
                <w:sz w:val="18"/>
                <w:szCs w:val="18"/>
                <w:lang w:val="el-GR"/>
              </w:rPr>
              <w:t>Συσσωρευμένες αναμενόμενες πιστωτικές ζημιές δανείων (</w:t>
            </w:r>
            <w:r w:rsidRPr="00982DBB">
              <w:rPr>
                <w:rFonts w:ascii="Arial" w:hAnsi="Arial" w:cs="Arial"/>
                <w:sz w:val="18"/>
                <w:szCs w:val="18"/>
              </w:rPr>
              <w:t>B</w:t>
            </w:r>
            <w:r w:rsidRPr="00982DBB">
              <w:rPr>
                <w:rFonts w:ascii="Arial" w:hAnsi="Arial" w:cs="Arial"/>
                <w:sz w:val="18"/>
                <w:szCs w:val="18"/>
                <w:lang w:val="el-GR"/>
              </w:rPr>
              <w:t>/</w:t>
            </w:r>
            <w:r w:rsidRPr="00982DBB">
              <w:rPr>
                <w:rFonts w:ascii="Arial" w:hAnsi="Arial" w:cs="Arial"/>
                <w:sz w:val="18"/>
                <w:szCs w:val="18"/>
              </w:rPr>
              <w:t>S</w:t>
            </w:r>
            <w:r w:rsidRPr="00982DBB">
              <w:rPr>
                <w:rFonts w:ascii="Arial" w:hAnsi="Arial" w:cs="Arial"/>
                <w:sz w:val="18"/>
                <w:szCs w:val="18"/>
                <w:lang w:val="el-GR"/>
              </w:rPr>
              <w:t>)</w:t>
            </w:r>
          </w:p>
        </w:tc>
        <w:tc>
          <w:tcPr>
            <w:tcW w:w="6448" w:type="dxa"/>
            <w:gridSpan w:val="4"/>
          </w:tcPr>
          <w:p w14:paraId="2415B10B" w14:textId="0068270E" w:rsidR="00715401" w:rsidRPr="00982DBB" w:rsidRDefault="00715401" w:rsidP="00715401">
            <w:pPr>
              <w:pStyle w:val="FootnoteText"/>
              <w:jc w:val="both"/>
              <w:rPr>
                <w:rFonts w:ascii="Arial" w:hAnsi="Arial" w:cs="Arial"/>
                <w:sz w:val="18"/>
                <w:szCs w:val="18"/>
                <w:lang w:val="el-GR"/>
              </w:rPr>
            </w:pPr>
            <w:r w:rsidRPr="00982DBB">
              <w:rPr>
                <w:rFonts w:ascii="Arial" w:hAnsi="Arial" w:cs="Arial"/>
                <w:sz w:val="18"/>
                <w:szCs w:val="18"/>
                <w:lang w:val="el-GR"/>
              </w:rPr>
              <w:t>Οι συσσωρευμένες αναμενόμενες πιστωτικές ζημιές για κάλυψη πιστωτικού κινδύνου δανείων και απαιτήσεων από πελάτες περιλαμβάνουν: (i) αναμενόμενες πιστωτικές ζημιές δανείων και απαιτήσεων από πελάτες (περιλαμβανομένων αναμενομένων πιστωτικών ζημιών δανείων και απαιτήσεων από πελάτες που κατέχονται προς πώληση όπου εφαρμόζεται), (ii) εναπομείνουσα αναπροσαρμογή στην εύλογη αξία κατά την αρχική αναγνώριση των δανείων και απαιτήσεων από πελάτες, (περιλαμβανομένης της εναπομείνουσας αναπροσαρμογής στην εύλογη αξία κατά την αρχική αναγνώριση των δανείων και απαιτήσεων από πελάτες που κατέχονται προς πώληση όπου εφαρμόζεται), (iii) αναμενόμενες πιστωτικές ζημιές για στοιχεία εκτός ισολογισμού (χρηματοοικονομικές εγγυήσεις και ανειλημμένες υποχρεώσεις) που παρουσιάζονται στον ισολογισμό στις λοιπές υποχρεώσεις και (iv) συσσωρευμένη αναπροσαρμογή στην εύλογη αξία για δάνεια και απαιτήσεις από πελάτες που κατηγοριοποιούνται και επιμετρούνται στην εύλογη αξία μέσω των αποτελεσμάτων.</w:t>
            </w:r>
          </w:p>
          <w:p w14:paraId="6F35C9E9" w14:textId="77777777" w:rsidR="00715401" w:rsidRPr="00982DBB" w:rsidRDefault="00715401" w:rsidP="00715401">
            <w:pPr>
              <w:pStyle w:val="FootnoteText"/>
              <w:jc w:val="both"/>
              <w:rPr>
                <w:rFonts w:ascii="Arial" w:hAnsi="Arial" w:cs="Arial"/>
                <w:sz w:val="18"/>
                <w:szCs w:val="18"/>
                <w:lang w:val="el-GR"/>
              </w:rPr>
            </w:pPr>
          </w:p>
        </w:tc>
      </w:tr>
      <w:tr w:rsidR="00715401" w:rsidRPr="00CF1753" w14:paraId="0A757F83" w14:textId="77777777" w:rsidTr="00715401">
        <w:tc>
          <w:tcPr>
            <w:tcW w:w="3233" w:type="dxa"/>
          </w:tcPr>
          <w:p w14:paraId="24C101A1" w14:textId="77777777" w:rsidR="00715401" w:rsidRPr="00982DBB" w:rsidRDefault="00715401" w:rsidP="00715401">
            <w:pPr>
              <w:pStyle w:val="FootnoteText"/>
              <w:rPr>
                <w:rFonts w:ascii="Arial" w:hAnsi="Arial" w:cs="Arial"/>
                <w:sz w:val="18"/>
                <w:szCs w:val="18"/>
                <w:lang w:val="el-GR"/>
              </w:rPr>
            </w:pPr>
          </w:p>
        </w:tc>
        <w:tc>
          <w:tcPr>
            <w:tcW w:w="6448" w:type="dxa"/>
            <w:gridSpan w:val="4"/>
          </w:tcPr>
          <w:p w14:paraId="1B6846EC" w14:textId="77777777" w:rsidR="00715401" w:rsidRPr="00982DBB" w:rsidRDefault="00715401" w:rsidP="00715401">
            <w:pPr>
              <w:pStyle w:val="FootnoteText"/>
              <w:jc w:val="both"/>
              <w:rPr>
                <w:rFonts w:ascii="Arial" w:hAnsi="Arial" w:cs="Arial"/>
                <w:sz w:val="18"/>
                <w:szCs w:val="18"/>
                <w:lang w:val="el-GR"/>
              </w:rPr>
            </w:pPr>
          </w:p>
        </w:tc>
      </w:tr>
      <w:tr w:rsidR="00715401" w:rsidRPr="006B5511" w14:paraId="12331DC8" w14:textId="77777777" w:rsidTr="00715401">
        <w:tc>
          <w:tcPr>
            <w:tcW w:w="3233" w:type="dxa"/>
          </w:tcPr>
          <w:p w14:paraId="143C3D3D" w14:textId="77777777" w:rsidR="00715401" w:rsidRPr="00982DBB" w:rsidRDefault="00715401" w:rsidP="00715401">
            <w:pPr>
              <w:pStyle w:val="FootnoteText"/>
              <w:spacing w:after="120"/>
              <w:rPr>
                <w:rFonts w:ascii="Arial" w:hAnsi="Arial" w:cs="Arial"/>
                <w:sz w:val="18"/>
                <w:szCs w:val="18"/>
                <w:lang w:val="el-GR"/>
              </w:rPr>
            </w:pPr>
            <w:r w:rsidRPr="00982DBB">
              <w:rPr>
                <w:rFonts w:ascii="Arial" w:hAnsi="Arial" w:cs="Arial"/>
                <w:sz w:val="18"/>
                <w:szCs w:val="18"/>
                <w:lang w:val="el-GR"/>
              </w:rPr>
              <w:t>Τριμηνιαία βάση</w:t>
            </w:r>
          </w:p>
        </w:tc>
        <w:tc>
          <w:tcPr>
            <w:tcW w:w="6448" w:type="dxa"/>
            <w:gridSpan w:val="4"/>
          </w:tcPr>
          <w:p w14:paraId="660613D1" w14:textId="665F5C21" w:rsidR="00715401" w:rsidRPr="00982DBB" w:rsidRDefault="00715401" w:rsidP="00715401">
            <w:pPr>
              <w:pStyle w:val="FootnoteText"/>
              <w:jc w:val="both"/>
              <w:rPr>
                <w:rFonts w:ascii="Arial" w:hAnsi="Arial" w:cs="Arial"/>
                <w:sz w:val="18"/>
                <w:szCs w:val="18"/>
                <w:lang w:val="el-GR"/>
              </w:rPr>
            </w:pPr>
            <w:r w:rsidRPr="00982DBB">
              <w:rPr>
                <w:rFonts w:ascii="Arial" w:hAnsi="Arial" w:cs="Arial"/>
                <w:sz w:val="18"/>
                <w:szCs w:val="18"/>
                <w:lang w:val="el-GR"/>
              </w:rPr>
              <w:t>Αλλαγές σε τριμηνιαία βάση</w:t>
            </w:r>
          </w:p>
        </w:tc>
      </w:tr>
      <w:tr w:rsidR="00715401" w:rsidRPr="006B5511" w14:paraId="299970C3" w14:textId="77777777" w:rsidTr="00715401">
        <w:tc>
          <w:tcPr>
            <w:tcW w:w="3233" w:type="dxa"/>
          </w:tcPr>
          <w:p w14:paraId="40A4A912" w14:textId="2267E6BB" w:rsidR="00715401" w:rsidRPr="00982DBB" w:rsidRDefault="00715401" w:rsidP="00715401">
            <w:pPr>
              <w:pStyle w:val="FootnoteText"/>
              <w:rPr>
                <w:rFonts w:ascii="Arial" w:hAnsi="Arial" w:cs="Arial"/>
                <w:sz w:val="18"/>
                <w:szCs w:val="18"/>
                <w:lang w:val="el-GR"/>
              </w:rPr>
            </w:pPr>
          </w:p>
        </w:tc>
        <w:tc>
          <w:tcPr>
            <w:tcW w:w="6448" w:type="dxa"/>
            <w:gridSpan w:val="4"/>
          </w:tcPr>
          <w:p w14:paraId="07F6FECB" w14:textId="1F739253" w:rsidR="00715401" w:rsidRPr="00982DBB" w:rsidRDefault="00715401" w:rsidP="00715401">
            <w:pPr>
              <w:pStyle w:val="FootnoteText"/>
              <w:jc w:val="both"/>
              <w:rPr>
                <w:rFonts w:ascii="Arial" w:hAnsi="Arial" w:cs="Arial"/>
                <w:sz w:val="18"/>
                <w:szCs w:val="18"/>
                <w:lang w:val="el-GR"/>
              </w:rPr>
            </w:pPr>
          </w:p>
        </w:tc>
      </w:tr>
      <w:tr w:rsidR="00715401" w:rsidRPr="00CF1753" w14:paraId="76A347A1" w14:textId="77777777" w:rsidTr="00715401">
        <w:tc>
          <w:tcPr>
            <w:tcW w:w="3233" w:type="dxa"/>
          </w:tcPr>
          <w:p w14:paraId="28836651" w14:textId="77777777" w:rsidR="00715401" w:rsidRPr="00982DBB" w:rsidRDefault="00715401" w:rsidP="00715401">
            <w:pPr>
              <w:pStyle w:val="FootnoteText"/>
              <w:spacing w:after="120"/>
              <w:rPr>
                <w:rFonts w:ascii="Arial" w:hAnsi="Arial" w:cs="Arial"/>
                <w:sz w:val="18"/>
                <w:szCs w:val="18"/>
                <w:lang w:val="el-GR"/>
              </w:rPr>
            </w:pPr>
            <w:r w:rsidRPr="00982DBB">
              <w:rPr>
                <w:rFonts w:ascii="Arial" w:hAnsi="Arial" w:cs="Arial"/>
                <w:sz w:val="18"/>
                <w:szCs w:val="18"/>
                <w:lang w:val="el-GR"/>
              </w:rPr>
              <w:t>Υποκείμενη βάση</w:t>
            </w:r>
          </w:p>
          <w:p w14:paraId="2C4D7310" w14:textId="77777777" w:rsidR="00715401" w:rsidRPr="00982DBB" w:rsidRDefault="00715401" w:rsidP="00715401">
            <w:pPr>
              <w:pStyle w:val="FootnoteText"/>
              <w:spacing w:after="240"/>
              <w:rPr>
                <w:rFonts w:ascii="Arial" w:hAnsi="Arial" w:cs="Arial"/>
                <w:sz w:val="18"/>
                <w:szCs w:val="18"/>
                <w:lang w:val="el-GR"/>
              </w:rPr>
            </w:pPr>
          </w:p>
        </w:tc>
        <w:tc>
          <w:tcPr>
            <w:tcW w:w="6448" w:type="dxa"/>
            <w:gridSpan w:val="4"/>
          </w:tcPr>
          <w:p w14:paraId="324405E7" w14:textId="23B9E15E" w:rsidR="00715401" w:rsidRPr="00982DBB" w:rsidRDefault="00715401" w:rsidP="00715401">
            <w:pPr>
              <w:pStyle w:val="FootnoteText"/>
              <w:spacing w:after="120"/>
              <w:jc w:val="both"/>
              <w:rPr>
                <w:rFonts w:ascii="Arial" w:hAnsi="Arial" w:cs="Arial"/>
                <w:sz w:val="18"/>
                <w:szCs w:val="18"/>
                <w:lang w:val="el-GR"/>
              </w:rPr>
            </w:pPr>
            <w:r w:rsidRPr="00982DBB">
              <w:rPr>
                <w:rFonts w:ascii="Arial" w:hAnsi="Arial" w:cs="Arial"/>
                <w:sz w:val="18"/>
                <w:szCs w:val="18"/>
                <w:lang w:val="el-GR"/>
              </w:rPr>
              <w:t>Αναφέρεται στα οικονομικά αποτελέσματα στην βάση ως απαιτείται από τη νομοθεσία μετά την προσαρμογή για επαναταξινόμηση ορισμένων στοιχείων όπως επεξηγείται στη Βάση Παρουσίασης.</w:t>
            </w:r>
          </w:p>
        </w:tc>
      </w:tr>
      <w:tr w:rsidR="00715401" w:rsidRPr="00CF1753" w14:paraId="11245107" w14:textId="77777777" w:rsidTr="00715401">
        <w:tc>
          <w:tcPr>
            <w:tcW w:w="3233" w:type="dxa"/>
          </w:tcPr>
          <w:p w14:paraId="2853989A" w14:textId="77777777" w:rsidR="00715401" w:rsidRPr="00982DBB" w:rsidRDefault="00715401" w:rsidP="00715401">
            <w:pPr>
              <w:pStyle w:val="FootnoteText"/>
              <w:rPr>
                <w:rFonts w:ascii="Arial" w:hAnsi="Arial" w:cs="Arial"/>
                <w:sz w:val="18"/>
                <w:szCs w:val="18"/>
                <w:lang w:val="el-GR"/>
              </w:rPr>
            </w:pPr>
          </w:p>
        </w:tc>
        <w:tc>
          <w:tcPr>
            <w:tcW w:w="6448" w:type="dxa"/>
            <w:gridSpan w:val="4"/>
          </w:tcPr>
          <w:p w14:paraId="2A120A5D" w14:textId="77777777" w:rsidR="00715401" w:rsidRPr="00982DBB" w:rsidRDefault="00715401" w:rsidP="00715401">
            <w:pPr>
              <w:pStyle w:val="FootnoteText"/>
              <w:jc w:val="both"/>
              <w:rPr>
                <w:rFonts w:ascii="Arial" w:hAnsi="Arial" w:cs="Arial"/>
                <w:sz w:val="18"/>
                <w:szCs w:val="18"/>
                <w:lang w:val="el-GR"/>
              </w:rPr>
            </w:pPr>
          </w:p>
        </w:tc>
      </w:tr>
      <w:tr w:rsidR="00715401" w:rsidRPr="00CF1753" w14:paraId="1555A5DE" w14:textId="77777777" w:rsidTr="00715401">
        <w:tc>
          <w:tcPr>
            <w:tcW w:w="3233" w:type="dxa"/>
          </w:tcPr>
          <w:p w14:paraId="763FEEE4" w14:textId="4A99F0AD" w:rsidR="00715401" w:rsidRPr="00982DBB" w:rsidRDefault="00715401" w:rsidP="00715401">
            <w:pPr>
              <w:pStyle w:val="FootnoteText"/>
              <w:spacing w:after="240"/>
              <w:rPr>
                <w:rFonts w:ascii="Arial" w:hAnsi="Arial" w:cs="Arial"/>
                <w:sz w:val="18"/>
                <w:szCs w:val="18"/>
                <w:lang w:val="el-GR"/>
              </w:rPr>
            </w:pPr>
            <w:r w:rsidRPr="00982DBB">
              <w:rPr>
                <w:rFonts w:ascii="Arial" w:hAnsi="Arial" w:cs="Arial"/>
                <w:sz w:val="18"/>
                <w:szCs w:val="18"/>
                <w:lang w:val="el-GR"/>
              </w:rPr>
              <w:t>Χαρτοφυλάκιο καθαρών εξυπηρετούμενων δανείων</w:t>
            </w:r>
          </w:p>
        </w:tc>
        <w:tc>
          <w:tcPr>
            <w:tcW w:w="6448" w:type="dxa"/>
            <w:gridSpan w:val="4"/>
          </w:tcPr>
          <w:p w14:paraId="0DBC8C0E" w14:textId="24F9E8E2" w:rsidR="00715401" w:rsidRPr="00982DBB" w:rsidRDefault="00715401" w:rsidP="00715401">
            <w:pPr>
              <w:pStyle w:val="FootnoteText"/>
              <w:spacing w:after="120"/>
              <w:jc w:val="both"/>
              <w:rPr>
                <w:rFonts w:ascii="Arial" w:hAnsi="Arial" w:cs="Arial"/>
                <w:sz w:val="18"/>
                <w:szCs w:val="18"/>
                <w:lang w:val="el-GR"/>
              </w:rPr>
            </w:pPr>
            <w:r w:rsidRPr="00982DBB">
              <w:rPr>
                <w:rFonts w:ascii="Arial" w:hAnsi="Arial" w:cs="Arial"/>
                <w:sz w:val="18"/>
                <w:szCs w:val="18"/>
                <w:lang w:val="el-GR"/>
              </w:rPr>
              <w:t>Το χαρτοφυλάκιο καθαρών εξυπηρετούμενων δανείων αποτελείται από το σύνολο τον καθαρών δανείων και απαιτήσεων από πελάτες (ως ορίζεται) εξαιρουμένων των καθαρών δανείων των χαρτοφυλακίων (i) της Μονάδας Αναδιάρθρωσης και Ανάκτησης Χρεών (Restructuring &amp; Recoveries Division, RRD), (ii) της Διεύθυνσης Διαχείρισης Ακινήτων (Real Estate Management Unit, REMU), και (iii) των μη κύριων εκθέσεων εξωτερικού.</w:t>
            </w:r>
          </w:p>
        </w:tc>
      </w:tr>
      <w:tr w:rsidR="00715401" w:rsidRPr="00CF1753" w14:paraId="2326C6CC" w14:textId="77777777" w:rsidTr="00715401">
        <w:tc>
          <w:tcPr>
            <w:tcW w:w="3233" w:type="dxa"/>
          </w:tcPr>
          <w:p w14:paraId="5ED7D093" w14:textId="77777777" w:rsidR="00715401" w:rsidRPr="00982DBB" w:rsidRDefault="00715401" w:rsidP="00715401">
            <w:pPr>
              <w:pStyle w:val="FootnoteText"/>
              <w:rPr>
                <w:rFonts w:ascii="Arial" w:hAnsi="Arial" w:cs="Arial"/>
                <w:sz w:val="18"/>
                <w:szCs w:val="18"/>
                <w:lang w:val="el-GR"/>
              </w:rPr>
            </w:pPr>
          </w:p>
        </w:tc>
        <w:tc>
          <w:tcPr>
            <w:tcW w:w="6448" w:type="dxa"/>
            <w:gridSpan w:val="4"/>
          </w:tcPr>
          <w:p w14:paraId="1869852D" w14:textId="77777777" w:rsidR="00715401" w:rsidRPr="00982DBB" w:rsidRDefault="00715401" w:rsidP="00715401">
            <w:pPr>
              <w:pStyle w:val="FootnoteText"/>
              <w:jc w:val="both"/>
              <w:rPr>
                <w:rFonts w:ascii="Arial" w:hAnsi="Arial" w:cs="Arial"/>
                <w:sz w:val="18"/>
                <w:szCs w:val="18"/>
                <w:lang w:val="el-GR"/>
              </w:rPr>
            </w:pPr>
          </w:p>
        </w:tc>
      </w:tr>
      <w:tr w:rsidR="00715401" w:rsidRPr="00CF1753" w14:paraId="32AC35B5" w14:textId="77777777" w:rsidTr="00715401">
        <w:tc>
          <w:tcPr>
            <w:tcW w:w="3233" w:type="dxa"/>
          </w:tcPr>
          <w:p w14:paraId="762847AC" w14:textId="77777777" w:rsidR="00715401" w:rsidRPr="00982DBB" w:rsidRDefault="00715401" w:rsidP="00715401">
            <w:pPr>
              <w:pStyle w:val="FootnoteText"/>
              <w:spacing w:after="240"/>
              <w:rPr>
                <w:rFonts w:ascii="Arial" w:hAnsi="Arial" w:cs="Arial"/>
                <w:sz w:val="18"/>
                <w:szCs w:val="18"/>
                <w:lang w:val="el-GR"/>
              </w:rPr>
            </w:pPr>
            <w:r w:rsidRPr="00982DBB">
              <w:rPr>
                <w:rFonts w:ascii="Arial" w:hAnsi="Arial" w:cs="Arial"/>
                <w:sz w:val="18"/>
                <w:szCs w:val="18"/>
                <w:lang w:val="el-GR"/>
              </w:rPr>
              <w:t>Χρέωση για πιστωτικές ζημιές δανείων (cost of risk)</w:t>
            </w:r>
          </w:p>
        </w:tc>
        <w:tc>
          <w:tcPr>
            <w:tcW w:w="6448" w:type="dxa"/>
            <w:gridSpan w:val="4"/>
          </w:tcPr>
          <w:p w14:paraId="0252845B" w14:textId="53A4F995" w:rsidR="00715401" w:rsidRPr="00982DBB" w:rsidRDefault="00715401" w:rsidP="00715401">
            <w:pPr>
              <w:pStyle w:val="FootnoteText"/>
              <w:spacing w:after="120"/>
              <w:jc w:val="both"/>
              <w:rPr>
                <w:rFonts w:ascii="Arial" w:hAnsi="Arial" w:cs="Arial"/>
                <w:sz w:val="18"/>
                <w:szCs w:val="18"/>
                <w:lang w:val="el-GR"/>
              </w:rPr>
            </w:pPr>
            <w:r w:rsidRPr="00982DBB">
              <w:rPr>
                <w:rFonts w:ascii="Arial" w:hAnsi="Arial" w:cs="Arial"/>
                <w:sz w:val="18"/>
                <w:szCs w:val="18"/>
                <w:lang w:val="el-GR"/>
              </w:rPr>
              <w:t>Η χρέωση για πιστωτικές ζημιές δανείων (cost of risk) (από την αρχή του έτους μέχρι σήμερα) υπολογίζεται ως οι ετησιοποιημένες ‘πιστωτικές ζημιές δανείων’ (όπως ορίζονται) ως προς τον μέσο όρο των δανείων. Ο μέσος όρος των δανείων υπολογίζεται ως ο μέσος όρος του αρχικού υπόλοιπου και του τελικού υπόλοιπου των δανείων (ως ορίζεται), για την περίοδο/για το έτος.</w:t>
            </w:r>
          </w:p>
        </w:tc>
      </w:tr>
      <w:tr w:rsidR="00715401" w:rsidRPr="00CF1753" w14:paraId="3D72330F" w14:textId="77777777" w:rsidTr="00715401">
        <w:trPr>
          <w:trHeight w:val="57"/>
        </w:trPr>
        <w:tc>
          <w:tcPr>
            <w:tcW w:w="3233" w:type="dxa"/>
          </w:tcPr>
          <w:p w14:paraId="70A84DBC" w14:textId="77777777" w:rsidR="00715401" w:rsidRPr="00982DBB" w:rsidRDefault="00715401" w:rsidP="00715401">
            <w:pPr>
              <w:pStyle w:val="FootnoteText"/>
              <w:rPr>
                <w:rFonts w:ascii="Arial" w:hAnsi="Arial" w:cs="Arial"/>
                <w:sz w:val="18"/>
                <w:szCs w:val="18"/>
                <w:lang w:val="el-GR"/>
              </w:rPr>
            </w:pPr>
          </w:p>
        </w:tc>
        <w:tc>
          <w:tcPr>
            <w:tcW w:w="6448" w:type="dxa"/>
            <w:gridSpan w:val="4"/>
          </w:tcPr>
          <w:p w14:paraId="03BB2474" w14:textId="77777777" w:rsidR="00715401" w:rsidRPr="00982DBB" w:rsidRDefault="00715401" w:rsidP="00715401">
            <w:pPr>
              <w:pStyle w:val="FootnoteText"/>
              <w:spacing w:after="120"/>
              <w:rPr>
                <w:rFonts w:ascii="Arial" w:hAnsi="Arial" w:cs="Arial"/>
                <w:sz w:val="18"/>
                <w:szCs w:val="18"/>
                <w:lang w:val="el-GR"/>
              </w:rPr>
            </w:pPr>
          </w:p>
        </w:tc>
      </w:tr>
      <w:tr w:rsidR="00715401" w:rsidRPr="00CF1753" w14:paraId="4A616366" w14:textId="77777777" w:rsidTr="00715401">
        <w:tc>
          <w:tcPr>
            <w:tcW w:w="3233" w:type="dxa"/>
          </w:tcPr>
          <w:p w14:paraId="13951F66" w14:textId="77777777" w:rsidR="00715401" w:rsidRPr="00982DBB" w:rsidRDefault="00715401" w:rsidP="00715401">
            <w:pPr>
              <w:pStyle w:val="FootnoteText"/>
              <w:jc w:val="both"/>
              <w:rPr>
                <w:rFonts w:ascii="Arial" w:hAnsi="Arial" w:cs="Arial"/>
                <w:sz w:val="18"/>
                <w:szCs w:val="18"/>
                <w:lang w:val="el-GR"/>
              </w:rPr>
            </w:pPr>
            <w:r w:rsidRPr="00982DBB">
              <w:rPr>
                <w:rFonts w:ascii="Arial" w:hAnsi="Arial" w:cs="Arial"/>
                <w:sz w:val="18"/>
                <w:szCs w:val="18"/>
                <w:lang w:val="el-GR"/>
              </w:rPr>
              <w:t xml:space="preserve">MSCI ΠΚΔ Αξιολόγηση   </w:t>
            </w:r>
          </w:p>
          <w:p w14:paraId="5AE250D6" w14:textId="77777777" w:rsidR="00715401" w:rsidRPr="00982DBB" w:rsidRDefault="00715401" w:rsidP="00715401">
            <w:pPr>
              <w:pStyle w:val="FootnoteText"/>
              <w:spacing w:after="240"/>
              <w:rPr>
                <w:rFonts w:ascii="Arial" w:hAnsi="Arial" w:cs="Arial"/>
                <w:sz w:val="18"/>
                <w:szCs w:val="18"/>
                <w:lang w:val="el-GR"/>
              </w:rPr>
            </w:pPr>
          </w:p>
        </w:tc>
        <w:tc>
          <w:tcPr>
            <w:tcW w:w="6448" w:type="dxa"/>
            <w:gridSpan w:val="4"/>
          </w:tcPr>
          <w:p w14:paraId="37441834" w14:textId="77777777" w:rsidR="00715401" w:rsidRPr="00982DBB" w:rsidRDefault="00715401" w:rsidP="00715401">
            <w:pPr>
              <w:pStyle w:val="FootnoteText"/>
              <w:spacing w:after="120"/>
              <w:jc w:val="both"/>
              <w:rPr>
                <w:rFonts w:ascii="Arial" w:hAnsi="Arial" w:cs="Arial"/>
                <w:sz w:val="18"/>
                <w:szCs w:val="18"/>
                <w:lang w:val="el-GR"/>
              </w:rPr>
            </w:pPr>
            <w:r w:rsidRPr="00982DBB">
              <w:rPr>
                <w:rFonts w:ascii="Arial" w:hAnsi="Arial" w:cs="Arial"/>
                <w:sz w:val="18"/>
                <w:szCs w:val="18"/>
                <w:lang w:val="el-GR"/>
              </w:rPr>
              <w:t xml:space="preserve">Η χρήση από την Εταιρία και την Τράπεζα οποιωνδήποτε στοιχείων από την MSCI ESG Research LLC ή των συνεργατών της (‘MSCI’), και η χρήση λογότυπων, εμπορικών σημάτων, σημάτων υπηρεσίας ή ευρετήριο ονομάτων της </w:t>
            </w:r>
            <w:r w:rsidRPr="00982DBB">
              <w:rPr>
                <w:rFonts w:ascii="Arial" w:hAnsi="Arial" w:cs="Arial"/>
                <w:sz w:val="18"/>
                <w:szCs w:val="18"/>
              </w:rPr>
              <w:t>MSCI</w:t>
            </w:r>
            <w:r w:rsidRPr="00982DBB">
              <w:rPr>
                <w:rFonts w:ascii="Arial" w:hAnsi="Arial" w:cs="Arial"/>
                <w:sz w:val="18"/>
                <w:szCs w:val="18"/>
                <w:lang w:val="el-GR"/>
              </w:rPr>
              <w:t xml:space="preserve">, δεν αποτελούν χορηγία, </w:t>
            </w:r>
            <w:r w:rsidRPr="00982DBB">
              <w:rPr>
                <w:rFonts w:ascii="Arial" w:hAnsi="Arial" w:cs="Arial"/>
                <w:sz w:val="18"/>
                <w:szCs w:val="18"/>
              </w:rPr>
              <w:t>endorsement</w:t>
            </w:r>
            <w:r w:rsidRPr="00982DBB">
              <w:rPr>
                <w:rFonts w:ascii="Arial" w:hAnsi="Arial" w:cs="Arial"/>
                <w:sz w:val="18"/>
                <w:szCs w:val="18"/>
                <w:lang w:val="el-GR"/>
              </w:rPr>
              <w:t>, σύσταση ή πρoβολή της Εταιρίας ή της Τράπεζας, από την MSCI. Οι Υπηρεσίες της MSCI, καθώς και τα δεδομένα είναι περιουσία της MSCI ή των παροχών πληροφοριών της και δηλώνονται 'όπως-είναι' και χωρίς εγγύηση. Τα ονόματα και λογότυπα της MSCI είναι εμπορικά σήματα ή σήματα υπηρεσιών της MSCI.</w:t>
            </w:r>
          </w:p>
        </w:tc>
      </w:tr>
    </w:tbl>
    <w:p w14:paraId="1DA168DE" w14:textId="6FE0300C" w:rsidR="007D4583" w:rsidRPr="006B5511" w:rsidRDefault="007D4583" w:rsidP="00F87C5D">
      <w:pPr>
        <w:rPr>
          <w:rFonts w:ascii="Arial" w:hAnsi="Arial" w:cs="Arial"/>
          <w:highlight w:val="yellow"/>
          <w:lang w:val="el-GR"/>
        </w:rPr>
      </w:pPr>
      <w:r w:rsidRPr="006B5511">
        <w:rPr>
          <w:rFonts w:ascii="Arial" w:hAnsi="Arial" w:cs="Arial"/>
          <w:highlight w:val="yellow"/>
          <w:lang w:val="el-GR"/>
        </w:rPr>
        <w:br w:type="page"/>
      </w:r>
      <w:bookmarkEnd w:id="36"/>
    </w:p>
    <w:p w14:paraId="6F3CE11D" w14:textId="77777777" w:rsidR="0021296F" w:rsidRPr="006B5511" w:rsidRDefault="0021296F" w:rsidP="00474C5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center"/>
        <w:rPr>
          <w:rFonts w:ascii="Arial" w:hAnsi="Arial" w:cs="Arial"/>
          <w:b/>
          <w:bCs/>
          <w:color w:val="FF9900"/>
          <w:szCs w:val="24"/>
          <w:highlight w:val="yellow"/>
          <w:lang w:val="el-GR"/>
        </w:rPr>
      </w:pPr>
      <w:bookmarkStart w:id="39" w:name="_Hlk64657807"/>
    </w:p>
    <w:p w14:paraId="09DC865B" w14:textId="77777777" w:rsidR="00BC4C32" w:rsidRPr="00AD13A0" w:rsidRDefault="00BC4C32" w:rsidP="004953B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360" w:lineRule="auto"/>
        <w:jc w:val="center"/>
        <w:rPr>
          <w:rFonts w:ascii="Arial" w:hAnsi="Arial" w:cs="Arial"/>
          <w:b/>
          <w:bCs/>
          <w:color w:val="FF9900"/>
          <w:sz w:val="24"/>
          <w:szCs w:val="24"/>
          <w:lang w:val="el-GR"/>
        </w:rPr>
      </w:pPr>
      <w:r w:rsidRPr="00AD13A0">
        <w:rPr>
          <w:rFonts w:ascii="Arial" w:hAnsi="Arial" w:cs="Arial"/>
          <w:b/>
          <w:bCs/>
          <w:color w:val="FF9900"/>
          <w:sz w:val="24"/>
          <w:szCs w:val="24"/>
          <w:lang w:val="el-GR"/>
        </w:rPr>
        <w:t>Βάση Παρουσίασης</w:t>
      </w:r>
    </w:p>
    <w:p w14:paraId="6161E645" w14:textId="20B5068F" w:rsidR="00BC4C32" w:rsidRPr="00AD13A0" w:rsidRDefault="00BC4C32" w:rsidP="00711D1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both"/>
        <w:rPr>
          <w:rFonts w:ascii="Arial" w:hAnsi="Arial" w:cs="Arial"/>
          <w:sz w:val="18"/>
          <w:szCs w:val="18"/>
          <w:lang w:val="el-GR" w:eastAsia="el-GR"/>
        </w:rPr>
      </w:pPr>
      <w:r w:rsidRPr="00AD13A0">
        <w:rPr>
          <w:rFonts w:ascii="Arial" w:hAnsi="Arial" w:cs="Arial"/>
          <w:sz w:val="18"/>
          <w:szCs w:val="18"/>
          <w:lang w:val="el-GR" w:eastAsia="el-GR"/>
        </w:rPr>
        <w:t xml:space="preserve">Τα οικονομικά αποτελέσματα που αναφέρονται σε αυτή την ανακοίνωση αφορούν την </w:t>
      </w:r>
      <w:r w:rsidRPr="00AD13A0">
        <w:rPr>
          <w:rFonts w:ascii="Arial" w:hAnsi="Arial" w:cs="Arial"/>
          <w:sz w:val="18"/>
          <w:szCs w:val="18"/>
          <w:lang w:eastAsia="el-GR"/>
        </w:rPr>
        <w:t>Bank</w:t>
      </w:r>
      <w:r w:rsidRPr="00AD13A0">
        <w:rPr>
          <w:rFonts w:ascii="Arial" w:hAnsi="Arial" w:cs="Arial"/>
          <w:sz w:val="18"/>
          <w:szCs w:val="18"/>
          <w:lang w:val="el-GR" w:eastAsia="el-GR"/>
        </w:rPr>
        <w:t xml:space="preserve"> </w:t>
      </w:r>
      <w:r w:rsidRPr="00AD13A0">
        <w:rPr>
          <w:rFonts w:ascii="Arial" w:hAnsi="Arial" w:cs="Arial"/>
          <w:sz w:val="18"/>
          <w:szCs w:val="18"/>
          <w:lang w:eastAsia="el-GR"/>
        </w:rPr>
        <w:t>of</w:t>
      </w:r>
      <w:r w:rsidRPr="00AD13A0">
        <w:rPr>
          <w:rFonts w:ascii="Arial" w:hAnsi="Arial" w:cs="Arial"/>
          <w:sz w:val="18"/>
          <w:szCs w:val="18"/>
          <w:lang w:val="el-GR" w:eastAsia="el-GR"/>
        </w:rPr>
        <w:t xml:space="preserve"> </w:t>
      </w:r>
      <w:r w:rsidRPr="00AD13A0">
        <w:rPr>
          <w:rFonts w:ascii="Arial" w:hAnsi="Arial" w:cs="Arial"/>
          <w:sz w:val="18"/>
          <w:szCs w:val="18"/>
          <w:lang w:eastAsia="el-GR"/>
        </w:rPr>
        <w:t>Cyprus</w:t>
      </w:r>
      <w:r w:rsidRPr="00AD13A0">
        <w:rPr>
          <w:rFonts w:ascii="Arial" w:hAnsi="Arial" w:cs="Arial"/>
          <w:sz w:val="18"/>
          <w:szCs w:val="18"/>
          <w:lang w:val="el-GR" w:eastAsia="el-GR"/>
        </w:rPr>
        <w:t xml:space="preserve"> </w:t>
      </w:r>
      <w:r w:rsidRPr="00AD13A0">
        <w:rPr>
          <w:rFonts w:ascii="Arial" w:hAnsi="Arial" w:cs="Arial"/>
          <w:sz w:val="18"/>
          <w:szCs w:val="18"/>
          <w:lang w:eastAsia="el-GR"/>
        </w:rPr>
        <w:t>Holdings</w:t>
      </w:r>
      <w:r w:rsidRPr="00AD13A0">
        <w:rPr>
          <w:rFonts w:ascii="Arial" w:hAnsi="Arial" w:cs="Arial"/>
          <w:sz w:val="18"/>
          <w:szCs w:val="18"/>
          <w:lang w:val="el-GR" w:eastAsia="el-GR"/>
        </w:rPr>
        <w:t xml:space="preserve"> </w:t>
      </w:r>
      <w:r w:rsidRPr="00AD13A0">
        <w:rPr>
          <w:rFonts w:ascii="Arial" w:hAnsi="Arial" w:cs="Arial"/>
          <w:sz w:val="18"/>
          <w:szCs w:val="18"/>
          <w:lang w:eastAsia="el-GR"/>
        </w:rPr>
        <w:t>Public</w:t>
      </w:r>
      <w:r w:rsidRPr="00AD13A0">
        <w:rPr>
          <w:rFonts w:ascii="Arial" w:hAnsi="Arial" w:cs="Arial"/>
          <w:sz w:val="18"/>
          <w:szCs w:val="18"/>
          <w:lang w:val="el-GR" w:eastAsia="el-GR"/>
        </w:rPr>
        <w:t xml:space="preserve"> </w:t>
      </w:r>
      <w:r w:rsidRPr="00AD13A0">
        <w:rPr>
          <w:rFonts w:ascii="Arial" w:hAnsi="Arial" w:cs="Arial"/>
          <w:sz w:val="18"/>
          <w:szCs w:val="18"/>
          <w:lang w:eastAsia="el-GR"/>
        </w:rPr>
        <w:t>Limited</w:t>
      </w:r>
      <w:r w:rsidRPr="00AD13A0">
        <w:rPr>
          <w:rFonts w:ascii="Arial" w:hAnsi="Arial" w:cs="Arial"/>
          <w:sz w:val="18"/>
          <w:szCs w:val="18"/>
          <w:lang w:val="el-GR" w:eastAsia="el-GR"/>
        </w:rPr>
        <w:t xml:space="preserve"> </w:t>
      </w:r>
      <w:r w:rsidRPr="00AD13A0">
        <w:rPr>
          <w:rFonts w:ascii="Arial" w:hAnsi="Arial" w:cs="Arial"/>
          <w:sz w:val="18"/>
          <w:szCs w:val="18"/>
          <w:lang w:eastAsia="el-GR"/>
        </w:rPr>
        <w:t>Company</w:t>
      </w:r>
      <w:r w:rsidRPr="00AD13A0">
        <w:rPr>
          <w:rFonts w:ascii="Arial" w:hAnsi="Arial" w:cs="Arial"/>
          <w:sz w:val="18"/>
          <w:szCs w:val="18"/>
          <w:lang w:val="el-GR" w:eastAsia="el-GR"/>
        </w:rPr>
        <w:t xml:space="preserve">, </w:t>
      </w:r>
      <w:r w:rsidR="0047304E" w:rsidRPr="00AD13A0">
        <w:rPr>
          <w:rFonts w:ascii="Arial" w:hAnsi="Arial" w:cs="Arial"/>
          <w:sz w:val="18"/>
          <w:szCs w:val="18"/>
          <w:lang w:val="el-GR" w:eastAsia="el-GR"/>
        </w:rPr>
        <w:t>‘</w:t>
      </w:r>
      <w:r w:rsidRPr="00AD13A0">
        <w:rPr>
          <w:rFonts w:ascii="Arial" w:hAnsi="Arial" w:cs="Arial"/>
          <w:sz w:val="18"/>
          <w:szCs w:val="18"/>
          <w:lang w:eastAsia="el-GR"/>
        </w:rPr>
        <w:t>BOC</w:t>
      </w:r>
      <w:r w:rsidRPr="00AD13A0">
        <w:rPr>
          <w:rFonts w:ascii="Arial" w:hAnsi="Arial" w:cs="Arial"/>
          <w:sz w:val="18"/>
          <w:szCs w:val="18"/>
          <w:lang w:val="el-GR" w:eastAsia="el-GR"/>
        </w:rPr>
        <w:t xml:space="preserve"> </w:t>
      </w:r>
      <w:r w:rsidRPr="00AD13A0">
        <w:rPr>
          <w:rFonts w:ascii="Arial" w:hAnsi="Arial" w:cs="Arial"/>
          <w:sz w:val="18"/>
          <w:szCs w:val="18"/>
          <w:lang w:eastAsia="el-GR"/>
        </w:rPr>
        <w:t>Holdings</w:t>
      </w:r>
      <w:r w:rsidR="0047304E" w:rsidRPr="00AD13A0">
        <w:rPr>
          <w:rFonts w:ascii="Arial" w:hAnsi="Arial" w:cs="Arial"/>
          <w:sz w:val="18"/>
          <w:szCs w:val="18"/>
          <w:lang w:val="el-GR" w:eastAsia="el-GR"/>
        </w:rPr>
        <w:t>’</w:t>
      </w:r>
      <w:r w:rsidRPr="00AD13A0">
        <w:rPr>
          <w:rFonts w:ascii="Arial" w:hAnsi="Arial" w:cs="Arial"/>
          <w:sz w:val="18"/>
          <w:szCs w:val="18"/>
          <w:lang w:val="el-GR" w:eastAsia="el-GR"/>
        </w:rPr>
        <w:t xml:space="preserve"> ή η </w:t>
      </w:r>
      <w:r w:rsidR="0047304E" w:rsidRPr="00AD13A0">
        <w:rPr>
          <w:rFonts w:ascii="Arial" w:hAnsi="Arial" w:cs="Arial"/>
          <w:sz w:val="18"/>
          <w:szCs w:val="18"/>
          <w:lang w:val="el-GR" w:eastAsia="el-GR"/>
        </w:rPr>
        <w:t>‘</w:t>
      </w:r>
      <w:r w:rsidRPr="00AD13A0">
        <w:rPr>
          <w:rFonts w:ascii="Arial" w:hAnsi="Arial" w:cs="Arial"/>
          <w:sz w:val="18"/>
          <w:szCs w:val="18"/>
          <w:lang w:val="el-GR" w:eastAsia="el-GR"/>
        </w:rPr>
        <w:t>Εταιρία</w:t>
      </w:r>
      <w:r w:rsidR="0047304E" w:rsidRPr="00AD13A0">
        <w:rPr>
          <w:rFonts w:ascii="Arial" w:hAnsi="Arial" w:cs="Arial"/>
          <w:sz w:val="18"/>
          <w:szCs w:val="18"/>
          <w:lang w:val="el-GR" w:eastAsia="el-GR"/>
        </w:rPr>
        <w:t>’</w:t>
      </w:r>
      <w:r w:rsidRPr="00AD13A0">
        <w:rPr>
          <w:rFonts w:ascii="Arial" w:hAnsi="Arial" w:cs="Arial"/>
          <w:sz w:val="18"/>
          <w:szCs w:val="18"/>
          <w:lang w:val="el-GR" w:eastAsia="el-GR"/>
        </w:rPr>
        <w:t xml:space="preserve">, τη θυγατρική της </w:t>
      </w:r>
      <w:r w:rsidRPr="00AD13A0">
        <w:rPr>
          <w:rFonts w:ascii="Arial" w:hAnsi="Arial" w:cs="Arial"/>
          <w:sz w:val="18"/>
          <w:szCs w:val="18"/>
          <w:lang w:eastAsia="el-GR"/>
        </w:rPr>
        <w:t>Bank</w:t>
      </w:r>
      <w:r w:rsidRPr="00AD13A0">
        <w:rPr>
          <w:rFonts w:ascii="Arial" w:hAnsi="Arial" w:cs="Arial"/>
          <w:sz w:val="18"/>
          <w:szCs w:val="18"/>
          <w:lang w:val="el-GR" w:eastAsia="el-GR"/>
        </w:rPr>
        <w:t xml:space="preserve"> </w:t>
      </w:r>
      <w:r w:rsidRPr="00AD13A0">
        <w:rPr>
          <w:rFonts w:ascii="Arial" w:hAnsi="Arial" w:cs="Arial"/>
          <w:sz w:val="18"/>
          <w:szCs w:val="18"/>
          <w:lang w:eastAsia="el-GR"/>
        </w:rPr>
        <w:t>of</w:t>
      </w:r>
      <w:r w:rsidRPr="00AD13A0">
        <w:rPr>
          <w:rFonts w:ascii="Arial" w:hAnsi="Arial" w:cs="Arial"/>
          <w:sz w:val="18"/>
          <w:szCs w:val="18"/>
          <w:lang w:val="el-GR" w:eastAsia="el-GR"/>
        </w:rPr>
        <w:t xml:space="preserve"> </w:t>
      </w:r>
      <w:r w:rsidRPr="00AD13A0">
        <w:rPr>
          <w:rFonts w:ascii="Arial" w:hAnsi="Arial" w:cs="Arial"/>
          <w:sz w:val="18"/>
          <w:szCs w:val="18"/>
          <w:lang w:eastAsia="el-GR"/>
        </w:rPr>
        <w:t>Cyprus</w:t>
      </w:r>
      <w:r w:rsidRPr="00AD13A0">
        <w:rPr>
          <w:rFonts w:ascii="Arial" w:hAnsi="Arial" w:cs="Arial"/>
          <w:sz w:val="18"/>
          <w:szCs w:val="18"/>
          <w:lang w:val="el-GR" w:eastAsia="el-GR"/>
        </w:rPr>
        <w:t xml:space="preserve"> </w:t>
      </w:r>
      <w:r w:rsidRPr="00AD13A0">
        <w:rPr>
          <w:rFonts w:ascii="Arial" w:hAnsi="Arial" w:cs="Arial"/>
          <w:sz w:val="18"/>
          <w:szCs w:val="18"/>
          <w:lang w:eastAsia="el-GR"/>
        </w:rPr>
        <w:t>Public</w:t>
      </w:r>
      <w:r w:rsidRPr="00AD13A0">
        <w:rPr>
          <w:rFonts w:ascii="Arial" w:hAnsi="Arial" w:cs="Arial"/>
          <w:sz w:val="18"/>
          <w:szCs w:val="18"/>
          <w:lang w:val="el-GR" w:eastAsia="el-GR"/>
        </w:rPr>
        <w:t xml:space="preserve"> </w:t>
      </w:r>
      <w:r w:rsidRPr="00AD13A0">
        <w:rPr>
          <w:rFonts w:ascii="Arial" w:hAnsi="Arial" w:cs="Arial"/>
          <w:sz w:val="18"/>
          <w:szCs w:val="18"/>
          <w:lang w:eastAsia="el-GR"/>
        </w:rPr>
        <w:t>Company</w:t>
      </w:r>
      <w:r w:rsidRPr="00AD13A0">
        <w:rPr>
          <w:rFonts w:ascii="Arial" w:hAnsi="Arial" w:cs="Arial"/>
          <w:sz w:val="18"/>
          <w:szCs w:val="18"/>
          <w:lang w:val="el-GR" w:eastAsia="el-GR"/>
        </w:rPr>
        <w:t xml:space="preserve"> </w:t>
      </w:r>
      <w:r w:rsidRPr="00AD13A0">
        <w:rPr>
          <w:rFonts w:ascii="Arial" w:hAnsi="Arial" w:cs="Arial"/>
          <w:sz w:val="18"/>
          <w:szCs w:val="18"/>
          <w:lang w:eastAsia="el-GR"/>
        </w:rPr>
        <w:t>Limited</w:t>
      </w:r>
      <w:r w:rsidRPr="00AD13A0">
        <w:rPr>
          <w:rFonts w:ascii="Arial" w:hAnsi="Arial" w:cs="Arial"/>
          <w:sz w:val="18"/>
          <w:szCs w:val="18"/>
          <w:lang w:val="el-GR" w:eastAsia="el-GR"/>
        </w:rPr>
        <w:t xml:space="preserve">, η </w:t>
      </w:r>
      <w:r w:rsidR="0047304E" w:rsidRPr="00AD13A0">
        <w:rPr>
          <w:rFonts w:ascii="Arial" w:hAnsi="Arial" w:cs="Arial"/>
          <w:sz w:val="18"/>
          <w:szCs w:val="18"/>
          <w:lang w:val="el-GR" w:eastAsia="el-GR"/>
        </w:rPr>
        <w:t>‘</w:t>
      </w:r>
      <w:r w:rsidRPr="00AD13A0">
        <w:rPr>
          <w:rFonts w:ascii="Arial" w:hAnsi="Arial" w:cs="Arial"/>
          <w:sz w:val="18"/>
          <w:szCs w:val="18"/>
          <w:lang w:val="el-GR" w:eastAsia="el-GR"/>
        </w:rPr>
        <w:t>Τράπεζα</w:t>
      </w:r>
      <w:r w:rsidR="0047304E" w:rsidRPr="00AD13A0">
        <w:rPr>
          <w:rFonts w:ascii="Arial" w:hAnsi="Arial" w:cs="Arial"/>
          <w:sz w:val="18"/>
          <w:szCs w:val="18"/>
          <w:lang w:val="el-GR" w:eastAsia="el-GR"/>
        </w:rPr>
        <w:t>’</w:t>
      </w:r>
      <w:r w:rsidRPr="00AD13A0">
        <w:rPr>
          <w:rFonts w:ascii="Arial" w:hAnsi="Arial" w:cs="Arial"/>
          <w:sz w:val="18"/>
          <w:szCs w:val="18"/>
          <w:lang w:val="el-GR" w:eastAsia="el-GR"/>
        </w:rPr>
        <w:t xml:space="preserve"> ή </w:t>
      </w:r>
      <w:r w:rsidR="0047304E" w:rsidRPr="00AD13A0">
        <w:rPr>
          <w:rFonts w:ascii="Arial" w:hAnsi="Arial" w:cs="Arial"/>
          <w:sz w:val="18"/>
          <w:szCs w:val="18"/>
          <w:lang w:val="el-GR" w:eastAsia="el-GR"/>
        </w:rPr>
        <w:t>‘</w:t>
      </w:r>
      <w:r w:rsidRPr="00AD13A0">
        <w:rPr>
          <w:rFonts w:ascii="Arial" w:hAnsi="Arial" w:cs="Arial"/>
          <w:sz w:val="18"/>
          <w:szCs w:val="18"/>
          <w:lang w:val="en-US" w:eastAsia="el-GR"/>
        </w:rPr>
        <w:t>BOC</w:t>
      </w:r>
      <w:r w:rsidRPr="00AD13A0">
        <w:rPr>
          <w:rFonts w:ascii="Arial" w:hAnsi="Arial" w:cs="Arial"/>
          <w:sz w:val="18"/>
          <w:szCs w:val="18"/>
          <w:lang w:val="el-GR" w:eastAsia="el-GR"/>
        </w:rPr>
        <w:t xml:space="preserve"> </w:t>
      </w:r>
      <w:r w:rsidRPr="00AD13A0">
        <w:rPr>
          <w:rFonts w:ascii="Arial" w:hAnsi="Arial" w:cs="Arial"/>
          <w:sz w:val="18"/>
          <w:szCs w:val="18"/>
          <w:lang w:val="en-US" w:eastAsia="el-GR"/>
        </w:rPr>
        <w:t>PC</w:t>
      </w:r>
      <w:r w:rsidR="00515BE2">
        <w:rPr>
          <w:rFonts w:ascii="Arial" w:hAnsi="Arial" w:cs="Arial"/>
          <w:sz w:val="18"/>
          <w:szCs w:val="18"/>
          <w:lang w:val="en-US" w:eastAsia="el-GR"/>
        </w:rPr>
        <w:t>L</w:t>
      </w:r>
      <w:r w:rsidR="0047304E" w:rsidRPr="00AD13A0">
        <w:rPr>
          <w:rFonts w:ascii="Arial" w:hAnsi="Arial" w:cs="Arial"/>
          <w:sz w:val="18"/>
          <w:szCs w:val="18"/>
          <w:lang w:val="el-GR" w:eastAsia="el-GR"/>
        </w:rPr>
        <w:t>’</w:t>
      </w:r>
      <w:r w:rsidRPr="00AD13A0">
        <w:rPr>
          <w:rFonts w:ascii="Arial" w:hAnsi="Arial" w:cs="Arial"/>
          <w:sz w:val="18"/>
          <w:szCs w:val="18"/>
          <w:lang w:val="el-GR" w:eastAsia="el-GR"/>
        </w:rPr>
        <w:t xml:space="preserve">, και μαζί με τις θυγατρικές της, το </w:t>
      </w:r>
      <w:r w:rsidR="0047304E" w:rsidRPr="00AD13A0">
        <w:rPr>
          <w:rFonts w:ascii="Arial" w:hAnsi="Arial" w:cs="Arial"/>
          <w:sz w:val="18"/>
          <w:szCs w:val="18"/>
          <w:lang w:val="el-GR" w:eastAsia="el-GR"/>
        </w:rPr>
        <w:t>‘</w:t>
      </w:r>
      <w:r w:rsidRPr="00AD13A0">
        <w:rPr>
          <w:rFonts w:ascii="Arial" w:hAnsi="Arial" w:cs="Arial"/>
          <w:sz w:val="18"/>
          <w:szCs w:val="18"/>
          <w:lang w:val="el-GR" w:eastAsia="el-GR"/>
        </w:rPr>
        <w:t>Συγκρότημα</w:t>
      </w:r>
      <w:r w:rsidR="0047304E" w:rsidRPr="00AD13A0">
        <w:rPr>
          <w:rFonts w:ascii="Arial" w:hAnsi="Arial" w:cs="Arial"/>
          <w:sz w:val="18"/>
          <w:szCs w:val="18"/>
          <w:lang w:val="el-GR" w:eastAsia="el-GR"/>
        </w:rPr>
        <w:t>’</w:t>
      </w:r>
      <w:r w:rsidRPr="00AD13A0">
        <w:rPr>
          <w:rFonts w:ascii="Arial" w:hAnsi="Arial" w:cs="Arial"/>
          <w:sz w:val="18"/>
          <w:szCs w:val="18"/>
          <w:lang w:val="el-GR" w:eastAsia="el-GR"/>
        </w:rPr>
        <w:t xml:space="preserve">, για το </w:t>
      </w:r>
      <w:r w:rsidR="00AD13A0" w:rsidRPr="00AD13A0">
        <w:rPr>
          <w:rFonts w:ascii="Arial" w:hAnsi="Arial" w:cs="Arial"/>
          <w:sz w:val="18"/>
          <w:szCs w:val="18"/>
          <w:lang w:val="el-GR" w:eastAsia="el-GR"/>
        </w:rPr>
        <w:t>εξάμηνο</w:t>
      </w:r>
      <w:r w:rsidR="00840A96" w:rsidRPr="00AD13A0">
        <w:rPr>
          <w:rFonts w:ascii="Arial" w:hAnsi="Arial" w:cs="Arial"/>
          <w:sz w:val="18"/>
          <w:szCs w:val="18"/>
          <w:lang w:val="el-GR" w:eastAsia="el-GR"/>
        </w:rPr>
        <w:t xml:space="preserve"> </w:t>
      </w:r>
      <w:r w:rsidR="00844DEE" w:rsidRPr="00AD13A0">
        <w:rPr>
          <w:rFonts w:ascii="Arial" w:hAnsi="Arial" w:cs="Arial"/>
          <w:sz w:val="18"/>
          <w:szCs w:val="18"/>
          <w:lang w:val="el-GR" w:eastAsia="el-GR"/>
        </w:rPr>
        <w:t xml:space="preserve">που </w:t>
      </w:r>
      <w:r w:rsidRPr="00AD13A0">
        <w:rPr>
          <w:rFonts w:ascii="Arial" w:hAnsi="Arial" w:cs="Arial"/>
          <w:sz w:val="18"/>
          <w:szCs w:val="18"/>
          <w:lang w:val="el-GR" w:eastAsia="el-GR"/>
        </w:rPr>
        <w:t xml:space="preserve">έληξε στις </w:t>
      </w:r>
      <w:r w:rsidR="00AD13A0" w:rsidRPr="00AD13A0">
        <w:rPr>
          <w:rFonts w:ascii="Arial" w:hAnsi="Arial" w:cs="Arial"/>
          <w:sz w:val="18"/>
          <w:szCs w:val="18"/>
          <w:lang w:val="el-GR" w:eastAsia="el-GR"/>
        </w:rPr>
        <w:t>30</w:t>
      </w:r>
      <w:r w:rsidR="00C96D7F" w:rsidRPr="00AD13A0">
        <w:rPr>
          <w:rFonts w:ascii="Arial" w:hAnsi="Arial" w:cs="Arial"/>
          <w:sz w:val="18"/>
          <w:szCs w:val="18"/>
          <w:lang w:val="el-GR" w:eastAsia="el-GR"/>
        </w:rPr>
        <w:t xml:space="preserve"> </w:t>
      </w:r>
      <w:r w:rsidR="00AD13A0" w:rsidRPr="00AD13A0">
        <w:rPr>
          <w:rFonts w:ascii="Arial" w:hAnsi="Arial" w:cs="Arial"/>
          <w:sz w:val="18"/>
          <w:szCs w:val="18"/>
          <w:lang w:val="el-GR" w:eastAsia="el-GR"/>
        </w:rPr>
        <w:t>Ιουνίου</w:t>
      </w:r>
      <w:r w:rsidR="00840A96" w:rsidRPr="00AD13A0">
        <w:rPr>
          <w:rFonts w:ascii="Arial" w:hAnsi="Arial" w:cs="Arial"/>
          <w:sz w:val="18"/>
          <w:szCs w:val="18"/>
          <w:lang w:val="el-GR" w:eastAsia="el-GR"/>
        </w:rPr>
        <w:t xml:space="preserve"> 2024</w:t>
      </w:r>
      <w:r w:rsidRPr="00AD13A0">
        <w:rPr>
          <w:rFonts w:ascii="Arial" w:hAnsi="Arial" w:cs="Arial"/>
          <w:sz w:val="18"/>
          <w:szCs w:val="18"/>
          <w:lang w:val="el-GR" w:eastAsia="el-GR"/>
        </w:rPr>
        <w:t xml:space="preserve">. </w:t>
      </w:r>
    </w:p>
    <w:p w14:paraId="03CBD696" w14:textId="77777777" w:rsidR="00BC4C32" w:rsidRPr="00AD13A0" w:rsidRDefault="00BC4C32" w:rsidP="00711D1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both"/>
        <w:rPr>
          <w:rFonts w:ascii="Arial" w:hAnsi="Arial" w:cs="Arial"/>
          <w:sz w:val="18"/>
          <w:szCs w:val="18"/>
          <w:lang w:val="el-GR" w:eastAsia="el-GR"/>
        </w:rPr>
      </w:pPr>
    </w:p>
    <w:p w14:paraId="3DF3F316" w14:textId="77777777" w:rsidR="00BC4C32" w:rsidRPr="00AD13A0" w:rsidRDefault="00BC4C32" w:rsidP="00711D11">
      <w:pPr>
        <w:pStyle w:val="FootnoteTex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Arial" w:hAnsi="Arial" w:cs="Arial"/>
          <w:sz w:val="18"/>
          <w:szCs w:val="18"/>
          <w:lang w:val="el-GR" w:eastAsia="el-GR"/>
        </w:rPr>
      </w:pPr>
      <w:r w:rsidRPr="00AD13A0">
        <w:rPr>
          <w:rFonts w:ascii="Arial" w:hAnsi="Arial" w:cs="Arial"/>
          <w:sz w:val="18"/>
          <w:szCs w:val="18"/>
          <w:lang w:val="el-GR" w:eastAsia="el-GR"/>
        </w:rPr>
        <w:t xml:space="preserve">Στις 31 Δεκεμβρίου 2016, η Τράπεζα ήταν εισηγμένη στο Χρηματιστήριο Αξιών Κύπρου (ΧΑΚ) και στο Χρηματιστήριο Αθηνών. Στις 18 Ιανουαρίου 2017, η </w:t>
      </w:r>
      <w:r w:rsidRPr="00AD13A0">
        <w:rPr>
          <w:rFonts w:ascii="Arial" w:hAnsi="Arial" w:cs="Arial"/>
          <w:sz w:val="18"/>
          <w:szCs w:val="18"/>
          <w:lang w:eastAsia="el-GR"/>
        </w:rPr>
        <w:t>BOC</w:t>
      </w:r>
      <w:r w:rsidRPr="00AD13A0">
        <w:rPr>
          <w:rFonts w:ascii="Arial" w:hAnsi="Arial" w:cs="Arial"/>
          <w:sz w:val="18"/>
          <w:szCs w:val="18"/>
          <w:lang w:val="el-GR" w:eastAsia="el-GR"/>
        </w:rPr>
        <w:t xml:space="preserve"> </w:t>
      </w:r>
      <w:r w:rsidRPr="00AD13A0">
        <w:rPr>
          <w:rFonts w:ascii="Arial" w:hAnsi="Arial" w:cs="Arial"/>
          <w:sz w:val="18"/>
          <w:szCs w:val="18"/>
          <w:lang w:eastAsia="el-GR"/>
        </w:rPr>
        <w:t>Holdings</w:t>
      </w:r>
      <w:r w:rsidRPr="00AD13A0">
        <w:rPr>
          <w:rFonts w:ascii="Arial" w:hAnsi="Arial" w:cs="Arial"/>
          <w:sz w:val="18"/>
          <w:szCs w:val="18"/>
          <w:lang w:val="el-GR" w:eastAsia="el-GR"/>
        </w:rPr>
        <w:t xml:space="preserve">, η οποία ιδρύθηκε στην Ιρλανδία, εντάχθηκε στη δομή του Συγκροτήματος ως η νέα μητρική εταιρία της Τράπεζας. Στις 19 Ιανουαρίου 2017, το συνολικό εκδομένο μετοχικό κεφάλαιο της </w:t>
      </w:r>
      <w:r w:rsidRPr="00AD13A0">
        <w:rPr>
          <w:rFonts w:ascii="Arial" w:hAnsi="Arial" w:cs="Arial"/>
          <w:sz w:val="18"/>
          <w:szCs w:val="18"/>
          <w:lang w:eastAsia="el-GR"/>
        </w:rPr>
        <w:t>BOC</w:t>
      </w:r>
      <w:r w:rsidRPr="00AD13A0">
        <w:rPr>
          <w:rFonts w:ascii="Arial" w:hAnsi="Arial" w:cs="Arial"/>
          <w:sz w:val="18"/>
          <w:szCs w:val="18"/>
          <w:lang w:val="el-GR" w:eastAsia="el-GR"/>
        </w:rPr>
        <w:t xml:space="preserve"> </w:t>
      </w:r>
      <w:r w:rsidRPr="00AD13A0">
        <w:rPr>
          <w:rFonts w:ascii="Arial" w:hAnsi="Arial" w:cs="Arial"/>
          <w:sz w:val="18"/>
          <w:szCs w:val="18"/>
          <w:lang w:eastAsia="el-GR"/>
        </w:rPr>
        <w:t>Holdings</w:t>
      </w:r>
      <w:r w:rsidRPr="00AD13A0">
        <w:rPr>
          <w:rFonts w:ascii="Arial" w:hAnsi="Arial" w:cs="Arial"/>
          <w:sz w:val="18"/>
          <w:szCs w:val="18"/>
          <w:lang w:val="el-GR" w:eastAsia="el-GR"/>
        </w:rPr>
        <w:t xml:space="preserve"> εισήχθηκε για διαπραγμάτευση στο Χρηματιστήριο Αξιών του Λονδίνου και στο ΧΑΚ. </w:t>
      </w:r>
    </w:p>
    <w:p w14:paraId="52C16E7B" w14:textId="77777777" w:rsidR="00BC4C32" w:rsidRPr="00AD13A0" w:rsidRDefault="00BC4C32" w:rsidP="00711D11">
      <w:pPr>
        <w:pStyle w:val="FootnoteTex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Arial" w:hAnsi="Arial" w:cs="Arial"/>
          <w:sz w:val="18"/>
          <w:szCs w:val="18"/>
          <w:lang w:val="el-GR" w:eastAsia="el-GR"/>
        </w:rPr>
      </w:pPr>
    </w:p>
    <w:p w14:paraId="73E19B4B" w14:textId="3B33D297" w:rsidR="00F809D1" w:rsidRPr="00AD13A0" w:rsidRDefault="00BC4C32" w:rsidP="00711D11">
      <w:pPr>
        <w:pStyle w:val="FootnoteTex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Arial" w:hAnsi="Arial" w:cs="Arial"/>
          <w:sz w:val="18"/>
          <w:szCs w:val="18"/>
          <w:lang w:val="el-GR" w:eastAsia="el-GR"/>
        </w:rPr>
      </w:pPr>
      <w:r w:rsidRPr="00AD13A0">
        <w:rPr>
          <w:rFonts w:ascii="Arial" w:hAnsi="Arial" w:cs="Arial"/>
          <w:sz w:val="18"/>
          <w:szCs w:val="18"/>
          <w:lang w:val="el-GR" w:eastAsia="el-GR"/>
        </w:rPr>
        <w:t xml:space="preserve">Η χρηματοοικονομική πληροφόρηση που παρέχεται σε αυτή την ανακοίνωση δημοσιεύεται με σκοπό την παροχή των οικονομικών αποτελεσμάτων για το Συγκρότημα για το </w:t>
      </w:r>
      <w:r w:rsidR="00AD13A0" w:rsidRPr="00AD13A0">
        <w:rPr>
          <w:rFonts w:ascii="Arial" w:hAnsi="Arial" w:cs="Arial"/>
          <w:sz w:val="18"/>
          <w:szCs w:val="18"/>
          <w:lang w:val="el-GR" w:eastAsia="el-GR"/>
        </w:rPr>
        <w:t>εξάμηνο</w:t>
      </w:r>
      <w:r w:rsidR="00840A96" w:rsidRPr="00AD13A0">
        <w:rPr>
          <w:rFonts w:ascii="Arial" w:hAnsi="Arial" w:cs="Arial"/>
          <w:sz w:val="18"/>
          <w:szCs w:val="18"/>
          <w:lang w:val="el-GR" w:eastAsia="el-GR"/>
        </w:rPr>
        <w:t xml:space="preserve"> </w:t>
      </w:r>
      <w:r w:rsidR="00655337" w:rsidRPr="00AD13A0">
        <w:rPr>
          <w:rFonts w:ascii="Arial" w:hAnsi="Arial" w:cs="Arial"/>
          <w:sz w:val="18"/>
          <w:szCs w:val="18"/>
          <w:lang w:val="el-GR" w:eastAsia="el-GR"/>
        </w:rPr>
        <w:t xml:space="preserve">που έληξε στις </w:t>
      </w:r>
      <w:r w:rsidR="00AD13A0" w:rsidRPr="00AD13A0">
        <w:rPr>
          <w:rFonts w:ascii="Arial" w:hAnsi="Arial" w:cs="Arial"/>
          <w:sz w:val="18"/>
          <w:szCs w:val="18"/>
          <w:lang w:val="el-GR" w:eastAsia="el-GR"/>
        </w:rPr>
        <w:t xml:space="preserve">30 Ιουνίου </w:t>
      </w:r>
      <w:r w:rsidR="00840A96" w:rsidRPr="00AD13A0">
        <w:rPr>
          <w:rFonts w:ascii="Arial" w:hAnsi="Arial" w:cs="Arial"/>
          <w:sz w:val="18"/>
          <w:szCs w:val="18"/>
          <w:lang w:val="el-GR" w:eastAsia="el-GR"/>
        </w:rPr>
        <w:t>2024</w:t>
      </w:r>
      <w:r w:rsidRPr="00AD13A0">
        <w:rPr>
          <w:rFonts w:ascii="Arial" w:hAnsi="Arial" w:cs="Arial"/>
          <w:sz w:val="18"/>
          <w:szCs w:val="18"/>
          <w:lang w:val="el-GR" w:eastAsia="el-GR"/>
        </w:rPr>
        <w:t xml:space="preserve">. </w:t>
      </w:r>
    </w:p>
    <w:p w14:paraId="3C696B14" w14:textId="77777777" w:rsidR="00F809D1" w:rsidRPr="00AD13A0" w:rsidRDefault="00F809D1" w:rsidP="00655337">
      <w:pPr>
        <w:pStyle w:val="FootnoteTex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Arial" w:hAnsi="Arial" w:cs="Arial"/>
          <w:sz w:val="18"/>
          <w:szCs w:val="18"/>
          <w:lang w:val="el-GR" w:eastAsia="el-GR"/>
        </w:rPr>
      </w:pPr>
    </w:p>
    <w:p w14:paraId="18730ED6" w14:textId="22628BE5" w:rsidR="00CB41D9" w:rsidRPr="009D6E90" w:rsidRDefault="00BC4C32" w:rsidP="00CB41D9">
      <w:pPr>
        <w:pStyle w:val="FootnoteTex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Arial" w:hAnsi="Arial" w:cs="Arial"/>
          <w:sz w:val="18"/>
          <w:szCs w:val="18"/>
          <w:lang w:val="el-GR" w:eastAsia="el-GR"/>
        </w:rPr>
      </w:pPr>
      <w:r w:rsidRPr="00AD13A0">
        <w:rPr>
          <w:rFonts w:ascii="Arial" w:hAnsi="Arial" w:cs="Arial"/>
          <w:sz w:val="18"/>
          <w:szCs w:val="18"/>
          <w:lang w:val="el-GR" w:eastAsia="el-GR"/>
        </w:rPr>
        <w:t xml:space="preserve">Η χρηματοοικονομική πληροφόρηση σε αυτή την ανακοίνωση </w:t>
      </w:r>
      <w:r w:rsidR="0090192D" w:rsidRPr="00AD13A0">
        <w:rPr>
          <w:rFonts w:ascii="Arial" w:hAnsi="Arial" w:cs="Arial"/>
          <w:sz w:val="18"/>
          <w:szCs w:val="18"/>
          <w:lang w:val="el-GR" w:eastAsia="el-GR"/>
        </w:rPr>
        <w:t xml:space="preserve">δεν </w:t>
      </w:r>
      <w:r w:rsidR="00A742EA" w:rsidRPr="00AD13A0">
        <w:rPr>
          <w:rFonts w:ascii="Arial" w:hAnsi="Arial" w:cs="Arial"/>
          <w:sz w:val="18"/>
          <w:szCs w:val="18"/>
          <w:lang w:val="el-GR" w:eastAsia="el-GR"/>
        </w:rPr>
        <w:t xml:space="preserve">έχει </w:t>
      </w:r>
      <w:r w:rsidR="00196665" w:rsidRPr="00AD13A0">
        <w:rPr>
          <w:rFonts w:ascii="Arial" w:hAnsi="Arial" w:cs="Arial"/>
          <w:sz w:val="18"/>
          <w:szCs w:val="18"/>
          <w:lang w:val="el-GR" w:eastAsia="el-GR"/>
        </w:rPr>
        <w:t>ελεγχθεί από τους εξωτερικούς ελεγκτές</w:t>
      </w:r>
      <w:r w:rsidR="0090192D" w:rsidRPr="00AD13A0">
        <w:rPr>
          <w:rFonts w:ascii="Arial" w:hAnsi="Arial" w:cs="Arial"/>
          <w:sz w:val="18"/>
          <w:szCs w:val="18"/>
          <w:lang w:val="el-GR" w:eastAsia="el-GR"/>
        </w:rPr>
        <w:t xml:space="preserve"> και </w:t>
      </w:r>
      <w:r w:rsidRPr="00AD13A0">
        <w:rPr>
          <w:rFonts w:ascii="Arial" w:hAnsi="Arial" w:cs="Arial"/>
          <w:sz w:val="18"/>
          <w:szCs w:val="18"/>
          <w:lang w:val="el-GR" w:eastAsia="el-GR"/>
        </w:rPr>
        <w:t xml:space="preserve">δεν αποτελεί τις απαιτούμενες από τη νομοθεσία οικονομικές καταστάσεις της </w:t>
      </w:r>
      <w:r w:rsidRPr="00AD13A0">
        <w:rPr>
          <w:rFonts w:ascii="Arial" w:hAnsi="Arial" w:cs="Arial"/>
          <w:sz w:val="18"/>
          <w:szCs w:val="18"/>
          <w:lang w:eastAsia="el-GR"/>
        </w:rPr>
        <w:t>BOC</w:t>
      </w:r>
      <w:r w:rsidRPr="00AD13A0">
        <w:rPr>
          <w:rFonts w:ascii="Arial" w:hAnsi="Arial" w:cs="Arial"/>
          <w:sz w:val="18"/>
          <w:szCs w:val="18"/>
          <w:lang w:val="el-GR" w:eastAsia="el-GR"/>
        </w:rPr>
        <w:t xml:space="preserve"> </w:t>
      </w:r>
      <w:r w:rsidRPr="00AD13A0">
        <w:rPr>
          <w:rFonts w:ascii="Arial" w:hAnsi="Arial" w:cs="Arial"/>
          <w:sz w:val="18"/>
          <w:szCs w:val="18"/>
          <w:lang w:eastAsia="el-GR"/>
        </w:rPr>
        <w:t>Holdings</w:t>
      </w:r>
      <w:r w:rsidRPr="00AD13A0">
        <w:rPr>
          <w:rFonts w:ascii="Arial" w:hAnsi="Arial" w:cs="Arial"/>
          <w:sz w:val="18"/>
          <w:szCs w:val="18"/>
          <w:lang w:val="el-GR" w:eastAsia="el-GR"/>
        </w:rPr>
        <w:t xml:space="preserve"> σύμφωνα με το άρθρο 340 της νομοθεσίας για </w:t>
      </w:r>
      <w:r w:rsidR="00AD13A0" w:rsidRPr="00AD13A0">
        <w:rPr>
          <w:rFonts w:ascii="Arial" w:hAnsi="Arial" w:cs="Arial"/>
          <w:sz w:val="18"/>
          <w:szCs w:val="18"/>
          <w:lang w:val="el-GR" w:eastAsia="el-GR"/>
        </w:rPr>
        <w:t>Ε</w:t>
      </w:r>
      <w:r w:rsidRPr="00AD13A0">
        <w:rPr>
          <w:rFonts w:ascii="Arial" w:hAnsi="Arial" w:cs="Arial"/>
          <w:sz w:val="18"/>
          <w:szCs w:val="18"/>
          <w:lang w:val="el-GR" w:eastAsia="el-GR"/>
        </w:rPr>
        <w:t>ταιρ</w:t>
      </w:r>
      <w:r w:rsidR="00AD13A0" w:rsidRPr="00AD13A0">
        <w:rPr>
          <w:rFonts w:ascii="Arial" w:hAnsi="Arial" w:cs="Arial"/>
          <w:sz w:val="18"/>
          <w:szCs w:val="18"/>
          <w:lang w:val="el-GR" w:eastAsia="el-GR"/>
        </w:rPr>
        <w:t xml:space="preserve">είες του </w:t>
      </w:r>
      <w:r w:rsidRPr="00AD13A0">
        <w:rPr>
          <w:rFonts w:ascii="Arial" w:hAnsi="Arial" w:cs="Arial"/>
          <w:sz w:val="18"/>
          <w:szCs w:val="18"/>
          <w:lang w:val="el-GR" w:eastAsia="el-GR"/>
        </w:rPr>
        <w:t>201</w:t>
      </w:r>
      <w:r w:rsidR="00AD13A0" w:rsidRPr="00AD13A0">
        <w:rPr>
          <w:rFonts w:ascii="Arial" w:hAnsi="Arial" w:cs="Arial"/>
          <w:sz w:val="18"/>
          <w:szCs w:val="18"/>
          <w:lang w:val="el-GR" w:eastAsia="el-GR"/>
        </w:rPr>
        <w:t>4</w:t>
      </w:r>
      <w:r w:rsidRPr="00AD13A0">
        <w:rPr>
          <w:rFonts w:ascii="Arial" w:hAnsi="Arial" w:cs="Arial"/>
          <w:sz w:val="18"/>
          <w:szCs w:val="18"/>
          <w:lang w:val="el-GR" w:eastAsia="el-GR"/>
        </w:rPr>
        <w:t>.</w:t>
      </w:r>
      <w:r w:rsidR="00AD13A0" w:rsidRPr="00AD13A0">
        <w:rPr>
          <w:rFonts w:ascii="Arial" w:hAnsi="Arial" w:cs="Arial"/>
          <w:sz w:val="18"/>
          <w:szCs w:val="18"/>
          <w:lang w:val="el-GR" w:eastAsia="el-GR"/>
        </w:rPr>
        <w:t xml:space="preserve"> </w:t>
      </w:r>
      <w:r w:rsidRPr="00AD13A0">
        <w:rPr>
          <w:rFonts w:ascii="Arial" w:hAnsi="Arial" w:cs="Arial"/>
          <w:sz w:val="18"/>
          <w:szCs w:val="18"/>
          <w:lang w:val="el-GR" w:eastAsia="el-GR"/>
        </w:rPr>
        <w:t>Οι απαιτούμενες από τη νομοθεσία οικονομικές καταστάσεις του Συγκροτήματος για το</w:t>
      </w:r>
      <w:r w:rsidR="00AD13A0" w:rsidRPr="00AD13A0">
        <w:rPr>
          <w:rFonts w:ascii="Arial" w:hAnsi="Arial" w:cs="Arial"/>
          <w:sz w:val="18"/>
          <w:szCs w:val="18"/>
          <w:lang w:val="el-GR" w:eastAsia="el-GR"/>
        </w:rPr>
        <w:t xml:space="preserve"> </w:t>
      </w:r>
      <w:r w:rsidRPr="00AD13A0">
        <w:rPr>
          <w:rFonts w:ascii="Arial" w:hAnsi="Arial" w:cs="Arial"/>
          <w:sz w:val="18"/>
          <w:szCs w:val="18"/>
          <w:lang w:val="el-GR" w:eastAsia="el-GR"/>
        </w:rPr>
        <w:t xml:space="preserve">έτος που έληξε στις 31 Δεκεμβρίου </w:t>
      </w:r>
      <w:r w:rsidR="00655337" w:rsidRPr="00AD13A0">
        <w:rPr>
          <w:rFonts w:ascii="Arial" w:hAnsi="Arial" w:cs="Arial"/>
          <w:sz w:val="18"/>
          <w:szCs w:val="18"/>
          <w:lang w:val="el-GR" w:eastAsia="el-GR"/>
        </w:rPr>
        <w:t>2023</w:t>
      </w:r>
      <w:r w:rsidR="00AD13A0" w:rsidRPr="00AD13A0">
        <w:rPr>
          <w:rFonts w:ascii="Arial" w:hAnsi="Arial" w:cs="Arial"/>
          <w:sz w:val="18"/>
          <w:szCs w:val="18"/>
          <w:lang w:val="el-GR" w:eastAsia="el-GR"/>
        </w:rPr>
        <w:t xml:space="preserve"> που δημοσιεύτηκαν στις 28 Μαρτίου 202</w:t>
      </w:r>
      <w:r w:rsidR="00AD13A0" w:rsidRPr="009D6E90">
        <w:rPr>
          <w:rFonts w:ascii="Arial" w:hAnsi="Arial" w:cs="Arial"/>
          <w:sz w:val="18"/>
          <w:szCs w:val="18"/>
          <w:lang w:val="el-GR" w:eastAsia="el-GR"/>
        </w:rPr>
        <w:t xml:space="preserve">4 και </w:t>
      </w:r>
      <w:r w:rsidR="00732410" w:rsidRPr="009D6E90">
        <w:rPr>
          <w:rFonts w:ascii="Arial" w:hAnsi="Arial" w:cs="Arial"/>
          <w:sz w:val="18"/>
          <w:szCs w:val="18"/>
          <w:lang w:val="el-GR" w:eastAsia="el-GR"/>
        </w:rPr>
        <w:t>κατά τις οποίες οι ελεγκτές έχουν εκδώσει έκθεση ελεγκτών</w:t>
      </w:r>
      <w:r w:rsidR="00AD13A0" w:rsidRPr="009D6E90">
        <w:rPr>
          <w:rFonts w:ascii="Arial" w:hAnsi="Arial" w:cs="Arial"/>
          <w:sz w:val="18"/>
          <w:szCs w:val="18"/>
          <w:lang w:val="el-GR" w:eastAsia="el-GR"/>
        </w:rPr>
        <w:t xml:space="preserve"> </w:t>
      </w:r>
      <w:r w:rsidR="00732410" w:rsidRPr="009D6E90">
        <w:rPr>
          <w:rFonts w:ascii="Arial" w:hAnsi="Arial" w:cs="Arial"/>
          <w:sz w:val="18"/>
          <w:szCs w:val="18"/>
          <w:lang w:val="el-GR" w:eastAsia="el-GR"/>
        </w:rPr>
        <w:t xml:space="preserve">χωρίς επιφύλαξη, </w:t>
      </w:r>
      <w:r w:rsidR="00196665" w:rsidRPr="009D6E90">
        <w:rPr>
          <w:rFonts w:ascii="Arial" w:hAnsi="Arial" w:cs="Arial"/>
          <w:sz w:val="18"/>
          <w:szCs w:val="18"/>
          <w:lang w:val="el-GR" w:eastAsia="el-GR"/>
        </w:rPr>
        <w:t xml:space="preserve">αναμένεται να κατατεθούν στον Έφορο Εταιριών της Ιρλανδίας εντός 56 ημερών από τις 30 Σεπτεμβρίου </w:t>
      </w:r>
      <w:r w:rsidR="00655337" w:rsidRPr="009D6E90">
        <w:rPr>
          <w:rFonts w:ascii="Arial" w:hAnsi="Arial" w:cs="Arial"/>
          <w:sz w:val="18"/>
          <w:szCs w:val="18"/>
          <w:lang w:val="el-GR" w:eastAsia="el-GR"/>
        </w:rPr>
        <w:t>2024</w:t>
      </w:r>
      <w:r w:rsidR="00CB41D9" w:rsidRPr="009D6E90">
        <w:rPr>
          <w:rFonts w:ascii="Arial" w:hAnsi="Arial" w:cs="Arial"/>
          <w:sz w:val="18"/>
          <w:szCs w:val="18"/>
          <w:lang w:val="el-GR" w:eastAsia="el-GR"/>
        </w:rPr>
        <w:t>.</w:t>
      </w:r>
      <w:r w:rsidR="00AD13A0" w:rsidRPr="009D6E90">
        <w:rPr>
          <w:rFonts w:ascii="Arial" w:hAnsi="Arial" w:cs="Arial"/>
          <w:sz w:val="18"/>
          <w:szCs w:val="18"/>
          <w:lang w:val="el-GR" w:eastAsia="el-GR"/>
        </w:rPr>
        <w:t xml:space="preserve"> </w:t>
      </w:r>
      <w:r w:rsidR="00CB41D9" w:rsidRPr="009D6E90">
        <w:rPr>
          <w:rFonts w:ascii="Arial" w:hAnsi="Arial" w:cs="Arial"/>
          <w:sz w:val="18"/>
          <w:szCs w:val="18"/>
          <w:lang w:val="el-GR" w:eastAsia="el-GR"/>
        </w:rPr>
        <w:t xml:space="preserve">Το Διοικητικό Συμβούλιο ενέκρινε τις </w:t>
      </w:r>
      <w:r w:rsidR="009D6E90" w:rsidRPr="009D6E90">
        <w:rPr>
          <w:rFonts w:ascii="Arial" w:hAnsi="Arial" w:cs="Arial"/>
          <w:sz w:val="18"/>
          <w:szCs w:val="18"/>
          <w:lang w:val="el-GR" w:eastAsia="el-GR"/>
        </w:rPr>
        <w:t xml:space="preserve">Ενοποιημένες </w:t>
      </w:r>
      <w:r w:rsidR="009D6E90" w:rsidRPr="004D71EC">
        <w:rPr>
          <w:rFonts w:ascii="Arial" w:hAnsi="Arial" w:cs="Arial"/>
          <w:sz w:val="18"/>
          <w:szCs w:val="18"/>
          <w:lang w:val="el-GR" w:eastAsia="el-GR"/>
        </w:rPr>
        <w:t>Συνοπτικές</w:t>
      </w:r>
      <w:r w:rsidR="009D6E90" w:rsidRPr="009D6E90">
        <w:rPr>
          <w:rFonts w:ascii="Arial" w:hAnsi="Arial" w:cs="Arial"/>
          <w:sz w:val="18"/>
          <w:szCs w:val="18"/>
          <w:lang w:val="el-GR" w:eastAsia="el-GR"/>
        </w:rPr>
        <w:t xml:space="preserve"> </w:t>
      </w:r>
      <w:r w:rsidR="006B29D6">
        <w:rPr>
          <w:rFonts w:ascii="Arial" w:hAnsi="Arial" w:cs="Arial"/>
          <w:sz w:val="18"/>
          <w:szCs w:val="18"/>
          <w:lang w:val="en-US" w:eastAsia="el-GR"/>
        </w:rPr>
        <w:t>O</w:t>
      </w:r>
      <w:r w:rsidR="00CB41D9" w:rsidRPr="009D6E90">
        <w:rPr>
          <w:rFonts w:ascii="Arial" w:hAnsi="Arial" w:cs="Arial"/>
          <w:sz w:val="18"/>
          <w:szCs w:val="18"/>
          <w:lang w:val="el-GR" w:eastAsia="el-GR"/>
        </w:rPr>
        <w:t xml:space="preserve">ικονομικές </w:t>
      </w:r>
      <w:r w:rsidR="006B29D6">
        <w:rPr>
          <w:rFonts w:ascii="Arial" w:hAnsi="Arial" w:cs="Arial"/>
          <w:sz w:val="18"/>
          <w:szCs w:val="18"/>
          <w:lang w:val="en-US" w:eastAsia="el-GR"/>
        </w:rPr>
        <w:t>K</w:t>
      </w:r>
      <w:r w:rsidR="00CB41D9" w:rsidRPr="009D6E90">
        <w:rPr>
          <w:rFonts w:ascii="Arial" w:hAnsi="Arial" w:cs="Arial"/>
          <w:sz w:val="18"/>
          <w:szCs w:val="18"/>
          <w:lang w:val="el-GR" w:eastAsia="el-GR"/>
        </w:rPr>
        <w:t xml:space="preserve">αταστάσεις του Συγκροτήματος για το </w:t>
      </w:r>
      <w:r w:rsidR="00AD13A0" w:rsidRPr="009D6E90">
        <w:rPr>
          <w:rFonts w:ascii="Arial" w:hAnsi="Arial" w:cs="Arial"/>
          <w:sz w:val="18"/>
          <w:szCs w:val="18"/>
          <w:lang w:val="el-GR" w:eastAsia="el-GR"/>
        </w:rPr>
        <w:t>εξάμηνο</w:t>
      </w:r>
      <w:r w:rsidR="00CB41D9" w:rsidRPr="009D6E90">
        <w:rPr>
          <w:rFonts w:ascii="Arial" w:hAnsi="Arial" w:cs="Arial"/>
          <w:sz w:val="18"/>
          <w:szCs w:val="18"/>
          <w:lang w:val="el-GR" w:eastAsia="el-GR"/>
        </w:rPr>
        <w:t xml:space="preserve"> που έληξε στις </w:t>
      </w:r>
      <w:r w:rsidR="00AD13A0" w:rsidRPr="009D6E90">
        <w:rPr>
          <w:rFonts w:ascii="Arial" w:hAnsi="Arial" w:cs="Arial"/>
          <w:sz w:val="18"/>
          <w:szCs w:val="18"/>
          <w:lang w:val="el-GR" w:eastAsia="el-GR"/>
        </w:rPr>
        <w:t>30</w:t>
      </w:r>
      <w:r w:rsidR="00CB41D9" w:rsidRPr="009D6E90">
        <w:rPr>
          <w:rFonts w:ascii="Arial" w:hAnsi="Arial" w:cs="Arial"/>
          <w:sz w:val="18"/>
          <w:szCs w:val="18"/>
          <w:lang w:val="el-GR" w:eastAsia="el-GR"/>
        </w:rPr>
        <w:t xml:space="preserve"> </w:t>
      </w:r>
      <w:r w:rsidR="00AD13A0" w:rsidRPr="009D6E90">
        <w:rPr>
          <w:rFonts w:ascii="Arial" w:hAnsi="Arial" w:cs="Arial"/>
          <w:sz w:val="18"/>
          <w:szCs w:val="18"/>
          <w:lang w:val="el-GR" w:eastAsia="el-GR"/>
        </w:rPr>
        <w:t>Ιουνίου</w:t>
      </w:r>
      <w:r w:rsidR="00CB41D9" w:rsidRPr="009D6E90">
        <w:rPr>
          <w:rFonts w:ascii="Arial" w:hAnsi="Arial" w:cs="Arial"/>
          <w:sz w:val="18"/>
          <w:szCs w:val="18"/>
          <w:lang w:val="el-GR" w:eastAsia="el-GR"/>
        </w:rPr>
        <w:t xml:space="preserve"> 2024 στις </w:t>
      </w:r>
      <w:r w:rsidR="009D6E90" w:rsidRPr="009D6E90">
        <w:rPr>
          <w:rFonts w:ascii="Arial" w:hAnsi="Arial" w:cs="Arial"/>
          <w:sz w:val="18"/>
          <w:szCs w:val="18"/>
          <w:lang w:val="el-GR" w:eastAsia="el-GR"/>
        </w:rPr>
        <w:t>7</w:t>
      </w:r>
      <w:r w:rsidR="00CB41D9" w:rsidRPr="009D6E90">
        <w:rPr>
          <w:rFonts w:ascii="Arial" w:hAnsi="Arial" w:cs="Arial"/>
          <w:sz w:val="18"/>
          <w:szCs w:val="18"/>
          <w:lang w:val="el-GR" w:eastAsia="el-GR"/>
        </w:rPr>
        <w:t xml:space="preserve"> </w:t>
      </w:r>
      <w:r w:rsidR="009D6E90" w:rsidRPr="009D6E90">
        <w:rPr>
          <w:rFonts w:ascii="Arial" w:hAnsi="Arial" w:cs="Arial"/>
          <w:sz w:val="18"/>
          <w:szCs w:val="18"/>
          <w:lang w:val="el-GR" w:eastAsia="el-GR"/>
        </w:rPr>
        <w:t>Αυγούστου</w:t>
      </w:r>
      <w:r w:rsidR="00CB41D9" w:rsidRPr="009D6E90">
        <w:rPr>
          <w:rFonts w:ascii="Arial" w:hAnsi="Arial" w:cs="Arial"/>
          <w:sz w:val="18"/>
          <w:szCs w:val="18"/>
          <w:lang w:val="el-GR" w:eastAsia="el-GR"/>
        </w:rPr>
        <w:t xml:space="preserve"> 2024.</w:t>
      </w:r>
    </w:p>
    <w:p w14:paraId="11FA5DDD" w14:textId="77777777" w:rsidR="00BC4C32" w:rsidRPr="009D6E90" w:rsidRDefault="00BC4C32" w:rsidP="00711D11">
      <w:pPr>
        <w:pStyle w:val="FootnoteTex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Arial" w:hAnsi="Arial" w:cs="Arial"/>
          <w:sz w:val="18"/>
          <w:szCs w:val="18"/>
          <w:lang w:val="el-GR" w:eastAsia="el-GR"/>
        </w:rPr>
      </w:pPr>
    </w:p>
    <w:p w14:paraId="4CEFA1E1" w14:textId="14F38239" w:rsidR="00BC4C32" w:rsidRPr="009D6E90" w:rsidRDefault="00BC4C32" w:rsidP="00711D1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both"/>
        <w:rPr>
          <w:rFonts w:ascii="Arial" w:hAnsi="Arial" w:cs="Arial"/>
          <w:sz w:val="18"/>
          <w:szCs w:val="18"/>
          <w:lang w:val="el-GR" w:eastAsia="el-GR"/>
        </w:rPr>
      </w:pPr>
      <w:r w:rsidRPr="009D6E90">
        <w:rPr>
          <w:rFonts w:ascii="Arial" w:hAnsi="Arial" w:cs="Arial"/>
          <w:b/>
          <w:sz w:val="18"/>
          <w:szCs w:val="18"/>
          <w:lang w:val="el-GR" w:eastAsia="el-GR"/>
        </w:rPr>
        <w:t>Βάση</w:t>
      </w:r>
      <w:r w:rsidRPr="009D6E90">
        <w:rPr>
          <w:rFonts w:ascii="Arial" w:hAnsi="Arial" w:cs="Arial"/>
          <w:b/>
          <w:sz w:val="20"/>
          <w:lang w:val="el-GR"/>
        </w:rPr>
        <w:t xml:space="preserve"> </w:t>
      </w:r>
      <w:r w:rsidRPr="009D6E90">
        <w:rPr>
          <w:rFonts w:ascii="Arial" w:hAnsi="Arial" w:cs="Arial"/>
          <w:b/>
          <w:sz w:val="18"/>
          <w:szCs w:val="18"/>
          <w:lang w:val="el-GR" w:eastAsia="el-GR"/>
        </w:rPr>
        <w:t>όπως απαιτείται από τη νομοθεσία:</w:t>
      </w:r>
      <w:r w:rsidRPr="009D6E90">
        <w:rPr>
          <w:rFonts w:ascii="Arial" w:hAnsi="Arial" w:cs="Arial"/>
          <w:sz w:val="18"/>
          <w:szCs w:val="18"/>
          <w:lang w:val="el-GR" w:eastAsia="el-GR"/>
        </w:rPr>
        <w:t xml:space="preserve"> Η πληροφόρηση με βάση ‘όπως απαιτείται από τη νομοθεσία’ παρατίθεται στις σελίδες </w:t>
      </w:r>
      <w:r w:rsidR="009D6E90" w:rsidRPr="009D6E90">
        <w:rPr>
          <w:rFonts w:ascii="Arial" w:hAnsi="Arial" w:cs="Arial"/>
          <w:sz w:val="18"/>
          <w:szCs w:val="18"/>
          <w:lang w:val="el-GR" w:eastAsia="el-GR"/>
        </w:rPr>
        <w:t>4</w:t>
      </w:r>
      <w:r w:rsidR="00BD0741" w:rsidRPr="009D6E90">
        <w:rPr>
          <w:rFonts w:ascii="Arial" w:hAnsi="Arial" w:cs="Arial"/>
          <w:sz w:val="18"/>
          <w:szCs w:val="18"/>
          <w:lang w:val="el-GR" w:eastAsia="el-GR"/>
        </w:rPr>
        <w:t>-</w:t>
      </w:r>
      <w:r w:rsidR="009D6E90" w:rsidRPr="009D6E90">
        <w:rPr>
          <w:rFonts w:ascii="Arial" w:hAnsi="Arial" w:cs="Arial"/>
          <w:sz w:val="18"/>
          <w:szCs w:val="18"/>
          <w:lang w:val="el-GR" w:eastAsia="el-GR"/>
        </w:rPr>
        <w:t>5</w:t>
      </w:r>
      <w:r w:rsidRPr="009D6E90">
        <w:rPr>
          <w:rFonts w:ascii="Arial" w:hAnsi="Arial" w:cs="Arial"/>
          <w:sz w:val="18"/>
          <w:szCs w:val="18"/>
          <w:lang w:val="el-GR" w:eastAsia="el-GR"/>
        </w:rPr>
        <w:t xml:space="preserve">. Ωστόσο, διάφοροι παράγοντες έχουν επηρεάσει σημαντικά τη συγκρισιμότητα της χρηματοοικονομικής θέσης και των αποτελεσμάτων του Συγκροτήματος. Κατά συνέπεια, τα αποτελέσματα παρουσιάζονται επίσης σε υποκείμενη βάση. </w:t>
      </w:r>
    </w:p>
    <w:p w14:paraId="2022103A" w14:textId="77777777" w:rsidR="00BC4C32" w:rsidRPr="009D6E90" w:rsidRDefault="00BC4C32" w:rsidP="00711D1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both"/>
        <w:rPr>
          <w:rFonts w:ascii="Arial" w:hAnsi="Arial" w:cs="Arial"/>
          <w:sz w:val="18"/>
          <w:szCs w:val="18"/>
          <w:lang w:val="el-GR" w:eastAsia="el-GR"/>
        </w:rPr>
      </w:pPr>
    </w:p>
    <w:p w14:paraId="55D55297" w14:textId="19B7CFE3" w:rsidR="00BC4C32" w:rsidRPr="009D6E90" w:rsidRDefault="00BC4C32" w:rsidP="00711D1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both"/>
        <w:rPr>
          <w:rFonts w:ascii="Arial" w:hAnsi="Arial" w:cs="Arial"/>
          <w:sz w:val="18"/>
          <w:szCs w:val="18"/>
          <w:lang w:val="el-GR" w:eastAsia="el-GR"/>
        </w:rPr>
      </w:pPr>
      <w:r w:rsidRPr="009D6E90">
        <w:rPr>
          <w:rFonts w:ascii="Arial" w:hAnsi="Arial" w:cs="Arial"/>
          <w:b/>
          <w:sz w:val="18"/>
          <w:szCs w:val="18"/>
          <w:lang w:val="el-GR" w:eastAsia="el-GR"/>
        </w:rPr>
        <w:t>Υποκείμενη βάση:</w:t>
      </w:r>
      <w:r w:rsidRPr="009D6E90">
        <w:rPr>
          <w:rFonts w:ascii="Arial" w:hAnsi="Arial" w:cs="Arial"/>
          <w:sz w:val="18"/>
          <w:szCs w:val="18"/>
          <w:lang w:val="el-GR" w:eastAsia="el-GR"/>
        </w:rPr>
        <w:t xml:space="preserve"> Η χρηματοοικονομική πληροφόρηση που παρουσιάζεται στην υποκείμενη βάση παρέχει μια ανασκόπηση των οικονομικών αποτελεσμάτων του Συγκροτήματος για το </w:t>
      </w:r>
      <w:r w:rsidR="009D6E90" w:rsidRPr="009D6E90">
        <w:rPr>
          <w:rFonts w:ascii="Arial" w:hAnsi="Arial" w:cs="Arial"/>
          <w:sz w:val="18"/>
          <w:szCs w:val="18"/>
          <w:lang w:val="el-GR" w:eastAsia="el-GR"/>
        </w:rPr>
        <w:t>εξάμηνο</w:t>
      </w:r>
      <w:r w:rsidR="00CB41D9" w:rsidRPr="009D6E90">
        <w:rPr>
          <w:rFonts w:ascii="Arial" w:hAnsi="Arial" w:cs="Arial"/>
          <w:sz w:val="18"/>
          <w:szCs w:val="18"/>
          <w:lang w:val="el-GR" w:eastAsia="el-GR"/>
        </w:rPr>
        <w:t xml:space="preserve"> </w:t>
      </w:r>
      <w:r w:rsidR="00CF7DE4" w:rsidRPr="009D6E90">
        <w:rPr>
          <w:rFonts w:ascii="Arial" w:hAnsi="Arial" w:cs="Arial"/>
          <w:sz w:val="18"/>
          <w:szCs w:val="18"/>
          <w:lang w:val="el-GR" w:eastAsia="el-GR"/>
        </w:rPr>
        <w:t xml:space="preserve">που έληξε στις </w:t>
      </w:r>
      <w:r w:rsidR="009D6E90" w:rsidRPr="009D6E90">
        <w:rPr>
          <w:rFonts w:ascii="Arial" w:hAnsi="Arial" w:cs="Arial"/>
          <w:sz w:val="18"/>
          <w:szCs w:val="18"/>
          <w:lang w:val="el-GR" w:eastAsia="el-GR"/>
        </w:rPr>
        <w:t>30</w:t>
      </w:r>
      <w:r w:rsidR="00CF7DE4" w:rsidRPr="009D6E90">
        <w:rPr>
          <w:rFonts w:ascii="Arial" w:hAnsi="Arial" w:cs="Arial"/>
          <w:sz w:val="18"/>
          <w:szCs w:val="18"/>
          <w:lang w:val="el-GR" w:eastAsia="el-GR"/>
        </w:rPr>
        <w:t xml:space="preserve"> </w:t>
      </w:r>
      <w:r w:rsidR="009D6E90" w:rsidRPr="009D6E90">
        <w:rPr>
          <w:rFonts w:ascii="Arial" w:hAnsi="Arial" w:cs="Arial"/>
          <w:sz w:val="18"/>
          <w:szCs w:val="18"/>
          <w:lang w:val="el-GR" w:eastAsia="el-GR"/>
        </w:rPr>
        <w:t>Ιουνίου</w:t>
      </w:r>
      <w:r w:rsidR="00CB41D9" w:rsidRPr="009D6E90">
        <w:rPr>
          <w:rFonts w:ascii="Arial" w:hAnsi="Arial" w:cs="Arial"/>
          <w:sz w:val="18"/>
          <w:szCs w:val="18"/>
          <w:lang w:val="el-GR" w:eastAsia="el-GR"/>
        </w:rPr>
        <w:t xml:space="preserve"> 2024</w:t>
      </w:r>
      <w:r w:rsidRPr="009D6E90">
        <w:rPr>
          <w:rFonts w:ascii="Arial" w:hAnsi="Arial" w:cs="Arial"/>
          <w:sz w:val="18"/>
          <w:szCs w:val="18"/>
          <w:lang w:val="el-GR" w:eastAsia="el-GR"/>
        </w:rPr>
        <w:t xml:space="preserve">, στην οποία η Διεύθυνση πιστεύει ότι παρουσιάζει καλύτερα την επιμέτρηση της απόδοσης και της θέσης του Συγκροτήματος. Για περισσότερες πληροφορίες, ανατρέξτε στην ενότητα ‘Σχόλια για την υποκείμενη βάση’ </w:t>
      </w:r>
      <w:r w:rsidR="00CB41D9" w:rsidRPr="009D6E90">
        <w:rPr>
          <w:rFonts w:ascii="Arial" w:hAnsi="Arial" w:cs="Arial"/>
          <w:sz w:val="18"/>
          <w:szCs w:val="18"/>
          <w:lang w:val="el-GR" w:eastAsia="el-GR"/>
        </w:rPr>
        <w:t xml:space="preserve">στη σελίδα </w:t>
      </w:r>
      <w:r w:rsidR="009D6E90" w:rsidRPr="009D6E90">
        <w:rPr>
          <w:rFonts w:ascii="Arial" w:hAnsi="Arial" w:cs="Arial"/>
          <w:color w:val="000000" w:themeColor="text1"/>
          <w:sz w:val="18"/>
          <w:szCs w:val="18"/>
          <w:lang w:val="el-GR" w:eastAsia="el-GR"/>
        </w:rPr>
        <w:t>7</w:t>
      </w:r>
      <w:r w:rsidRPr="009D6E90">
        <w:rPr>
          <w:rFonts w:ascii="Arial" w:hAnsi="Arial" w:cs="Arial"/>
          <w:color w:val="000000" w:themeColor="text1"/>
          <w:sz w:val="18"/>
          <w:szCs w:val="18"/>
          <w:lang w:val="el-GR" w:eastAsia="el-GR"/>
        </w:rPr>
        <w:t>.</w:t>
      </w:r>
      <w:r w:rsidR="009D1B99" w:rsidRPr="009D6E90">
        <w:rPr>
          <w:rFonts w:ascii="Arial" w:hAnsi="Arial" w:cs="Arial"/>
          <w:color w:val="FF0000"/>
          <w:sz w:val="18"/>
          <w:szCs w:val="18"/>
          <w:lang w:val="el-GR" w:eastAsia="el-GR"/>
        </w:rPr>
        <w:t xml:space="preserve"> </w:t>
      </w:r>
      <w:r w:rsidRPr="009D6E90">
        <w:rPr>
          <w:rFonts w:ascii="Arial" w:hAnsi="Arial" w:cs="Arial"/>
          <w:sz w:val="18"/>
          <w:szCs w:val="18"/>
          <w:lang w:val="el-GR" w:eastAsia="el-GR"/>
        </w:rPr>
        <w:t xml:space="preserve">Τα αποτελέσματα στην απαιτούμενη από τη νομοθεσία βάση αναπροσαρμόζονται για ορισμένα στοιχεία (βλέπε </w:t>
      </w:r>
      <w:r w:rsidR="00631D69" w:rsidRPr="009D6E90">
        <w:rPr>
          <w:rFonts w:ascii="Arial" w:hAnsi="Arial" w:cs="Arial"/>
          <w:sz w:val="18"/>
          <w:szCs w:val="18"/>
          <w:lang w:val="el-GR" w:eastAsia="el-GR"/>
        </w:rPr>
        <w:t xml:space="preserve">Μέρος </w:t>
      </w:r>
      <w:r w:rsidR="009D6E90" w:rsidRPr="009D6E90">
        <w:rPr>
          <w:rFonts w:ascii="Arial" w:hAnsi="Arial" w:cs="Arial"/>
          <w:sz w:val="18"/>
          <w:szCs w:val="18"/>
          <w:lang w:val="el-GR" w:eastAsia="el-GR"/>
        </w:rPr>
        <w:t>Β</w:t>
      </w:r>
      <w:r w:rsidR="00631D69" w:rsidRPr="009D6E90">
        <w:rPr>
          <w:rFonts w:ascii="Arial" w:hAnsi="Arial" w:cs="Arial"/>
          <w:sz w:val="18"/>
          <w:szCs w:val="18"/>
          <w:lang w:val="el-GR" w:eastAsia="el-GR"/>
        </w:rPr>
        <w:t>.1</w:t>
      </w:r>
      <w:r w:rsidRPr="009D6E90">
        <w:rPr>
          <w:rFonts w:ascii="Arial" w:hAnsi="Arial" w:cs="Arial"/>
          <w:sz w:val="18"/>
          <w:szCs w:val="18"/>
          <w:lang w:val="el-GR" w:eastAsia="el-GR"/>
        </w:rPr>
        <w:t>), ώστε να επιτρέπουν τη σύγκριση τη</w:t>
      </w:r>
      <w:r w:rsidR="009B6002" w:rsidRPr="009D6E90">
        <w:rPr>
          <w:rFonts w:ascii="Arial" w:hAnsi="Arial" w:cs="Arial"/>
          <w:sz w:val="18"/>
          <w:szCs w:val="18"/>
          <w:lang w:val="el-GR" w:eastAsia="el-GR"/>
        </w:rPr>
        <w:t>ς</w:t>
      </w:r>
      <w:r w:rsidRPr="009D6E90">
        <w:rPr>
          <w:rFonts w:ascii="Arial" w:hAnsi="Arial" w:cs="Arial"/>
          <w:sz w:val="18"/>
          <w:szCs w:val="18"/>
          <w:lang w:val="el-GR" w:eastAsia="el-GR"/>
        </w:rPr>
        <w:t xml:space="preserve"> υποκείμενης οικονομικής απόδοσης του Συγκροτήματος.</w:t>
      </w:r>
    </w:p>
    <w:p w14:paraId="53657785" w14:textId="76FC59BF" w:rsidR="00E21D0B" w:rsidRPr="009D6E90" w:rsidRDefault="00E21D0B" w:rsidP="00711D1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both"/>
        <w:rPr>
          <w:rFonts w:ascii="Arial" w:hAnsi="Arial" w:cs="Arial"/>
          <w:sz w:val="18"/>
          <w:szCs w:val="18"/>
          <w:lang w:val="el-GR" w:eastAsia="el-GR"/>
        </w:rPr>
      </w:pPr>
    </w:p>
    <w:p w14:paraId="4FC9E461" w14:textId="77777777" w:rsidR="00366668" w:rsidRPr="00366668" w:rsidRDefault="00E21D0B" w:rsidP="00711D1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both"/>
        <w:rPr>
          <w:rFonts w:ascii="Arial" w:hAnsi="Arial" w:cs="Arial"/>
          <w:sz w:val="18"/>
          <w:szCs w:val="18"/>
          <w:lang w:val="el-GR" w:eastAsia="el-GR"/>
        </w:rPr>
      </w:pPr>
      <w:r w:rsidRPr="009D6E90">
        <w:rPr>
          <w:rFonts w:ascii="Arial" w:hAnsi="Arial" w:cs="Arial"/>
          <w:sz w:val="18"/>
          <w:szCs w:val="18"/>
          <w:lang w:val="el-GR" w:eastAsia="el-GR"/>
        </w:rPr>
        <w:t>Η χρηματοοικονομική πληροφόρηση που αναφέρεται</w:t>
      </w:r>
      <w:r w:rsidR="00903D61" w:rsidRPr="009D6E90">
        <w:rPr>
          <w:rFonts w:ascii="Arial" w:hAnsi="Arial" w:cs="Arial"/>
          <w:sz w:val="18"/>
          <w:szCs w:val="18"/>
          <w:lang w:val="el-GR" w:eastAsia="el-GR"/>
        </w:rPr>
        <w:t xml:space="preserve"> σε αυτή την ανακοίνωση δεν έχει επισκοπηθεί ή ελεγχθεί από τους εξωτερικούς ελεγκτές του Συγκροτήματος.</w:t>
      </w:r>
    </w:p>
    <w:p w14:paraId="52C954BB" w14:textId="77777777" w:rsidR="00366668" w:rsidRPr="00CF1753" w:rsidRDefault="00366668" w:rsidP="00711D1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both"/>
        <w:rPr>
          <w:rFonts w:ascii="Arial" w:hAnsi="Arial" w:cs="Arial"/>
          <w:sz w:val="18"/>
          <w:szCs w:val="18"/>
          <w:lang w:val="el-GR" w:eastAsia="el-GR"/>
        </w:rPr>
      </w:pPr>
    </w:p>
    <w:p w14:paraId="4A0BEE39" w14:textId="05A33B4F" w:rsidR="00E21D0B" w:rsidRPr="00366668" w:rsidRDefault="00366668" w:rsidP="00711D1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both"/>
        <w:rPr>
          <w:rFonts w:ascii="Arial" w:hAnsi="Arial" w:cs="Arial"/>
          <w:sz w:val="18"/>
          <w:szCs w:val="18"/>
          <w:lang w:val="el-GR" w:eastAsia="el-GR"/>
        </w:rPr>
      </w:pPr>
      <w:r w:rsidRPr="00366668">
        <w:rPr>
          <w:rFonts w:ascii="Arial" w:hAnsi="Arial" w:cs="Arial"/>
          <w:sz w:val="18"/>
          <w:szCs w:val="18"/>
          <w:lang w:val="el-GR" w:eastAsia="el-GR"/>
        </w:rPr>
        <w:t xml:space="preserve">Οι Ενοποιημένες Συνοπτικές Ενδιάμεσες Οικονομικές Καταστάσεις για το εξάμηνο που έληξε στις 30 Ιουνίου 2024 δεν έχουν ελεγχθεί από τους εξωτερικούς ελεγκτές του Συγκροτήματος. Οι εξωτερικοί ελεγκτές του Συγκροτήματος έχουν διενεργήσει επισκόπηση των Ενοποιημένων Συνοπτικών Ενδιάμεσων Οικονομικών Καταστάσεων σύμφωνα με το Διεθνές Πρότυπο για Επισκοπήσεις (Ιρλανδίας) 2410 ‘Επισκόπηση Ενδιάμεσης Χρηματοοικονομικής Πληροφόρησης που διενεργείται από τον Ανεξάρτητο Ελεγκτή της Οντότητας’. </w:t>
      </w:r>
    </w:p>
    <w:p w14:paraId="6D0E4E9D" w14:textId="1559BF0F" w:rsidR="00E21D0B" w:rsidRPr="009D6E90" w:rsidRDefault="00E21D0B" w:rsidP="00711D1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both"/>
        <w:rPr>
          <w:rFonts w:ascii="Arial" w:hAnsi="Arial" w:cs="Arial"/>
          <w:sz w:val="18"/>
          <w:szCs w:val="18"/>
          <w:lang w:val="el-GR" w:eastAsia="el-GR"/>
        </w:rPr>
      </w:pPr>
    </w:p>
    <w:p w14:paraId="252B53A6" w14:textId="3F80FB37" w:rsidR="00FA563D" w:rsidRPr="009D6E90" w:rsidRDefault="00FA563D" w:rsidP="00711D1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both"/>
        <w:rPr>
          <w:rFonts w:ascii="Arial" w:hAnsi="Arial" w:cs="Arial"/>
          <w:sz w:val="18"/>
          <w:szCs w:val="18"/>
          <w:lang w:val="el-GR" w:eastAsia="el-GR"/>
        </w:rPr>
      </w:pPr>
      <w:r w:rsidRPr="009D6E90">
        <w:rPr>
          <w:rFonts w:ascii="Arial" w:hAnsi="Arial" w:cs="Arial"/>
          <w:sz w:val="18"/>
          <w:szCs w:val="18"/>
          <w:lang w:val="el-GR" w:eastAsia="el-GR"/>
        </w:rPr>
        <w:t xml:space="preserve">Η ανακοίνωση αυτή και η παρουσίαση των Οικονομικών Αποτελεσμάτων του Συγκροτήματος για το </w:t>
      </w:r>
      <w:r w:rsidR="009D6E90" w:rsidRPr="009D6E90">
        <w:rPr>
          <w:rFonts w:ascii="Arial" w:hAnsi="Arial" w:cs="Arial"/>
          <w:sz w:val="18"/>
          <w:szCs w:val="18"/>
          <w:lang w:val="el-GR" w:eastAsia="el-GR"/>
        </w:rPr>
        <w:t>εξάμηνο</w:t>
      </w:r>
      <w:r w:rsidR="00CB41D9" w:rsidRPr="009D6E90">
        <w:rPr>
          <w:rFonts w:ascii="Arial" w:hAnsi="Arial" w:cs="Arial"/>
          <w:sz w:val="18"/>
          <w:szCs w:val="18"/>
          <w:lang w:val="el-GR" w:eastAsia="el-GR"/>
        </w:rPr>
        <w:t xml:space="preserve"> </w:t>
      </w:r>
      <w:r w:rsidR="002357C3" w:rsidRPr="009D6E90">
        <w:rPr>
          <w:rFonts w:ascii="Arial" w:hAnsi="Arial" w:cs="Arial"/>
          <w:sz w:val="18"/>
          <w:szCs w:val="18"/>
          <w:lang w:val="el-GR" w:eastAsia="el-GR"/>
        </w:rPr>
        <w:t xml:space="preserve">που έληξε στις </w:t>
      </w:r>
      <w:r w:rsidR="009D6E90" w:rsidRPr="009D6E90">
        <w:rPr>
          <w:rFonts w:ascii="Arial" w:hAnsi="Arial" w:cs="Arial"/>
          <w:sz w:val="18"/>
          <w:szCs w:val="18"/>
          <w:lang w:val="el-GR" w:eastAsia="el-GR"/>
        </w:rPr>
        <w:t>30</w:t>
      </w:r>
      <w:r w:rsidR="002357C3" w:rsidRPr="009D6E90">
        <w:rPr>
          <w:rFonts w:ascii="Arial" w:hAnsi="Arial" w:cs="Arial"/>
          <w:sz w:val="18"/>
          <w:szCs w:val="18"/>
          <w:lang w:val="el-GR" w:eastAsia="el-GR"/>
        </w:rPr>
        <w:t xml:space="preserve"> </w:t>
      </w:r>
      <w:r w:rsidR="009D6E90" w:rsidRPr="009D6E90">
        <w:rPr>
          <w:rFonts w:ascii="Arial" w:hAnsi="Arial" w:cs="Arial"/>
          <w:sz w:val="18"/>
          <w:szCs w:val="18"/>
          <w:lang w:val="el-GR" w:eastAsia="el-GR"/>
        </w:rPr>
        <w:t>Ιουνίου</w:t>
      </w:r>
      <w:r w:rsidR="00CB41D9" w:rsidRPr="009D6E90">
        <w:rPr>
          <w:rFonts w:ascii="Arial" w:hAnsi="Arial" w:cs="Arial"/>
          <w:sz w:val="18"/>
          <w:szCs w:val="18"/>
          <w:lang w:val="el-GR" w:eastAsia="el-GR"/>
        </w:rPr>
        <w:t xml:space="preserve"> 2024 </w:t>
      </w:r>
      <w:r w:rsidRPr="009D6E90">
        <w:rPr>
          <w:rFonts w:ascii="Arial" w:hAnsi="Arial" w:cs="Arial"/>
          <w:sz w:val="18"/>
          <w:szCs w:val="18"/>
          <w:lang w:val="el-GR" w:eastAsia="el-GR"/>
        </w:rPr>
        <w:t>έχουν αναρτηθεί στην ιστοσελίδα του Συγκροτήματος</w:t>
      </w:r>
      <w:r w:rsidR="00CC6F93" w:rsidRPr="009D6E90">
        <w:rPr>
          <w:rFonts w:ascii="Arial" w:hAnsi="Arial" w:cs="Arial"/>
          <w:sz w:val="18"/>
          <w:szCs w:val="18"/>
          <w:lang w:val="el-GR" w:eastAsia="el-GR"/>
        </w:rPr>
        <w:t xml:space="preserve"> </w:t>
      </w:r>
      <w:r w:rsidR="00CC6F93" w:rsidRPr="009D6E90">
        <w:rPr>
          <w:rFonts w:ascii="Arial" w:hAnsi="Arial" w:cs="Arial"/>
          <w:color w:val="0000FF"/>
          <w:sz w:val="18"/>
          <w:szCs w:val="18"/>
          <w:u w:val="single"/>
          <w:lang w:val="el-GR" w:eastAsia="el-GR"/>
        </w:rPr>
        <w:t>www.bankofcyprus.com</w:t>
      </w:r>
      <w:r w:rsidR="00920C17" w:rsidRPr="009D6E90">
        <w:rPr>
          <w:rFonts w:ascii="Arial" w:hAnsi="Arial" w:cs="Arial"/>
          <w:sz w:val="18"/>
          <w:szCs w:val="18"/>
          <w:lang w:val="el-GR" w:eastAsia="el-GR"/>
        </w:rPr>
        <w:t xml:space="preserve"> </w:t>
      </w:r>
      <w:r w:rsidRPr="009D6E90">
        <w:rPr>
          <w:rFonts w:ascii="Arial" w:hAnsi="Arial" w:cs="Arial"/>
          <w:sz w:val="18"/>
          <w:szCs w:val="18"/>
          <w:lang w:val="el-GR" w:eastAsia="el-GR"/>
        </w:rPr>
        <w:t>(</w:t>
      </w:r>
      <w:r w:rsidRPr="009D6E90">
        <w:rPr>
          <w:rFonts w:ascii="Arial" w:hAnsi="Arial" w:cs="Arial"/>
          <w:sz w:val="18"/>
          <w:szCs w:val="18"/>
          <w:lang w:val="en-US" w:eastAsia="el-GR"/>
        </w:rPr>
        <w:t>Group</w:t>
      </w:r>
      <w:r w:rsidRPr="009D6E90">
        <w:rPr>
          <w:rFonts w:ascii="Arial" w:hAnsi="Arial" w:cs="Arial"/>
          <w:sz w:val="18"/>
          <w:szCs w:val="18"/>
          <w:lang w:val="el-GR" w:eastAsia="el-GR"/>
        </w:rPr>
        <w:t>/Σχέσεις Επενδυτών/Οικονομικά Αποτελέσματα).</w:t>
      </w:r>
    </w:p>
    <w:p w14:paraId="5208582B" w14:textId="77777777" w:rsidR="00FA563D" w:rsidRPr="009D6E90" w:rsidRDefault="00FA563D" w:rsidP="00711D1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both"/>
        <w:rPr>
          <w:rFonts w:ascii="Arial" w:hAnsi="Arial" w:cs="Arial"/>
          <w:sz w:val="18"/>
          <w:szCs w:val="18"/>
          <w:lang w:val="el-GR" w:eastAsia="el-GR"/>
        </w:rPr>
      </w:pPr>
    </w:p>
    <w:p w14:paraId="772C8842" w14:textId="43B66C4D" w:rsidR="00BC4C32" w:rsidRPr="009D6E90" w:rsidRDefault="00BC4C32" w:rsidP="00711D1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both"/>
        <w:rPr>
          <w:rFonts w:ascii="Arial" w:hAnsi="Arial" w:cs="Arial"/>
          <w:sz w:val="18"/>
          <w:szCs w:val="18"/>
          <w:lang w:val="el-GR" w:eastAsia="el-GR"/>
        </w:rPr>
      </w:pPr>
      <w:r w:rsidRPr="009D6E90">
        <w:rPr>
          <w:rFonts w:ascii="Arial" w:hAnsi="Arial" w:cs="Arial"/>
          <w:b/>
          <w:sz w:val="18"/>
          <w:szCs w:val="18"/>
          <w:lang w:val="el-GR" w:eastAsia="el-GR"/>
        </w:rPr>
        <w:t>Όροι:</w:t>
      </w:r>
      <w:r w:rsidR="002357C3" w:rsidRPr="009D6E90">
        <w:rPr>
          <w:rFonts w:ascii="Arial" w:hAnsi="Arial" w:cs="Arial"/>
          <w:sz w:val="18"/>
          <w:szCs w:val="18"/>
          <w:lang w:val="el-GR" w:eastAsia="el-GR"/>
        </w:rPr>
        <w:t xml:space="preserve"> </w:t>
      </w:r>
      <w:r w:rsidRPr="009D6E90">
        <w:rPr>
          <w:rFonts w:ascii="Arial" w:hAnsi="Arial" w:cs="Arial"/>
          <w:sz w:val="18"/>
          <w:szCs w:val="18"/>
          <w:lang w:val="el-GR" w:eastAsia="el-GR"/>
        </w:rPr>
        <w:t xml:space="preserve">Το Συγκρότημα χρησιμοποιεί ορισμένους όρους κατά το σχολιασμό της επιχειρηματικής του απόδοσης και χρηματοοικονομικής του θέσης ως αυτοί ορίζονται στο Μέρος </w:t>
      </w:r>
      <w:r w:rsidR="009D6E90" w:rsidRPr="009D6E90">
        <w:rPr>
          <w:rFonts w:ascii="Arial" w:hAnsi="Arial" w:cs="Arial"/>
          <w:sz w:val="18"/>
          <w:szCs w:val="18"/>
          <w:lang w:val="el-GR" w:eastAsia="el-GR"/>
        </w:rPr>
        <w:t>Στ</w:t>
      </w:r>
      <w:r w:rsidRPr="009D6E90">
        <w:rPr>
          <w:rFonts w:ascii="Arial" w:hAnsi="Arial" w:cs="Arial"/>
          <w:sz w:val="18"/>
          <w:szCs w:val="18"/>
          <w:lang w:val="el-GR" w:eastAsia="el-GR"/>
        </w:rPr>
        <w:t xml:space="preserve">, μαζί με επεξηγήσεις.  </w:t>
      </w:r>
    </w:p>
    <w:p w14:paraId="02743DCC" w14:textId="77777777" w:rsidR="00BC4C32" w:rsidRPr="009D6E90" w:rsidRDefault="00BC4C32" w:rsidP="00711D1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both"/>
        <w:rPr>
          <w:rFonts w:ascii="Arial" w:hAnsi="Arial" w:cs="Arial"/>
          <w:sz w:val="18"/>
          <w:szCs w:val="18"/>
          <w:lang w:val="el-GR" w:eastAsia="el-GR"/>
        </w:rPr>
      </w:pPr>
    </w:p>
    <w:p w14:paraId="40736B4A" w14:textId="54957E41" w:rsidR="00BC4C32" w:rsidRPr="009D6E90" w:rsidRDefault="00BC4C32" w:rsidP="00711D1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both"/>
        <w:rPr>
          <w:rFonts w:ascii="Arial" w:hAnsi="Arial" w:cs="Arial"/>
          <w:sz w:val="18"/>
          <w:szCs w:val="18"/>
          <w:lang w:val="el-GR" w:eastAsia="el-GR"/>
        </w:rPr>
      </w:pPr>
      <w:r w:rsidRPr="009D6E90">
        <w:rPr>
          <w:rFonts w:ascii="Arial" w:hAnsi="Arial" w:cs="Arial"/>
          <w:sz w:val="18"/>
          <w:szCs w:val="18"/>
          <w:lang w:val="el-GR" w:eastAsia="el-GR"/>
        </w:rPr>
        <w:t xml:space="preserve">Τα Οικονομικά Αποτελέσματα του Συγκροτήματος </w:t>
      </w:r>
      <w:r w:rsidR="00CC6F93" w:rsidRPr="009D6E90">
        <w:rPr>
          <w:rFonts w:ascii="Arial" w:hAnsi="Arial" w:cs="Arial"/>
          <w:sz w:val="18"/>
          <w:szCs w:val="18"/>
          <w:lang w:val="el-GR" w:eastAsia="el-GR"/>
        </w:rPr>
        <w:t xml:space="preserve">για το </w:t>
      </w:r>
      <w:r w:rsidR="009D6E90" w:rsidRPr="009D6E90">
        <w:rPr>
          <w:rFonts w:ascii="Arial" w:hAnsi="Arial" w:cs="Arial"/>
          <w:sz w:val="18"/>
          <w:szCs w:val="18"/>
          <w:lang w:val="el-GR" w:eastAsia="el-GR"/>
        </w:rPr>
        <w:t>εξάμηνο</w:t>
      </w:r>
      <w:r w:rsidR="002357C3" w:rsidRPr="009D6E90">
        <w:rPr>
          <w:rFonts w:ascii="Arial" w:hAnsi="Arial" w:cs="Arial"/>
          <w:sz w:val="18"/>
          <w:szCs w:val="18"/>
          <w:lang w:val="el-GR" w:eastAsia="el-GR"/>
        </w:rPr>
        <w:t xml:space="preserve"> που έληξε στις </w:t>
      </w:r>
      <w:r w:rsidR="009D6E90" w:rsidRPr="009D6E90">
        <w:rPr>
          <w:rFonts w:ascii="Arial" w:hAnsi="Arial" w:cs="Arial"/>
          <w:sz w:val="18"/>
          <w:szCs w:val="18"/>
          <w:lang w:val="el-GR" w:eastAsia="el-GR"/>
        </w:rPr>
        <w:t>30</w:t>
      </w:r>
      <w:r w:rsidR="002357C3" w:rsidRPr="009D6E90">
        <w:rPr>
          <w:rFonts w:ascii="Arial" w:hAnsi="Arial" w:cs="Arial"/>
          <w:sz w:val="18"/>
          <w:szCs w:val="18"/>
          <w:lang w:val="el-GR" w:eastAsia="el-GR"/>
        </w:rPr>
        <w:t xml:space="preserve"> </w:t>
      </w:r>
      <w:r w:rsidR="009D6E90" w:rsidRPr="009D6E90">
        <w:rPr>
          <w:rFonts w:ascii="Arial" w:hAnsi="Arial" w:cs="Arial"/>
          <w:sz w:val="18"/>
          <w:szCs w:val="18"/>
          <w:lang w:val="el-GR" w:eastAsia="el-GR"/>
        </w:rPr>
        <w:t>Ιουνίου</w:t>
      </w:r>
      <w:r w:rsidR="00CB41D9" w:rsidRPr="009D6E90">
        <w:rPr>
          <w:rFonts w:ascii="Arial" w:hAnsi="Arial" w:cs="Arial"/>
          <w:sz w:val="18"/>
          <w:szCs w:val="18"/>
          <w:lang w:val="el-GR" w:eastAsia="el-GR"/>
        </w:rPr>
        <w:t xml:space="preserve"> 2024 </w:t>
      </w:r>
      <w:r w:rsidRPr="009D6E90">
        <w:rPr>
          <w:rFonts w:ascii="Arial" w:hAnsi="Arial" w:cs="Arial"/>
          <w:sz w:val="18"/>
          <w:szCs w:val="18"/>
          <w:lang w:val="el-GR" w:eastAsia="el-GR"/>
        </w:rPr>
        <w:t xml:space="preserve">παρουσιάζονται σε Ευρώ (€) και όλα τα ποσά στρογγυλοποιούνται ως αναφέρονται. Το κόμμα χρησιμοποιείται για να διαχωρίζει τις χιλιάδες και η τελεία χρησιμοποιείται για να διαχωρίσει τα δεκαδικά σημεία. </w:t>
      </w:r>
    </w:p>
    <w:p w14:paraId="404BD231" w14:textId="2AC1CBC9" w:rsidR="00474C52" w:rsidRPr="006B5511" w:rsidRDefault="00474C52" w:rsidP="00474C5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both"/>
        <w:rPr>
          <w:rFonts w:ascii="Arial" w:hAnsi="Arial" w:cs="Arial"/>
          <w:sz w:val="18"/>
          <w:szCs w:val="18"/>
          <w:highlight w:val="yellow"/>
          <w:lang w:val="el-GR" w:eastAsia="el-GR"/>
        </w:rPr>
      </w:pPr>
    </w:p>
    <w:p w14:paraId="16A6197B" w14:textId="77777777" w:rsidR="00474C52" w:rsidRPr="006B5511" w:rsidRDefault="00474C52" w:rsidP="00474C52">
      <w:pPr>
        <w:autoSpaceDE w:val="0"/>
        <w:autoSpaceDN w:val="0"/>
        <w:adjustRightInd w:val="0"/>
        <w:spacing w:after="0" w:line="240" w:lineRule="auto"/>
        <w:jc w:val="center"/>
        <w:rPr>
          <w:rFonts w:ascii="Arial" w:hAnsi="Arial" w:cs="Arial"/>
          <w:b/>
          <w:bCs/>
          <w:color w:val="FF9900"/>
          <w:sz w:val="24"/>
          <w:szCs w:val="24"/>
          <w:highlight w:val="yellow"/>
          <w:lang w:val="el-GR"/>
        </w:rPr>
      </w:pPr>
    </w:p>
    <w:p w14:paraId="51F6B314" w14:textId="77777777" w:rsidR="004A142D" w:rsidRPr="006B5511" w:rsidRDefault="00474C52" w:rsidP="004A142D">
      <w:pPr>
        <w:jc w:val="center"/>
        <w:rPr>
          <w:rFonts w:ascii="Arial" w:hAnsi="Arial" w:cs="Arial"/>
          <w:b/>
          <w:bCs/>
          <w:color w:val="FF9900"/>
          <w:sz w:val="24"/>
          <w:szCs w:val="24"/>
          <w:highlight w:val="yellow"/>
          <w:lang w:val="el-GR"/>
        </w:rPr>
      </w:pPr>
      <w:r w:rsidRPr="006B5511">
        <w:rPr>
          <w:rFonts w:ascii="Arial" w:hAnsi="Arial" w:cs="Arial"/>
          <w:b/>
          <w:bCs/>
          <w:color w:val="FF9900"/>
          <w:sz w:val="24"/>
          <w:szCs w:val="24"/>
          <w:highlight w:val="yellow"/>
          <w:lang w:val="el-GR"/>
        </w:rPr>
        <w:br w:type="page"/>
      </w:r>
    </w:p>
    <w:p w14:paraId="48902377" w14:textId="77777777" w:rsidR="004A142D" w:rsidRPr="007A315A" w:rsidRDefault="004A142D" w:rsidP="004953BA">
      <w:pPr>
        <w:spacing w:after="0" w:line="360" w:lineRule="auto"/>
        <w:jc w:val="center"/>
        <w:rPr>
          <w:rFonts w:ascii="Arial" w:hAnsi="Arial" w:cs="Arial"/>
          <w:b/>
          <w:bCs/>
          <w:color w:val="FF9900"/>
          <w:sz w:val="24"/>
          <w:szCs w:val="24"/>
          <w:lang w:val="el-GR"/>
        </w:rPr>
      </w:pPr>
      <w:bookmarkStart w:id="40" w:name="_Hlk158979273"/>
      <w:r w:rsidRPr="007A315A">
        <w:rPr>
          <w:rFonts w:ascii="Arial" w:hAnsi="Arial" w:cs="Arial"/>
          <w:b/>
          <w:bCs/>
          <w:color w:val="FF9900"/>
          <w:sz w:val="24"/>
          <w:szCs w:val="24"/>
          <w:lang w:val="el-GR"/>
        </w:rPr>
        <w:lastRenderedPageBreak/>
        <w:t>Προβλέψεις και Αναφορές για το Μέλλον</w:t>
      </w:r>
    </w:p>
    <w:p w14:paraId="6ABE8B4F" w14:textId="013AF3DC" w:rsidR="004539C2" w:rsidRPr="007A315A" w:rsidRDefault="004A142D" w:rsidP="004539C2">
      <w:pPr>
        <w:autoSpaceDE w:val="0"/>
        <w:autoSpaceDN w:val="0"/>
        <w:adjustRightInd w:val="0"/>
        <w:spacing w:after="0" w:line="240" w:lineRule="auto"/>
        <w:jc w:val="both"/>
        <w:rPr>
          <w:rFonts w:ascii="Arial" w:hAnsi="Arial" w:cs="Arial"/>
          <w:sz w:val="18"/>
          <w:szCs w:val="20"/>
          <w:lang w:val="el-GR" w:eastAsia="el-GR"/>
        </w:rPr>
      </w:pPr>
      <w:r w:rsidRPr="007A315A">
        <w:rPr>
          <w:rFonts w:ascii="Arial" w:hAnsi="Arial" w:cs="Arial"/>
          <w:sz w:val="18"/>
          <w:szCs w:val="20"/>
          <w:lang w:val="el-GR" w:eastAsia="el-GR"/>
        </w:rPr>
        <w:t xml:space="preserve">Το παρόν έγγραφο περιέχει ορισμένες αναφορές για το μέλλον, οι οποίες συνήθως προσδιορίζονται με τη χρήση όρων όπως </w:t>
      </w:r>
      <w:r w:rsidR="00590419" w:rsidRPr="007A315A">
        <w:rPr>
          <w:rFonts w:ascii="Arial" w:hAnsi="Arial" w:cs="Arial"/>
          <w:sz w:val="18"/>
          <w:szCs w:val="20"/>
          <w:lang w:val="el-GR" w:eastAsia="el-GR"/>
        </w:rPr>
        <w:t>‘</w:t>
      </w:r>
      <w:r w:rsidRPr="007A315A">
        <w:rPr>
          <w:rFonts w:ascii="Arial" w:hAnsi="Arial" w:cs="Arial"/>
          <w:sz w:val="18"/>
          <w:szCs w:val="20"/>
          <w:lang w:val="el-GR" w:eastAsia="el-GR"/>
        </w:rPr>
        <w:t>προσδοκά</w:t>
      </w:r>
      <w:r w:rsidR="00590419" w:rsidRPr="007A315A">
        <w:rPr>
          <w:rFonts w:ascii="Arial" w:hAnsi="Arial" w:cs="Arial"/>
          <w:sz w:val="18"/>
          <w:szCs w:val="20"/>
          <w:lang w:val="el-GR" w:eastAsia="el-GR"/>
        </w:rPr>
        <w:t>’</w:t>
      </w:r>
      <w:r w:rsidRPr="007A315A">
        <w:rPr>
          <w:rFonts w:ascii="Arial" w:hAnsi="Arial" w:cs="Arial"/>
          <w:sz w:val="18"/>
          <w:szCs w:val="20"/>
          <w:lang w:val="el-GR" w:eastAsia="el-GR"/>
        </w:rPr>
        <w:t xml:space="preserve">, </w:t>
      </w:r>
      <w:r w:rsidR="00590419" w:rsidRPr="007A315A">
        <w:rPr>
          <w:rFonts w:ascii="Arial" w:hAnsi="Arial" w:cs="Arial"/>
          <w:sz w:val="18"/>
          <w:szCs w:val="20"/>
          <w:lang w:val="el-GR" w:eastAsia="el-GR"/>
        </w:rPr>
        <w:t>‘</w:t>
      </w:r>
      <w:r w:rsidRPr="007A315A">
        <w:rPr>
          <w:rFonts w:ascii="Arial" w:hAnsi="Arial" w:cs="Arial"/>
          <w:sz w:val="18"/>
          <w:szCs w:val="20"/>
          <w:lang w:val="el-GR" w:eastAsia="el-GR"/>
        </w:rPr>
        <w:t>θα πρέπει να είναι</w:t>
      </w:r>
      <w:r w:rsidR="00590419" w:rsidRPr="007A315A">
        <w:rPr>
          <w:rFonts w:ascii="Arial" w:hAnsi="Arial" w:cs="Arial"/>
          <w:sz w:val="18"/>
          <w:szCs w:val="20"/>
          <w:lang w:val="el-GR" w:eastAsia="el-GR"/>
        </w:rPr>
        <w:t>’</w:t>
      </w:r>
      <w:r w:rsidRPr="007A315A">
        <w:rPr>
          <w:rFonts w:ascii="Arial" w:hAnsi="Arial" w:cs="Arial"/>
          <w:sz w:val="18"/>
          <w:szCs w:val="20"/>
          <w:lang w:val="el-GR" w:eastAsia="el-GR"/>
        </w:rPr>
        <w:t xml:space="preserve">, </w:t>
      </w:r>
      <w:r w:rsidR="00590419" w:rsidRPr="007A315A">
        <w:rPr>
          <w:rFonts w:ascii="Arial" w:hAnsi="Arial" w:cs="Arial"/>
          <w:sz w:val="18"/>
          <w:szCs w:val="20"/>
          <w:lang w:val="el-GR" w:eastAsia="el-GR"/>
        </w:rPr>
        <w:t>‘</w:t>
      </w:r>
      <w:r w:rsidRPr="007A315A">
        <w:rPr>
          <w:rFonts w:ascii="Arial" w:hAnsi="Arial" w:cs="Arial"/>
          <w:sz w:val="18"/>
          <w:szCs w:val="20"/>
          <w:lang w:val="el-GR" w:eastAsia="el-GR"/>
        </w:rPr>
        <w:t>θα είναι</w:t>
      </w:r>
      <w:r w:rsidR="00590419" w:rsidRPr="007A315A">
        <w:rPr>
          <w:rFonts w:ascii="Arial" w:hAnsi="Arial" w:cs="Arial"/>
          <w:sz w:val="18"/>
          <w:szCs w:val="20"/>
          <w:lang w:val="el-GR" w:eastAsia="el-GR"/>
        </w:rPr>
        <w:t>’</w:t>
      </w:r>
      <w:r w:rsidRPr="007A315A">
        <w:rPr>
          <w:rFonts w:ascii="Arial" w:hAnsi="Arial" w:cs="Arial"/>
          <w:sz w:val="18"/>
          <w:szCs w:val="20"/>
          <w:lang w:val="el-GR" w:eastAsia="el-GR"/>
        </w:rPr>
        <w:t xml:space="preserve"> και παρόμοιες εκφράσεις ή παραλλαγές τους,</w:t>
      </w:r>
      <w:r w:rsidRPr="007A315A">
        <w:rPr>
          <w:rFonts w:ascii="Arial" w:hAnsi="Arial" w:cs="Arial"/>
          <w:lang w:val="el-GR"/>
        </w:rPr>
        <w:t xml:space="preserve"> </w:t>
      </w:r>
      <w:r w:rsidRPr="007A315A">
        <w:rPr>
          <w:rFonts w:ascii="Arial" w:hAnsi="Arial" w:cs="Arial"/>
          <w:sz w:val="18"/>
          <w:szCs w:val="20"/>
          <w:lang w:val="el-GR" w:eastAsia="el-GR"/>
        </w:rPr>
        <w:t>ή την αρνητική μεταβολή τους, αλλά η απουσία τους δεν σημαίνει ότι η αναφορά δεν αναφέρεται στο μέλλον. Παραδείγματα αναφορών για το μέλλον περιλαμβάνουν, αλλά δεν περιορίζονται σε, δηλώσεις σχετικά με τις βραχυπρόθεσμες, μεσοπρόθεσμες και μακροπρόθεσμες μελλοντικές κεφαλαιακές απαιτήσεις και κεφαλαιακούς δείκτες, τις προθέσεις του Συγκροτήματος, τις πεποιθήσεις ή τις τρέχουσες εκτιμήσεις και προβλέψεις αναφορικά με τα μελλοντικά λειτουργικά αποτελέσματα, τη χρηματοοικονομική κατάσταση, τις αναμενόμενες απομειώσεις, το μέγεθος του ισολογισμού, τη ρευστότητα, την επίδοση, των προοπτικών, την αναμενόμενη ανάπτυξη, τις προβλέψεις, τις απομειώσεις, τις επιχειρηματικές στρατηγικές και τις ευκαιρίες του Συγκροτήματος. Από τη φύση τους, οι προβλέψεις και αναφορές για το μέλλον εμπεριέχουν κινδύνους και αβεβαιότητες επειδή σχετίζονται με γεγονότα και εξαρτώνται από περιστάσεις που θα συμβούν ή πιθανόν να συμβούν στο μέλλον. Παράγοντες οι οποίοι θα μπορούσαν να προκαλέσουν ουσιαστική διαφορά μεταξύ των πραγματικών εργασιών, της στρατηγικής και/ή των αποτελεσμάτων του Συγκροτήματος και των σχεδίων, των στόχων, των προσδοκιών, των εκτιμήσεων και των προθέσεων του Συγκροτήματος, οι οποίες εκφράστηκαν σε παρόμοιες δηλώσεις προβλέψεων και αναφορών για το μέλλον από το Συγκρότημα, περιλαμβάνουν, αλλά δεν περιορίζονται σε: γενικές οικονομικές και πολιτικές συνθήκες στην Κύπρο και σε άλλα κράτη μέλη της Ευρωπαϊκής Ένωσης (ΕΕ), διακυμάνσεις των επιτοκίων και των συναλλαγματικών ισοτιμιών, νομοθετικές, δημοσιονομικές και κανονιστικές εξελίξεις και κινδύνους σχετικά με την τεχνολογία και πληροφορική, επιδικίες και άλλους λειτουργικούς κινδύνους, δυσμενείς συνθήκες της αγοράς, αντίκτυπο  εξάρσεων, επιδημιών ή πανδημιών</w:t>
      </w:r>
      <w:r w:rsidR="004A6861" w:rsidRPr="007A315A">
        <w:rPr>
          <w:rFonts w:ascii="Arial" w:hAnsi="Arial" w:cs="Arial"/>
          <w:sz w:val="18"/>
          <w:szCs w:val="20"/>
          <w:lang w:val="el-GR" w:eastAsia="el-GR"/>
        </w:rPr>
        <w:t xml:space="preserve"> και γεωπολιτικών εξελίξεων. </w:t>
      </w:r>
      <w:r w:rsidRPr="007A315A">
        <w:rPr>
          <w:rFonts w:ascii="Arial" w:eastAsia="Arial" w:hAnsi="Arial" w:cs="Arial"/>
          <w:bCs/>
          <w:iCs/>
          <w:sz w:val="18"/>
          <w:szCs w:val="18"/>
          <w:lang w:val="el-GR"/>
        </w:rPr>
        <w:t>Αυτό δημιουργεί σημαντικά αυξημένη αβεβαιότητα σε σχέση με τις προβλέψεις και αναφορές για το μέλλον.</w:t>
      </w:r>
      <w:r w:rsidRPr="007A315A">
        <w:rPr>
          <w:rFonts w:ascii="Arial" w:hAnsi="Arial" w:cs="Arial"/>
          <w:color w:val="FF0000"/>
          <w:sz w:val="18"/>
          <w:szCs w:val="18"/>
          <w:lang w:val="el-GR"/>
        </w:rPr>
        <w:t xml:space="preserve"> </w:t>
      </w:r>
      <w:r w:rsidRPr="007A315A">
        <w:rPr>
          <w:rFonts w:ascii="Arial" w:hAnsi="Arial" w:cs="Arial"/>
          <w:sz w:val="18"/>
          <w:szCs w:val="20"/>
          <w:lang w:val="el-GR" w:eastAsia="el-GR"/>
        </w:rPr>
        <w:t>Σε περίπτωση που συμβεί κάποιος ή περισσότεροι από αυτούς ή άλλοι παράγοντες, ή εάν οι υποκείμενες υποθέσεις αποδειχθούν λανθασμένες, τα πραγματικά αποτελέσματα ή τα γεγονότα ενδέχεται να διαφέρουν σημαντικά από εκείνα που αναμένονται αυτήν την περίοδο όπως αντικατοπτρίζονται σε τέτοιες δηλώσεις προβλέψεων και αναφορών για το μέλλον. Οι δηλώσεις που αναφέρονται στο παρόν έγγραφο ισχύουν μόνο κατά την ημερομηνία δημοσίευσης του παρόντος εγγράφου. Εκτός εάν απαιτείται από οποιονδήποτε εφαρμοστέο νόμο ή κανονισμό, το Συγκρότημα αποποιείται ρητά οποιαδήποτε υποχρέωση ή δέσμευση να δημοσιοποιήσει τυχόν επικαιροποιήσεις ή αναθεωρήσεις αναφορικά με οποιεσδήποτε προβλέψεις που συμπεριλαμβάνονται στο παρόν έγγραφο, ώστε να αντικατοπτρίζει οποιαδήποτε αλλαγή στις προσδοκίες του Συγκροτήματος ή οποιαδήποτε αλλαγή γεγονότων ή περιστάσεων στις οποίες βασίζεται οποιαδήποτε δήλωση.</w:t>
      </w:r>
      <w:r w:rsidR="0001349D" w:rsidRPr="007A315A">
        <w:rPr>
          <w:rFonts w:ascii="Arial" w:hAnsi="Arial" w:cs="Arial"/>
          <w:sz w:val="18"/>
          <w:szCs w:val="20"/>
          <w:lang w:val="el-GR" w:eastAsia="el-GR"/>
        </w:rPr>
        <w:t xml:space="preserve"> </w:t>
      </w:r>
      <w:r w:rsidR="004539C2" w:rsidRPr="007A315A">
        <w:rPr>
          <w:rFonts w:ascii="Arial" w:hAnsi="Arial" w:cs="Arial"/>
          <w:sz w:val="18"/>
          <w:szCs w:val="20"/>
          <w:lang w:val="el-GR" w:eastAsia="el-GR"/>
        </w:rPr>
        <w:t>Αλλαγές στα λογιστικά πρότυπα</w:t>
      </w:r>
      <w:r w:rsidR="00962B59" w:rsidRPr="007A315A">
        <w:rPr>
          <w:rFonts w:ascii="Arial" w:hAnsi="Arial" w:cs="Arial"/>
          <w:sz w:val="18"/>
          <w:szCs w:val="20"/>
          <w:lang w:val="el-GR" w:eastAsia="el-GR"/>
        </w:rPr>
        <w:t>,</w:t>
      </w:r>
      <w:r w:rsidR="000823B1" w:rsidRPr="007A315A">
        <w:rPr>
          <w:rFonts w:ascii="Arial" w:hAnsi="Arial" w:cs="Arial"/>
          <w:sz w:val="18"/>
          <w:szCs w:val="20"/>
          <w:lang w:val="el-GR" w:eastAsia="el-GR"/>
        </w:rPr>
        <w:t xml:space="preserve"> </w:t>
      </w:r>
      <w:r w:rsidR="004539C2" w:rsidRPr="007A315A">
        <w:rPr>
          <w:rFonts w:ascii="Arial" w:hAnsi="Arial" w:cs="Arial"/>
          <w:sz w:val="18"/>
          <w:szCs w:val="20"/>
          <w:lang w:val="el-GR" w:eastAsia="el-GR"/>
        </w:rPr>
        <w:t>μπορεί να έχουν σημαντική επίδραση στο τρόπο παρουσίασης των οικονομικών μας καταστάσεων και</w:t>
      </w:r>
      <w:r w:rsidR="000823B1" w:rsidRPr="007A315A">
        <w:rPr>
          <w:rFonts w:ascii="Arial" w:hAnsi="Arial" w:cs="Arial"/>
          <w:sz w:val="18"/>
          <w:szCs w:val="20"/>
          <w:lang w:val="el-GR" w:eastAsia="el-GR"/>
        </w:rPr>
        <w:t xml:space="preserve"> </w:t>
      </w:r>
      <w:r w:rsidR="004539C2" w:rsidRPr="007A315A">
        <w:rPr>
          <w:rFonts w:ascii="Arial" w:hAnsi="Arial" w:cs="Arial"/>
          <w:sz w:val="18"/>
          <w:szCs w:val="20"/>
          <w:lang w:val="el-GR" w:eastAsia="el-GR"/>
        </w:rPr>
        <w:t>μπορεί να επηρεάσει αρνητικά την κερδοφορία των ασφαλιστικών δραστηριοτήτων του Συγκροτήματος.</w:t>
      </w:r>
    </w:p>
    <w:p w14:paraId="66A95371" w14:textId="77777777" w:rsidR="004A142D" w:rsidRPr="007A315A" w:rsidRDefault="004A142D" w:rsidP="004A142D">
      <w:pPr>
        <w:autoSpaceDE w:val="0"/>
        <w:autoSpaceDN w:val="0"/>
        <w:adjustRightInd w:val="0"/>
        <w:spacing w:after="0" w:line="240" w:lineRule="auto"/>
        <w:jc w:val="center"/>
        <w:rPr>
          <w:rFonts w:ascii="Arial" w:hAnsi="Arial" w:cs="Arial"/>
          <w:b/>
          <w:bCs/>
          <w:color w:val="FF9900"/>
          <w:sz w:val="24"/>
          <w:szCs w:val="24"/>
          <w:lang w:val="el-GR"/>
        </w:rPr>
      </w:pPr>
    </w:p>
    <w:p w14:paraId="5510D7F3" w14:textId="77777777" w:rsidR="004A142D" w:rsidRPr="007A315A" w:rsidRDefault="004A142D" w:rsidP="00326C29">
      <w:pPr>
        <w:spacing w:after="0" w:line="240" w:lineRule="auto"/>
        <w:ind w:right="-20"/>
        <w:jc w:val="both"/>
        <w:rPr>
          <w:rFonts w:ascii="Arial" w:eastAsia="Arial" w:hAnsi="Arial" w:cs="Arial"/>
          <w:bCs/>
          <w:sz w:val="18"/>
          <w:szCs w:val="18"/>
          <w:lang w:val="el-GR"/>
        </w:rPr>
      </w:pPr>
    </w:p>
    <w:bookmarkEnd w:id="40"/>
    <w:p w14:paraId="0239779F" w14:textId="77777777" w:rsidR="004A142D" w:rsidRPr="007A315A" w:rsidRDefault="004A142D" w:rsidP="004A142D">
      <w:pPr>
        <w:spacing w:after="0" w:line="240" w:lineRule="auto"/>
        <w:ind w:right="-20"/>
        <w:jc w:val="both"/>
        <w:rPr>
          <w:rFonts w:ascii="Arial" w:eastAsia="Arial" w:hAnsi="Arial" w:cs="Arial"/>
          <w:bCs/>
          <w:sz w:val="18"/>
          <w:szCs w:val="18"/>
          <w:lang w:val="el-GR"/>
        </w:rPr>
      </w:pPr>
    </w:p>
    <w:p w14:paraId="71AEC947" w14:textId="77777777" w:rsidR="004A142D" w:rsidRPr="007A315A" w:rsidRDefault="004A142D" w:rsidP="004A142D">
      <w:pPr>
        <w:spacing w:after="0" w:line="240" w:lineRule="auto"/>
        <w:ind w:right="-20"/>
        <w:jc w:val="both"/>
        <w:rPr>
          <w:rFonts w:ascii="Arial" w:eastAsia="Arial" w:hAnsi="Arial" w:cs="Arial"/>
          <w:bCs/>
          <w:sz w:val="18"/>
          <w:szCs w:val="18"/>
          <w:lang w:val="el-GR"/>
        </w:rPr>
      </w:pPr>
    </w:p>
    <w:p w14:paraId="596CA3AD" w14:textId="77777777" w:rsidR="004A142D" w:rsidRPr="007A315A" w:rsidRDefault="004A142D" w:rsidP="004953BA">
      <w:pPr>
        <w:spacing w:after="0" w:line="360" w:lineRule="auto"/>
        <w:jc w:val="center"/>
        <w:rPr>
          <w:rFonts w:ascii="Arial" w:hAnsi="Arial" w:cs="Arial"/>
          <w:b/>
          <w:color w:val="FF9900"/>
          <w:szCs w:val="24"/>
          <w:lang w:val="el-GR"/>
        </w:rPr>
      </w:pPr>
      <w:r w:rsidRPr="007A315A">
        <w:rPr>
          <w:rFonts w:ascii="Arial" w:hAnsi="Arial" w:cs="Arial"/>
          <w:b/>
          <w:color w:val="FF9900"/>
          <w:szCs w:val="24"/>
          <w:lang w:val="el-GR"/>
        </w:rPr>
        <w:t>Επικοινωνία</w:t>
      </w:r>
    </w:p>
    <w:p w14:paraId="37D01092" w14:textId="77777777" w:rsidR="004A142D" w:rsidRPr="007A315A" w:rsidRDefault="004A142D" w:rsidP="00711D11">
      <w:pPr>
        <w:pStyle w:val="BodyText3"/>
        <w:jc w:val="center"/>
        <w:rPr>
          <w:rFonts w:ascii="Arial" w:hAnsi="Arial" w:cs="Arial"/>
          <w:color w:val="000000"/>
          <w:sz w:val="18"/>
          <w:szCs w:val="13"/>
          <w:lang w:val="el-GR"/>
        </w:rPr>
      </w:pPr>
      <w:r w:rsidRPr="007A315A">
        <w:rPr>
          <w:rFonts w:ascii="Arial" w:hAnsi="Arial" w:cs="Arial"/>
          <w:color w:val="000000"/>
          <w:sz w:val="18"/>
          <w:szCs w:val="13"/>
          <w:lang w:val="el-GR"/>
        </w:rPr>
        <w:t>Για περισσότερες πληροφορίες μπορείτε να επικοινωνήσετε με:</w:t>
      </w:r>
    </w:p>
    <w:p w14:paraId="44187A05" w14:textId="77777777" w:rsidR="004A142D" w:rsidRPr="007A315A" w:rsidRDefault="004A142D" w:rsidP="00711D11">
      <w:pPr>
        <w:pStyle w:val="BodyText3"/>
        <w:jc w:val="center"/>
        <w:rPr>
          <w:rFonts w:ascii="Arial" w:hAnsi="Arial" w:cs="Arial"/>
          <w:b/>
          <w:color w:val="000000"/>
          <w:sz w:val="18"/>
          <w:szCs w:val="13"/>
          <w:lang w:val="el-GR"/>
        </w:rPr>
      </w:pPr>
      <w:r w:rsidRPr="007A315A">
        <w:rPr>
          <w:rFonts w:ascii="Arial" w:hAnsi="Arial" w:cs="Arial"/>
          <w:b/>
          <w:color w:val="000000"/>
          <w:sz w:val="18"/>
          <w:szCs w:val="13"/>
          <w:lang w:val="el-GR"/>
        </w:rPr>
        <w:t>Σχέσεις Επενδυτών</w:t>
      </w:r>
    </w:p>
    <w:p w14:paraId="7A0DE881" w14:textId="77777777" w:rsidR="004A142D" w:rsidRPr="007A315A" w:rsidRDefault="004A142D" w:rsidP="00711D11">
      <w:pPr>
        <w:pStyle w:val="BodyText3"/>
        <w:jc w:val="center"/>
        <w:rPr>
          <w:rFonts w:ascii="Arial" w:hAnsi="Arial" w:cs="Arial"/>
          <w:color w:val="000000"/>
          <w:sz w:val="18"/>
          <w:szCs w:val="13"/>
          <w:lang w:val="el-GR"/>
        </w:rPr>
      </w:pPr>
      <w:r w:rsidRPr="007A315A">
        <w:rPr>
          <w:rFonts w:ascii="Arial" w:hAnsi="Arial" w:cs="Arial"/>
          <w:color w:val="000000"/>
          <w:sz w:val="18"/>
          <w:szCs w:val="13"/>
          <w:lang w:val="el-GR"/>
        </w:rPr>
        <w:t>+ 357 22 122239</w:t>
      </w:r>
    </w:p>
    <w:p w14:paraId="029DA324" w14:textId="77777777" w:rsidR="004A142D" w:rsidRPr="007A315A" w:rsidRDefault="004A142D" w:rsidP="00711D11">
      <w:pPr>
        <w:pStyle w:val="BodyText3"/>
        <w:jc w:val="center"/>
        <w:rPr>
          <w:rFonts w:ascii="Arial" w:hAnsi="Arial" w:cs="Arial"/>
          <w:color w:val="000000"/>
          <w:sz w:val="18"/>
          <w:szCs w:val="13"/>
          <w:lang w:val="el-GR"/>
        </w:rPr>
      </w:pPr>
      <w:r w:rsidRPr="007A315A">
        <w:rPr>
          <w:rFonts w:ascii="Arial" w:hAnsi="Arial" w:cs="Arial"/>
          <w:color w:val="000000"/>
          <w:sz w:val="18"/>
          <w:szCs w:val="13"/>
          <w:lang w:val="en-US"/>
        </w:rPr>
        <w:t>investors</w:t>
      </w:r>
      <w:r w:rsidRPr="007A315A">
        <w:rPr>
          <w:rFonts w:ascii="Arial" w:hAnsi="Arial" w:cs="Arial"/>
          <w:color w:val="000000"/>
          <w:sz w:val="18"/>
          <w:szCs w:val="13"/>
          <w:lang w:val="el-GR"/>
        </w:rPr>
        <w:t>@</w:t>
      </w:r>
      <w:r w:rsidRPr="007A315A">
        <w:rPr>
          <w:rFonts w:ascii="Arial" w:hAnsi="Arial" w:cs="Arial"/>
          <w:color w:val="000000"/>
          <w:sz w:val="18"/>
          <w:szCs w:val="13"/>
        </w:rPr>
        <w:t>bankofcyprus</w:t>
      </w:r>
      <w:r w:rsidRPr="007A315A">
        <w:rPr>
          <w:rFonts w:ascii="Arial" w:hAnsi="Arial" w:cs="Arial"/>
          <w:color w:val="000000"/>
          <w:sz w:val="18"/>
          <w:szCs w:val="13"/>
          <w:lang w:val="el-GR"/>
        </w:rPr>
        <w:t>.</w:t>
      </w:r>
      <w:r w:rsidRPr="007A315A">
        <w:rPr>
          <w:rFonts w:ascii="Arial" w:hAnsi="Arial" w:cs="Arial"/>
          <w:color w:val="000000"/>
          <w:sz w:val="18"/>
          <w:szCs w:val="13"/>
        </w:rPr>
        <w:t>com</w:t>
      </w:r>
    </w:p>
    <w:p w14:paraId="74883C5F" w14:textId="77777777" w:rsidR="004A142D" w:rsidRPr="007A315A" w:rsidRDefault="004A142D" w:rsidP="00711D11">
      <w:pPr>
        <w:pStyle w:val="BodyText3"/>
        <w:jc w:val="center"/>
        <w:rPr>
          <w:rFonts w:ascii="Arial" w:hAnsi="Arial" w:cs="Arial"/>
          <w:color w:val="000000"/>
          <w:sz w:val="18"/>
          <w:szCs w:val="13"/>
          <w:lang w:val="el-GR"/>
        </w:rPr>
      </w:pPr>
    </w:p>
    <w:p w14:paraId="2980ED5F" w14:textId="0B0B33A0" w:rsidR="004A142D" w:rsidRPr="007A315A" w:rsidRDefault="004A142D" w:rsidP="004A142D">
      <w:pPr>
        <w:pStyle w:val="BodyText3"/>
        <w:jc w:val="both"/>
        <w:rPr>
          <w:rFonts w:ascii="Arial" w:hAnsi="Arial" w:cs="Arial"/>
          <w:color w:val="000000"/>
          <w:sz w:val="18"/>
          <w:szCs w:val="18"/>
          <w:lang w:val="el-GR"/>
        </w:rPr>
      </w:pPr>
    </w:p>
    <w:p w14:paraId="47C8332D" w14:textId="38C68213" w:rsidR="00711D11" w:rsidRPr="006B5511" w:rsidRDefault="00711D11" w:rsidP="004A142D">
      <w:pPr>
        <w:pStyle w:val="BodyText3"/>
        <w:jc w:val="both"/>
        <w:rPr>
          <w:rFonts w:ascii="Arial" w:hAnsi="Arial" w:cs="Arial"/>
          <w:color w:val="000000"/>
          <w:sz w:val="18"/>
          <w:szCs w:val="18"/>
          <w:highlight w:val="yellow"/>
          <w:lang w:val="el-GR"/>
        </w:rPr>
      </w:pPr>
    </w:p>
    <w:p w14:paraId="3278E1F4" w14:textId="492B6D89" w:rsidR="00711D11" w:rsidRPr="006B5511" w:rsidRDefault="00711D11" w:rsidP="004A142D">
      <w:pPr>
        <w:pStyle w:val="BodyText3"/>
        <w:jc w:val="both"/>
        <w:rPr>
          <w:rFonts w:ascii="Arial" w:hAnsi="Arial" w:cs="Arial"/>
          <w:color w:val="000000"/>
          <w:sz w:val="18"/>
          <w:szCs w:val="18"/>
          <w:highlight w:val="yellow"/>
          <w:lang w:val="el-GR"/>
        </w:rPr>
      </w:pPr>
    </w:p>
    <w:p w14:paraId="2777E194" w14:textId="77777777" w:rsidR="00E96A9E" w:rsidRPr="006B5511" w:rsidRDefault="00E96A9E" w:rsidP="004A142D">
      <w:pPr>
        <w:pStyle w:val="BodyText3"/>
        <w:jc w:val="both"/>
        <w:rPr>
          <w:rFonts w:ascii="Arial" w:hAnsi="Arial" w:cs="Arial"/>
          <w:color w:val="000000"/>
          <w:sz w:val="18"/>
          <w:szCs w:val="18"/>
          <w:highlight w:val="yellow"/>
          <w:lang w:val="el-GR"/>
        </w:rPr>
      </w:pPr>
    </w:p>
    <w:p w14:paraId="5A2D38CB" w14:textId="77777777" w:rsidR="00E96A9E" w:rsidRPr="006B5511" w:rsidRDefault="00E96A9E" w:rsidP="004A142D">
      <w:pPr>
        <w:pStyle w:val="BodyText3"/>
        <w:jc w:val="both"/>
        <w:rPr>
          <w:rFonts w:ascii="Arial" w:hAnsi="Arial" w:cs="Arial"/>
          <w:color w:val="000000"/>
          <w:sz w:val="18"/>
          <w:szCs w:val="18"/>
          <w:highlight w:val="yellow"/>
          <w:lang w:val="el-GR"/>
        </w:rPr>
      </w:pPr>
    </w:p>
    <w:p w14:paraId="583917BC" w14:textId="77777777" w:rsidR="00E96A9E" w:rsidRPr="006B5511" w:rsidRDefault="00E96A9E" w:rsidP="004A142D">
      <w:pPr>
        <w:pStyle w:val="BodyText3"/>
        <w:jc w:val="both"/>
        <w:rPr>
          <w:rFonts w:ascii="Arial" w:hAnsi="Arial" w:cs="Arial"/>
          <w:color w:val="000000"/>
          <w:sz w:val="18"/>
          <w:szCs w:val="18"/>
          <w:highlight w:val="yellow"/>
          <w:lang w:val="el-GR"/>
        </w:rPr>
      </w:pPr>
    </w:p>
    <w:p w14:paraId="314835C4" w14:textId="77777777" w:rsidR="00E96A9E" w:rsidRPr="006B5511" w:rsidRDefault="00E96A9E" w:rsidP="004A142D">
      <w:pPr>
        <w:pStyle w:val="BodyText3"/>
        <w:jc w:val="both"/>
        <w:rPr>
          <w:rFonts w:ascii="Arial" w:hAnsi="Arial" w:cs="Arial"/>
          <w:color w:val="000000"/>
          <w:sz w:val="18"/>
          <w:szCs w:val="18"/>
          <w:highlight w:val="yellow"/>
          <w:lang w:val="el-GR"/>
        </w:rPr>
      </w:pPr>
    </w:p>
    <w:p w14:paraId="3FD82CF3" w14:textId="77777777" w:rsidR="00E96A9E" w:rsidRPr="006B5511" w:rsidRDefault="00E96A9E" w:rsidP="004A142D">
      <w:pPr>
        <w:pStyle w:val="BodyText3"/>
        <w:jc w:val="both"/>
        <w:rPr>
          <w:rFonts w:ascii="Arial" w:hAnsi="Arial" w:cs="Arial"/>
          <w:color w:val="000000"/>
          <w:sz w:val="18"/>
          <w:szCs w:val="18"/>
          <w:highlight w:val="yellow"/>
          <w:lang w:val="el-GR"/>
        </w:rPr>
      </w:pPr>
    </w:p>
    <w:p w14:paraId="6858FFE4" w14:textId="77777777" w:rsidR="00E96A9E" w:rsidRPr="006B5511" w:rsidRDefault="00E96A9E" w:rsidP="004A142D">
      <w:pPr>
        <w:pStyle w:val="BodyText3"/>
        <w:jc w:val="both"/>
        <w:rPr>
          <w:rFonts w:ascii="Arial" w:hAnsi="Arial" w:cs="Arial"/>
          <w:color w:val="000000"/>
          <w:sz w:val="18"/>
          <w:szCs w:val="18"/>
          <w:highlight w:val="yellow"/>
          <w:lang w:val="el-GR"/>
        </w:rPr>
      </w:pPr>
    </w:p>
    <w:p w14:paraId="22160553" w14:textId="0DC98EAE" w:rsidR="00711D11" w:rsidRPr="006B5511" w:rsidRDefault="00711D11" w:rsidP="004A142D">
      <w:pPr>
        <w:pStyle w:val="BodyText3"/>
        <w:jc w:val="both"/>
        <w:rPr>
          <w:rFonts w:ascii="Arial" w:hAnsi="Arial" w:cs="Arial"/>
          <w:color w:val="000000"/>
          <w:sz w:val="18"/>
          <w:szCs w:val="18"/>
          <w:highlight w:val="yellow"/>
          <w:lang w:val="el-GR"/>
        </w:rPr>
      </w:pPr>
    </w:p>
    <w:p w14:paraId="087357E5" w14:textId="1C8F7990" w:rsidR="00711D11" w:rsidRPr="006B5511" w:rsidRDefault="00711D11" w:rsidP="004A142D">
      <w:pPr>
        <w:pStyle w:val="BodyText3"/>
        <w:jc w:val="both"/>
        <w:rPr>
          <w:rFonts w:ascii="Arial" w:hAnsi="Arial" w:cs="Arial"/>
          <w:color w:val="000000"/>
          <w:sz w:val="18"/>
          <w:szCs w:val="18"/>
          <w:highlight w:val="yellow"/>
          <w:lang w:val="el-GR"/>
        </w:rPr>
      </w:pPr>
    </w:p>
    <w:p w14:paraId="47374508" w14:textId="1C8B0666" w:rsidR="00711D11" w:rsidRPr="007A315A" w:rsidRDefault="00711D11" w:rsidP="004A142D">
      <w:pPr>
        <w:pStyle w:val="BodyText3"/>
        <w:jc w:val="both"/>
        <w:rPr>
          <w:rFonts w:ascii="Arial" w:hAnsi="Arial" w:cs="Arial"/>
          <w:color w:val="000000"/>
          <w:sz w:val="18"/>
          <w:szCs w:val="18"/>
          <w:lang w:val="el-GR"/>
        </w:rPr>
      </w:pPr>
    </w:p>
    <w:p w14:paraId="1C814223" w14:textId="0A4FBDCC" w:rsidR="00711D11" w:rsidRPr="007A315A" w:rsidRDefault="00711D11" w:rsidP="004A142D">
      <w:pPr>
        <w:pStyle w:val="BodyText3"/>
        <w:jc w:val="both"/>
        <w:rPr>
          <w:rFonts w:ascii="Arial" w:hAnsi="Arial" w:cs="Arial"/>
          <w:color w:val="000000"/>
          <w:sz w:val="18"/>
          <w:szCs w:val="18"/>
          <w:lang w:val="el-GR"/>
        </w:rPr>
      </w:pPr>
    </w:p>
    <w:p w14:paraId="10115EE7" w14:textId="439A615F" w:rsidR="00711D11" w:rsidRPr="007A315A" w:rsidRDefault="00711D11" w:rsidP="004A142D">
      <w:pPr>
        <w:pStyle w:val="BodyText3"/>
        <w:jc w:val="both"/>
        <w:rPr>
          <w:rFonts w:ascii="Arial" w:hAnsi="Arial" w:cs="Arial"/>
          <w:color w:val="000000"/>
          <w:sz w:val="18"/>
          <w:szCs w:val="18"/>
          <w:lang w:val="el-GR"/>
        </w:rPr>
      </w:pPr>
    </w:p>
    <w:p w14:paraId="149656A7" w14:textId="33BC65E4" w:rsidR="00711D11" w:rsidRPr="007A315A" w:rsidRDefault="00711D11" w:rsidP="004A142D">
      <w:pPr>
        <w:pStyle w:val="BodyText3"/>
        <w:jc w:val="both"/>
        <w:rPr>
          <w:rFonts w:ascii="Arial" w:eastAsiaTheme="minorEastAsia" w:hAnsi="Arial" w:cs="Arial"/>
          <w:color w:val="FF9900"/>
          <w:sz w:val="18"/>
          <w:szCs w:val="18"/>
          <w:lang w:val="el-GR" w:eastAsia="en-GB"/>
        </w:rPr>
      </w:pPr>
    </w:p>
    <w:p w14:paraId="02673FFE" w14:textId="77777777" w:rsidR="004A142D" w:rsidRPr="007A315A" w:rsidRDefault="004A142D" w:rsidP="004A142D">
      <w:pPr>
        <w:pStyle w:val="BodyText3"/>
        <w:jc w:val="both"/>
        <w:rPr>
          <w:rFonts w:ascii="Arial" w:eastAsiaTheme="minorEastAsia" w:hAnsi="Arial" w:cs="Arial"/>
          <w:color w:val="FF9900"/>
          <w:sz w:val="18"/>
          <w:szCs w:val="18"/>
          <w:lang w:val="el-GR" w:eastAsia="en-GB"/>
        </w:rPr>
      </w:pPr>
    </w:p>
    <w:p w14:paraId="6F8DAAB3" w14:textId="77777777" w:rsidR="00416385" w:rsidRPr="007A315A" w:rsidRDefault="00416385" w:rsidP="004A142D">
      <w:pPr>
        <w:autoSpaceDE w:val="0"/>
        <w:autoSpaceDN w:val="0"/>
        <w:adjustRightInd w:val="0"/>
        <w:spacing w:after="0" w:line="240" w:lineRule="auto"/>
        <w:jc w:val="both"/>
        <w:rPr>
          <w:rFonts w:ascii="Arial" w:hAnsi="Arial" w:cs="Arial"/>
          <w:color w:val="FF9900"/>
          <w:sz w:val="18"/>
          <w:szCs w:val="18"/>
          <w:lang w:val="el-GR"/>
        </w:rPr>
      </w:pPr>
    </w:p>
    <w:p w14:paraId="5E4FAA13" w14:textId="34995644" w:rsidR="00AE2DB9" w:rsidRPr="00EB611F" w:rsidRDefault="004A142D">
      <w:pPr>
        <w:autoSpaceDE w:val="0"/>
        <w:autoSpaceDN w:val="0"/>
        <w:adjustRightInd w:val="0"/>
        <w:spacing w:after="0" w:line="240" w:lineRule="auto"/>
        <w:jc w:val="both"/>
        <w:rPr>
          <w:rFonts w:ascii="Arial" w:hAnsi="Arial" w:cs="Arial"/>
          <w:color w:val="FF9900"/>
          <w:sz w:val="18"/>
          <w:szCs w:val="18"/>
          <w:lang w:val="el-GR"/>
        </w:rPr>
      </w:pPr>
      <w:r w:rsidRPr="007A315A">
        <w:rPr>
          <w:rFonts w:ascii="Arial" w:hAnsi="Arial" w:cs="Arial"/>
          <w:color w:val="FF9900"/>
          <w:sz w:val="18"/>
          <w:szCs w:val="18"/>
          <w:lang w:val="el-GR"/>
        </w:rPr>
        <w:t xml:space="preserve">Tο Συγκρότημα Τράπεζας Κύπρου είναι ο μεγαλύτερος χρηματοοικονομικός οργανισμός στην Κύπρο και προσφέρει ένα ευρύ φάσμα χρηματοοικονομικών προϊόντων και υπηρεσιών που περιλαμβάνει τραπεζικές υπηρεσίες, χρηματοδοτήσεις, φάκτοριγκ, χρηματοεπενδυτικές υπηρεσίες, διαχείριση κεφαλαίων και ασφάλειες γενικού κλάδου και ζωής. Στις </w:t>
      </w:r>
      <w:r w:rsidR="007A315A" w:rsidRPr="007A315A">
        <w:rPr>
          <w:rFonts w:ascii="Arial" w:hAnsi="Arial" w:cs="Arial"/>
          <w:color w:val="FF9900"/>
          <w:sz w:val="18"/>
          <w:szCs w:val="18"/>
          <w:lang w:val="el-GR"/>
        </w:rPr>
        <w:t>30</w:t>
      </w:r>
      <w:r w:rsidR="004C1CB1" w:rsidRPr="007A315A">
        <w:rPr>
          <w:rFonts w:ascii="Arial" w:hAnsi="Arial" w:cs="Arial"/>
          <w:color w:val="FF9900"/>
          <w:sz w:val="18"/>
          <w:szCs w:val="18"/>
          <w:lang w:val="el-GR"/>
        </w:rPr>
        <w:t xml:space="preserve"> </w:t>
      </w:r>
      <w:r w:rsidR="007A315A" w:rsidRPr="007A315A">
        <w:rPr>
          <w:rFonts w:ascii="Arial" w:hAnsi="Arial" w:cs="Arial"/>
          <w:color w:val="FF9900"/>
          <w:sz w:val="18"/>
          <w:szCs w:val="18"/>
          <w:lang w:val="el-GR"/>
        </w:rPr>
        <w:t>Ιουνίου</w:t>
      </w:r>
      <w:r w:rsidR="00FB2221" w:rsidRPr="007A315A">
        <w:rPr>
          <w:rFonts w:ascii="Arial" w:hAnsi="Arial" w:cs="Arial"/>
          <w:color w:val="FF9900"/>
          <w:sz w:val="18"/>
          <w:szCs w:val="18"/>
          <w:lang w:val="el-GR"/>
        </w:rPr>
        <w:t xml:space="preserve"> 2024</w:t>
      </w:r>
      <w:r w:rsidRPr="007A315A">
        <w:rPr>
          <w:rFonts w:ascii="Arial" w:hAnsi="Arial" w:cs="Arial"/>
          <w:color w:val="FF9900"/>
          <w:sz w:val="18"/>
          <w:szCs w:val="18"/>
          <w:lang w:val="el-GR"/>
        </w:rPr>
        <w:t>,</w:t>
      </w:r>
      <w:r w:rsidR="00865B42" w:rsidRPr="007A315A">
        <w:rPr>
          <w:rFonts w:ascii="Arial" w:hAnsi="Arial" w:cs="Arial"/>
          <w:color w:val="FF9900"/>
          <w:sz w:val="18"/>
          <w:szCs w:val="18"/>
          <w:lang w:val="el-GR"/>
        </w:rPr>
        <w:t xml:space="preserve"> </w:t>
      </w:r>
      <w:r w:rsidRPr="007A315A">
        <w:rPr>
          <w:rFonts w:ascii="Arial" w:hAnsi="Arial" w:cs="Arial"/>
          <w:color w:val="FF9900"/>
          <w:sz w:val="18"/>
          <w:szCs w:val="18"/>
          <w:lang w:val="el-GR"/>
        </w:rPr>
        <w:t xml:space="preserve">το Συγκρότημα Τράπεζας Κύπρου λειτουργούσε μέσω </w:t>
      </w:r>
      <w:r w:rsidR="00FB2221" w:rsidRPr="007A315A">
        <w:rPr>
          <w:rFonts w:ascii="Arial" w:hAnsi="Arial" w:cs="Arial"/>
          <w:color w:val="FF9900"/>
          <w:sz w:val="18"/>
          <w:szCs w:val="18"/>
          <w:lang w:val="el-GR"/>
        </w:rPr>
        <w:t xml:space="preserve">58 </w:t>
      </w:r>
      <w:r w:rsidRPr="007A315A">
        <w:rPr>
          <w:rFonts w:ascii="Arial" w:hAnsi="Arial" w:cs="Arial"/>
          <w:color w:val="FF9900"/>
          <w:sz w:val="18"/>
          <w:szCs w:val="18"/>
          <w:lang w:val="el-GR"/>
        </w:rPr>
        <w:t xml:space="preserve">καταστημάτων στην Κύπρο, εκ των οποίων τα </w:t>
      </w:r>
      <w:r w:rsidR="00FB2221" w:rsidRPr="007A315A">
        <w:rPr>
          <w:rFonts w:ascii="Arial" w:hAnsi="Arial" w:cs="Arial"/>
          <w:color w:val="FF9900"/>
          <w:sz w:val="18"/>
          <w:szCs w:val="18"/>
          <w:lang w:val="el-GR"/>
        </w:rPr>
        <w:t xml:space="preserve">3 </w:t>
      </w:r>
      <w:r w:rsidRPr="007A315A">
        <w:rPr>
          <w:rFonts w:ascii="Arial" w:hAnsi="Arial" w:cs="Arial"/>
          <w:color w:val="FF9900"/>
          <w:sz w:val="18"/>
          <w:szCs w:val="18"/>
          <w:lang w:val="el-GR"/>
        </w:rPr>
        <w:t xml:space="preserve">λειτουργούσαν ως θυρίδες. Το Συγκρότημα Τράπεζας Κύπρου εργοδοτούσε </w:t>
      </w:r>
      <w:r w:rsidR="007A315A" w:rsidRPr="007A315A">
        <w:rPr>
          <w:rFonts w:ascii="Arial" w:hAnsi="Arial" w:cs="Arial"/>
          <w:color w:val="FF9900"/>
          <w:sz w:val="18"/>
          <w:szCs w:val="18"/>
          <w:lang w:val="el-GR"/>
        </w:rPr>
        <w:t xml:space="preserve">2,860 </w:t>
      </w:r>
      <w:r w:rsidRPr="007A315A">
        <w:rPr>
          <w:rFonts w:ascii="Arial" w:hAnsi="Arial" w:cs="Arial"/>
          <w:color w:val="FF9900"/>
          <w:sz w:val="18"/>
          <w:szCs w:val="18"/>
          <w:lang w:val="el-GR"/>
        </w:rPr>
        <w:t>άτομα διεθνώς</w:t>
      </w:r>
      <w:r w:rsidR="007A30ED" w:rsidRPr="007A315A">
        <w:rPr>
          <w:rFonts w:ascii="Arial" w:hAnsi="Arial" w:cs="Arial"/>
          <w:color w:val="FF9900"/>
          <w:sz w:val="18"/>
          <w:szCs w:val="18"/>
          <w:lang w:val="el-GR"/>
        </w:rPr>
        <w:t>.</w:t>
      </w:r>
      <w:r w:rsidRPr="007A315A">
        <w:rPr>
          <w:rFonts w:ascii="Arial" w:hAnsi="Arial" w:cs="Arial"/>
          <w:color w:val="FF9900"/>
          <w:sz w:val="18"/>
          <w:szCs w:val="18"/>
          <w:lang w:val="el-GR"/>
        </w:rPr>
        <w:t xml:space="preserve"> </w:t>
      </w:r>
      <w:r w:rsidR="0004132F" w:rsidRPr="007A315A">
        <w:rPr>
          <w:rFonts w:ascii="Arial" w:hAnsi="Arial" w:cs="Arial"/>
          <w:color w:val="FF9900"/>
          <w:sz w:val="18"/>
          <w:szCs w:val="18"/>
          <w:lang w:val="el-GR"/>
        </w:rPr>
        <w:t xml:space="preserve">Στις </w:t>
      </w:r>
      <w:r w:rsidR="007A315A" w:rsidRPr="007A315A">
        <w:rPr>
          <w:rFonts w:ascii="Arial" w:hAnsi="Arial" w:cs="Arial"/>
          <w:color w:val="FF9900"/>
          <w:sz w:val="18"/>
          <w:szCs w:val="18"/>
          <w:lang w:val="el-GR"/>
        </w:rPr>
        <w:t xml:space="preserve">30 Ιουνίου </w:t>
      </w:r>
      <w:r w:rsidR="00FB2221" w:rsidRPr="007A315A">
        <w:rPr>
          <w:rFonts w:ascii="Arial" w:hAnsi="Arial" w:cs="Arial"/>
          <w:color w:val="FF9900"/>
          <w:sz w:val="18"/>
          <w:szCs w:val="18"/>
          <w:lang w:val="el-GR"/>
        </w:rPr>
        <w:t>2024</w:t>
      </w:r>
      <w:r w:rsidR="0004132F" w:rsidRPr="007A315A">
        <w:rPr>
          <w:rFonts w:ascii="Arial" w:hAnsi="Arial" w:cs="Arial"/>
          <w:color w:val="FF9900"/>
          <w:sz w:val="18"/>
          <w:szCs w:val="18"/>
          <w:lang w:val="el-GR"/>
        </w:rPr>
        <w:t xml:space="preserve">, το Σύνολο Περιουσιακών Στοιχείων ανερχόταν σε </w:t>
      </w:r>
      <w:r w:rsidR="00EB611F" w:rsidRPr="007A315A">
        <w:rPr>
          <w:rFonts w:ascii="Arial" w:hAnsi="Arial" w:cs="Arial"/>
          <w:color w:val="FF9900"/>
          <w:sz w:val="18"/>
          <w:szCs w:val="18"/>
          <w:lang w:val="el-GR"/>
        </w:rPr>
        <w:t>€</w:t>
      </w:r>
      <w:r w:rsidR="007A315A" w:rsidRPr="007A315A">
        <w:rPr>
          <w:rFonts w:ascii="Arial" w:hAnsi="Arial" w:cs="Arial"/>
          <w:color w:val="FF9900"/>
          <w:sz w:val="18"/>
          <w:szCs w:val="18"/>
          <w:lang w:val="el-GR"/>
        </w:rPr>
        <w:t xml:space="preserve">25.5 </w:t>
      </w:r>
      <w:r w:rsidR="0004132F" w:rsidRPr="007A315A">
        <w:rPr>
          <w:rFonts w:ascii="Arial" w:hAnsi="Arial" w:cs="Arial"/>
          <w:color w:val="FF9900"/>
          <w:sz w:val="18"/>
          <w:szCs w:val="18"/>
          <w:lang w:val="el-GR"/>
        </w:rPr>
        <w:t>δις και τα Ίδια Κεφάλαια του σε €</w:t>
      </w:r>
      <w:r w:rsidR="007A315A" w:rsidRPr="007A315A">
        <w:rPr>
          <w:rFonts w:ascii="Arial" w:hAnsi="Arial" w:cs="Arial"/>
          <w:color w:val="FF9900"/>
          <w:sz w:val="18"/>
          <w:szCs w:val="18"/>
          <w:lang w:val="el-GR"/>
        </w:rPr>
        <w:t xml:space="preserve">2.6 </w:t>
      </w:r>
      <w:r w:rsidR="0004132F" w:rsidRPr="007A315A">
        <w:rPr>
          <w:rFonts w:ascii="Arial" w:hAnsi="Arial" w:cs="Arial"/>
          <w:color w:val="FF9900"/>
          <w:sz w:val="18"/>
          <w:szCs w:val="18"/>
          <w:lang w:val="el-GR"/>
        </w:rPr>
        <w:t>δις</w:t>
      </w:r>
      <w:r w:rsidR="005C4F70" w:rsidRPr="007A315A">
        <w:rPr>
          <w:rFonts w:ascii="Arial" w:hAnsi="Arial" w:cs="Arial"/>
          <w:color w:val="FF9900"/>
          <w:sz w:val="18"/>
          <w:szCs w:val="18"/>
          <w:lang w:val="el-GR"/>
        </w:rPr>
        <w:t>.</w:t>
      </w:r>
      <w:r w:rsidR="0004132F" w:rsidRPr="007A315A">
        <w:rPr>
          <w:rFonts w:ascii="Arial" w:hAnsi="Arial" w:cs="Arial"/>
          <w:color w:val="FF9900"/>
          <w:sz w:val="18"/>
          <w:szCs w:val="18"/>
          <w:lang w:val="el-GR"/>
        </w:rPr>
        <w:t xml:space="preserve"> </w:t>
      </w:r>
      <w:r w:rsidRPr="007A315A">
        <w:rPr>
          <w:rFonts w:ascii="Arial" w:hAnsi="Arial" w:cs="Arial"/>
          <w:color w:val="FF9900"/>
          <w:sz w:val="18"/>
          <w:szCs w:val="18"/>
          <w:lang w:val="el-GR"/>
        </w:rPr>
        <w:t>Το Συγκρότημα Τράπεζας Κύπρου αποτελείται από την Bank of Cyprus Holdings Public Limited Company, τη θυγατρική της Τράπεζα Κύπρου Δημόσια Εταιρία Λίμιτεδ και τις θυγατρικές αυτής.</w:t>
      </w:r>
      <w:r w:rsidRPr="00EB611F">
        <w:rPr>
          <w:rFonts w:ascii="Arial" w:hAnsi="Arial" w:cs="Arial"/>
          <w:color w:val="FF9900"/>
          <w:sz w:val="18"/>
          <w:szCs w:val="18"/>
          <w:lang w:val="el-GR"/>
        </w:rPr>
        <w:t xml:space="preserve"> </w:t>
      </w:r>
      <w:bookmarkEnd w:id="39"/>
    </w:p>
    <w:sectPr w:rsidR="00AE2DB9" w:rsidRPr="00EB611F" w:rsidSect="00252AAF">
      <w:footerReference w:type="default" r:id="rId12"/>
      <w:pgSz w:w="11906" w:h="16838" w:code="9"/>
      <w:pgMar w:top="1077" w:right="1134" w:bottom="1418" w:left="1077"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5C5B9" w14:textId="77777777" w:rsidR="00143BAD" w:rsidRDefault="00143BAD" w:rsidP="005C0A4E">
      <w:pPr>
        <w:spacing w:after="0" w:line="240" w:lineRule="auto"/>
      </w:pPr>
      <w:r>
        <w:separator/>
      </w:r>
    </w:p>
  </w:endnote>
  <w:endnote w:type="continuationSeparator" w:id="0">
    <w:p w14:paraId="14662FA7" w14:textId="77777777" w:rsidR="00143BAD" w:rsidRDefault="00143BAD" w:rsidP="005C0A4E">
      <w:pPr>
        <w:spacing w:after="0" w:line="240" w:lineRule="auto"/>
      </w:pPr>
      <w:r>
        <w:continuationSeparator/>
      </w:r>
    </w:p>
  </w:endnote>
  <w:endnote w:type="continuationNotice" w:id="1">
    <w:p w14:paraId="1B2AC9C2" w14:textId="77777777" w:rsidR="00143BAD" w:rsidRDefault="00143B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Lucida Grande">
    <w:panose1 w:val="00000000000000000000"/>
    <w:charset w:val="00"/>
    <w:family w:val="roman"/>
    <w:notTrueType/>
    <w:pitch w:val="default"/>
  </w:font>
  <w:font w:name="EYInterstate Light">
    <w:altName w:val="Times New Roman"/>
    <w:charset w:val="A1"/>
    <w:family w:val="auto"/>
    <w:pitch w:val="variable"/>
    <w:sig w:usb0="A00002AF" w:usb1="5000206A" w:usb2="00000000" w:usb3="00000000" w:csb0="0000009F" w:csb1="00000000"/>
  </w:font>
  <w:font w:name="PF BeauSans Pro">
    <w:altName w:val="Times New Roman"/>
    <w:panose1 w:val="00000000000000000000"/>
    <w:charset w:val="4D"/>
    <w:family w:val="swiss"/>
    <w:notTrueType/>
    <w:pitch w:val="default"/>
    <w:sig w:usb0="00000003" w:usb1="00000000" w:usb2="00000000" w:usb3="00000000" w:csb0="00000001" w:csb1="00000000"/>
  </w:font>
  <w:font w:name="Arial Bold">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914387294"/>
      <w:docPartObj>
        <w:docPartGallery w:val="Page Numbers (Bottom of Page)"/>
        <w:docPartUnique/>
      </w:docPartObj>
    </w:sdtPr>
    <w:sdtEndPr>
      <w:rPr>
        <w:noProof/>
      </w:rPr>
    </w:sdtEndPr>
    <w:sdtContent>
      <w:p w14:paraId="44784601" w14:textId="31B34F36" w:rsidR="00BC5BE8" w:rsidRPr="00BC5BE8" w:rsidRDefault="00BC5BE8">
        <w:pPr>
          <w:pStyle w:val="Footer"/>
          <w:jc w:val="center"/>
          <w:rPr>
            <w:rFonts w:ascii="Arial" w:hAnsi="Arial" w:cs="Arial"/>
            <w:sz w:val="18"/>
            <w:szCs w:val="18"/>
          </w:rPr>
        </w:pPr>
        <w:r w:rsidRPr="00BC5BE8">
          <w:rPr>
            <w:rFonts w:ascii="Arial" w:hAnsi="Arial" w:cs="Arial"/>
            <w:sz w:val="18"/>
            <w:szCs w:val="18"/>
          </w:rPr>
          <w:fldChar w:fldCharType="begin"/>
        </w:r>
        <w:r w:rsidRPr="00BC5BE8">
          <w:rPr>
            <w:rFonts w:ascii="Arial" w:hAnsi="Arial" w:cs="Arial"/>
            <w:sz w:val="18"/>
            <w:szCs w:val="18"/>
          </w:rPr>
          <w:instrText xml:space="preserve"> PAGE   \* MERGEFORMAT </w:instrText>
        </w:r>
        <w:r w:rsidRPr="00BC5BE8">
          <w:rPr>
            <w:rFonts w:ascii="Arial" w:hAnsi="Arial" w:cs="Arial"/>
            <w:sz w:val="18"/>
            <w:szCs w:val="18"/>
          </w:rPr>
          <w:fldChar w:fldCharType="separate"/>
        </w:r>
        <w:r w:rsidRPr="00BC5BE8">
          <w:rPr>
            <w:rFonts w:ascii="Arial" w:hAnsi="Arial" w:cs="Arial"/>
            <w:noProof/>
            <w:sz w:val="18"/>
            <w:szCs w:val="18"/>
          </w:rPr>
          <w:t>2</w:t>
        </w:r>
        <w:r w:rsidRPr="00BC5BE8">
          <w:rPr>
            <w:rFonts w:ascii="Arial" w:hAnsi="Arial" w:cs="Arial"/>
            <w:noProof/>
            <w:sz w:val="18"/>
            <w:szCs w:val="18"/>
          </w:rPr>
          <w:fldChar w:fldCharType="end"/>
        </w:r>
      </w:p>
    </w:sdtContent>
  </w:sdt>
  <w:p w14:paraId="1C2F68F2" w14:textId="77777777" w:rsidR="00107A79" w:rsidRDefault="00107A79">
    <w:pPr>
      <w:pStyle w:val="Footer"/>
    </w:pPr>
  </w:p>
  <w:p w14:paraId="4D283450" w14:textId="1D1268F2" w:rsidR="009B3668" w:rsidRDefault="009B36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A1990" w14:textId="77777777" w:rsidR="00143BAD" w:rsidRDefault="00143BAD" w:rsidP="005C0A4E">
      <w:pPr>
        <w:spacing w:after="0" w:line="240" w:lineRule="auto"/>
      </w:pPr>
      <w:r>
        <w:separator/>
      </w:r>
    </w:p>
  </w:footnote>
  <w:footnote w:type="continuationSeparator" w:id="0">
    <w:p w14:paraId="08CC1EA5" w14:textId="77777777" w:rsidR="00143BAD" w:rsidRDefault="00143BAD" w:rsidP="005C0A4E">
      <w:pPr>
        <w:spacing w:after="0" w:line="240" w:lineRule="auto"/>
      </w:pPr>
      <w:r>
        <w:continuationSeparator/>
      </w:r>
    </w:p>
  </w:footnote>
  <w:footnote w:type="continuationNotice" w:id="1">
    <w:p w14:paraId="033E76AF" w14:textId="77777777" w:rsidR="00143BAD" w:rsidRDefault="00143B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F6255BE"/>
    <w:lvl w:ilvl="0">
      <w:start w:val="1"/>
      <w:numFmt w:val="decimal"/>
      <w:pStyle w:val="ListNumber"/>
      <w:lvlText w:val="%1."/>
      <w:lvlJc w:val="left"/>
      <w:pPr>
        <w:ind w:left="916" w:hanging="720"/>
      </w:pPr>
      <w:rPr>
        <w:rFonts w:hint="default"/>
      </w:rPr>
    </w:lvl>
  </w:abstractNum>
  <w:abstractNum w:abstractNumId="1" w15:restartNumberingAfterBreak="0">
    <w:nsid w:val="03A929A4"/>
    <w:multiLevelType w:val="hybridMultilevel"/>
    <w:tmpl w:val="7C3A2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CC4465"/>
    <w:multiLevelType w:val="multilevel"/>
    <w:tmpl w:val="C2EC4BE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cs="ArialMT" w:hint="default"/>
        <w:b/>
        <w:color w:val="000000"/>
      </w:rPr>
    </w:lvl>
    <w:lvl w:ilvl="2">
      <w:start w:val="1"/>
      <w:numFmt w:val="decimal"/>
      <w:isLgl/>
      <w:lvlText w:val="%1.%2.%3."/>
      <w:lvlJc w:val="left"/>
      <w:pPr>
        <w:ind w:left="1080" w:hanging="720"/>
      </w:pPr>
      <w:rPr>
        <w:rFonts w:cs="ArialMT" w:hint="default"/>
        <w:b/>
        <w:color w:val="000000"/>
      </w:rPr>
    </w:lvl>
    <w:lvl w:ilvl="3">
      <w:start w:val="1"/>
      <w:numFmt w:val="decimal"/>
      <w:isLgl/>
      <w:lvlText w:val="%1.%2.%3.%4."/>
      <w:lvlJc w:val="left"/>
      <w:pPr>
        <w:ind w:left="1440" w:hanging="1080"/>
      </w:pPr>
      <w:rPr>
        <w:rFonts w:cs="ArialMT" w:hint="default"/>
        <w:b/>
        <w:color w:val="000000"/>
      </w:rPr>
    </w:lvl>
    <w:lvl w:ilvl="4">
      <w:start w:val="1"/>
      <w:numFmt w:val="decimal"/>
      <w:isLgl/>
      <w:lvlText w:val="%1.%2.%3.%4.%5."/>
      <w:lvlJc w:val="left"/>
      <w:pPr>
        <w:ind w:left="1440" w:hanging="1080"/>
      </w:pPr>
      <w:rPr>
        <w:rFonts w:cs="ArialMT" w:hint="default"/>
        <w:b/>
        <w:color w:val="000000"/>
      </w:rPr>
    </w:lvl>
    <w:lvl w:ilvl="5">
      <w:start w:val="1"/>
      <w:numFmt w:val="decimal"/>
      <w:isLgl/>
      <w:lvlText w:val="%1.%2.%3.%4.%5.%6."/>
      <w:lvlJc w:val="left"/>
      <w:pPr>
        <w:ind w:left="1800" w:hanging="1440"/>
      </w:pPr>
      <w:rPr>
        <w:rFonts w:cs="ArialMT" w:hint="default"/>
        <w:b/>
        <w:color w:val="000000"/>
      </w:rPr>
    </w:lvl>
    <w:lvl w:ilvl="6">
      <w:start w:val="1"/>
      <w:numFmt w:val="decimal"/>
      <w:isLgl/>
      <w:lvlText w:val="%1.%2.%3.%4.%5.%6.%7."/>
      <w:lvlJc w:val="left"/>
      <w:pPr>
        <w:ind w:left="1800" w:hanging="1440"/>
      </w:pPr>
      <w:rPr>
        <w:rFonts w:cs="ArialMT" w:hint="default"/>
        <w:b/>
        <w:color w:val="000000"/>
      </w:rPr>
    </w:lvl>
    <w:lvl w:ilvl="7">
      <w:start w:val="1"/>
      <w:numFmt w:val="decimal"/>
      <w:isLgl/>
      <w:lvlText w:val="%1.%2.%3.%4.%5.%6.%7.%8."/>
      <w:lvlJc w:val="left"/>
      <w:pPr>
        <w:ind w:left="2160" w:hanging="1800"/>
      </w:pPr>
      <w:rPr>
        <w:rFonts w:cs="ArialMT" w:hint="default"/>
        <w:b/>
        <w:color w:val="000000"/>
      </w:rPr>
    </w:lvl>
    <w:lvl w:ilvl="8">
      <w:start w:val="1"/>
      <w:numFmt w:val="decimal"/>
      <w:isLgl/>
      <w:lvlText w:val="%1.%2.%3.%4.%5.%6.%7.%8.%9."/>
      <w:lvlJc w:val="left"/>
      <w:pPr>
        <w:ind w:left="2160" w:hanging="1800"/>
      </w:pPr>
      <w:rPr>
        <w:rFonts w:cs="ArialMT" w:hint="default"/>
        <w:b/>
        <w:color w:val="000000"/>
      </w:rPr>
    </w:lvl>
  </w:abstractNum>
  <w:abstractNum w:abstractNumId="3" w15:restartNumberingAfterBreak="0">
    <w:nsid w:val="13AA20B2"/>
    <w:multiLevelType w:val="hybridMultilevel"/>
    <w:tmpl w:val="A560D5A0"/>
    <w:lvl w:ilvl="0" w:tplc="08090001">
      <w:start w:val="1"/>
      <w:numFmt w:val="bullet"/>
      <w:lvlText w:val=""/>
      <w:lvlJc w:val="left"/>
      <w:pPr>
        <w:ind w:left="502" w:hanging="360"/>
      </w:pPr>
      <w:rPr>
        <w:rFonts w:ascii="Symbol" w:hAnsi="Symbol" w:hint="default"/>
        <w:sz w:val="18"/>
        <w:lang w:val="el-GR"/>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809A3"/>
    <w:multiLevelType w:val="hybridMultilevel"/>
    <w:tmpl w:val="34EA6F10"/>
    <w:lvl w:ilvl="0" w:tplc="D54E9002">
      <w:start w:val="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0B27BFD"/>
    <w:multiLevelType w:val="multilevel"/>
    <w:tmpl w:val="CA909A88"/>
    <w:lvl w:ilvl="0">
      <w:start w:val="1"/>
      <w:numFmt w:val="bullet"/>
      <w:pStyle w:val="01squarebullet"/>
      <w:lvlText w:val="■"/>
      <w:lvlJc w:val="left"/>
      <w:pPr>
        <w:ind w:left="360" w:hanging="360"/>
      </w:pPr>
      <w:rPr>
        <w:b w:val="0"/>
        <w:bCs w:val="0"/>
        <w:i w:val="0"/>
        <w:iCs w:val="0"/>
        <w:caps w:val="0"/>
        <w:smallCaps w:val="0"/>
        <w:strike w:val="0"/>
        <w:dstrike w:val="0"/>
        <w:noProof w:val="0"/>
        <w:vanish w:val="0"/>
        <w:color w:val="008080"/>
        <w:spacing w:val="0"/>
        <w:kern w:val="0"/>
        <w:position w:val="0"/>
        <w:sz w:val="24"/>
        <w:szCs w:val="24"/>
        <w:u w:val="none"/>
        <w:effect w:val="none"/>
        <w:vertAlign w:val="baseline"/>
        <w:em w:val="none"/>
        <w:specVanish w:val="0"/>
      </w:rPr>
    </w:lvl>
    <w:lvl w:ilvl="1">
      <w:start w:val="1"/>
      <w:numFmt w:val="bullet"/>
      <w:lvlText w:val="–"/>
      <w:lvlJc w:val="left"/>
      <w:pPr>
        <w:tabs>
          <w:tab w:val="num" w:pos="646"/>
        </w:tabs>
        <w:ind w:left="644" w:hanging="284"/>
      </w:pPr>
      <w:rPr>
        <w:rFonts w:ascii="Arial" w:hAnsi="Arial" w:hint="default"/>
        <w:color w:val="auto"/>
        <w:sz w:val="24"/>
      </w:rPr>
    </w:lvl>
    <w:lvl w:ilvl="2">
      <w:start w:val="1"/>
      <w:numFmt w:val="bullet"/>
      <w:lvlText w:val="□"/>
      <w:lvlJc w:val="left"/>
      <w:pPr>
        <w:tabs>
          <w:tab w:val="num" w:pos="924"/>
        </w:tabs>
        <w:ind w:left="927" w:hanging="283"/>
      </w:pPr>
      <w:rPr>
        <w:rFonts w:ascii="Times New Roman" w:hAnsi="Times New Roman" w:cs="Times New Roman" w:hint="default"/>
        <w:color w:val="auto"/>
        <w:sz w:val="20"/>
      </w:rPr>
    </w:lvl>
    <w:lvl w:ilvl="3">
      <w:start w:val="1"/>
      <w:numFmt w:val="bullet"/>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6" w15:restartNumberingAfterBreak="0">
    <w:nsid w:val="2A2878EE"/>
    <w:multiLevelType w:val="multilevel"/>
    <w:tmpl w:val="7994BE5E"/>
    <w:lvl w:ilvl="0">
      <w:start w:val="3"/>
      <w:numFmt w:val="decimal"/>
      <w:lvlText w:val="%1."/>
      <w:lvlJc w:val="left"/>
      <w:pPr>
        <w:ind w:left="720" w:hanging="360"/>
      </w:pPr>
      <w:rPr>
        <w:rFonts w:hint="default"/>
        <w:b/>
      </w:rPr>
    </w:lvl>
    <w:lvl w:ilvl="1">
      <w:start w:val="2"/>
      <w:numFmt w:val="decimal"/>
      <w:isLgl/>
      <w:lvlText w:val="%1.%2."/>
      <w:lvlJc w:val="left"/>
      <w:pPr>
        <w:ind w:left="1003" w:hanging="720"/>
      </w:pPr>
      <w:rPr>
        <w:rFonts w:cs="ArialMT" w:hint="default"/>
        <w:b/>
        <w:color w:val="000000"/>
      </w:rPr>
    </w:lvl>
    <w:lvl w:ilvl="2">
      <w:start w:val="1"/>
      <w:numFmt w:val="decimal"/>
      <w:isLgl/>
      <w:lvlText w:val="%1.%2.%3."/>
      <w:lvlJc w:val="left"/>
      <w:pPr>
        <w:ind w:left="1080" w:hanging="720"/>
      </w:pPr>
      <w:rPr>
        <w:rFonts w:cs="ArialMT" w:hint="default"/>
        <w:b/>
        <w:color w:val="000000"/>
      </w:rPr>
    </w:lvl>
    <w:lvl w:ilvl="3">
      <w:start w:val="1"/>
      <w:numFmt w:val="decimal"/>
      <w:isLgl/>
      <w:lvlText w:val="%1.%2.%3.%4."/>
      <w:lvlJc w:val="left"/>
      <w:pPr>
        <w:ind w:left="1440" w:hanging="1080"/>
      </w:pPr>
      <w:rPr>
        <w:rFonts w:cs="ArialMT" w:hint="default"/>
        <w:b/>
        <w:color w:val="000000"/>
      </w:rPr>
    </w:lvl>
    <w:lvl w:ilvl="4">
      <w:start w:val="1"/>
      <w:numFmt w:val="decimal"/>
      <w:isLgl/>
      <w:lvlText w:val="%1.%2.%3.%4.%5."/>
      <w:lvlJc w:val="left"/>
      <w:pPr>
        <w:ind w:left="1440" w:hanging="1080"/>
      </w:pPr>
      <w:rPr>
        <w:rFonts w:cs="ArialMT" w:hint="default"/>
        <w:b/>
        <w:color w:val="000000"/>
      </w:rPr>
    </w:lvl>
    <w:lvl w:ilvl="5">
      <w:start w:val="1"/>
      <w:numFmt w:val="decimal"/>
      <w:isLgl/>
      <w:lvlText w:val="%1.%2.%3.%4.%5.%6."/>
      <w:lvlJc w:val="left"/>
      <w:pPr>
        <w:ind w:left="1800" w:hanging="1440"/>
      </w:pPr>
      <w:rPr>
        <w:rFonts w:cs="ArialMT" w:hint="default"/>
        <w:b/>
        <w:color w:val="000000"/>
      </w:rPr>
    </w:lvl>
    <w:lvl w:ilvl="6">
      <w:start w:val="1"/>
      <w:numFmt w:val="decimal"/>
      <w:isLgl/>
      <w:lvlText w:val="%1.%2.%3.%4.%5.%6.%7."/>
      <w:lvlJc w:val="left"/>
      <w:pPr>
        <w:ind w:left="1800" w:hanging="1440"/>
      </w:pPr>
      <w:rPr>
        <w:rFonts w:cs="ArialMT" w:hint="default"/>
        <w:b/>
        <w:color w:val="000000"/>
      </w:rPr>
    </w:lvl>
    <w:lvl w:ilvl="7">
      <w:start w:val="1"/>
      <w:numFmt w:val="decimal"/>
      <w:isLgl/>
      <w:lvlText w:val="%1.%2.%3.%4.%5.%6.%7.%8."/>
      <w:lvlJc w:val="left"/>
      <w:pPr>
        <w:ind w:left="2160" w:hanging="1800"/>
      </w:pPr>
      <w:rPr>
        <w:rFonts w:cs="ArialMT" w:hint="default"/>
        <w:b/>
        <w:color w:val="000000"/>
      </w:rPr>
    </w:lvl>
    <w:lvl w:ilvl="8">
      <w:start w:val="1"/>
      <w:numFmt w:val="decimal"/>
      <w:isLgl/>
      <w:lvlText w:val="%1.%2.%3.%4.%5.%6.%7.%8.%9."/>
      <w:lvlJc w:val="left"/>
      <w:pPr>
        <w:ind w:left="2160" w:hanging="1800"/>
      </w:pPr>
      <w:rPr>
        <w:rFonts w:cs="ArialMT" w:hint="default"/>
        <w:b/>
        <w:color w:val="000000"/>
      </w:rPr>
    </w:lvl>
  </w:abstractNum>
  <w:abstractNum w:abstractNumId="7" w15:restartNumberingAfterBreak="0">
    <w:nsid w:val="368F50F3"/>
    <w:multiLevelType w:val="hybridMultilevel"/>
    <w:tmpl w:val="8D5C7FC4"/>
    <w:lvl w:ilvl="0" w:tplc="08090001">
      <w:start w:val="1"/>
      <w:numFmt w:val="bullet"/>
      <w:lvlText w:val=""/>
      <w:lvlJc w:val="left"/>
      <w:pPr>
        <w:ind w:left="3747" w:hanging="360"/>
      </w:pPr>
      <w:rPr>
        <w:rFonts w:ascii="Symbol" w:hAnsi="Symbol" w:hint="default"/>
      </w:rPr>
    </w:lvl>
    <w:lvl w:ilvl="1" w:tplc="08090003">
      <w:start w:val="1"/>
      <w:numFmt w:val="bullet"/>
      <w:lvlText w:val="o"/>
      <w:lvlJc w:val="left"/>
      <w:pPr>
        <w:ind w:left="1587" w:hanging="360"/>
      </w:pPr>
      <w:rPr>
        <w:rFonts w:ascii="Courier New" w:hAnsi="Courier New" w:cs="Courier New" w:hint="default"/>
      </w:rPr>
    </w:lvl>
    <w:lvl w:ilvl="2" w:tplc="08090005" w:tentative="1">
      <w:start w:val="1"/>
      <w:numFmt w:val="bullet"/>
      <w:lvlText w:val=""/>
      <w:lvlJc w:val="left"/>
      <w:pPr>
        <w:ind w:left="2307" w:hanging="360"/>
      </w:pPr>
      <w:rPr>
        <w:rFonts w:ascii="Wingdings" w:hAnsi="Wingdings" w:hint="default"/>
      </w:rPr>
    </w:lvl>
    <w:lvl w:ilvl="3" w:tplc="08090001" w:tentative="1">
      <w:start w:val="1"/>
      <w:numFmt w:val="bullet"/>
      <w:lvlText w:val=""/>
      <w:lvlJc w:val="left"/>
      <w:pPr>
        <w:ind w:left="3027" w:hanging="360"/>
      </w:pPr>
      <w:rPr>
        <w:rFonts w:ascii="Symbol" w:hAnsi="Symbol" w:hint="default"/>
      </w:rPr>
    </w:lvl>
    <w:lvl w:ilvl="4" w:tplc="08090003" w:tentative="1">
      <w:start w:val="1"/>
      <w:numFmt w:val="bullet"/>
      <w:lvlText w:val="o"/>
      <w:lvlJc w:val="left"/>
      <w:pPr>
        <w:ind w:left="3747" w:hanging="360"/>
      </w:pPr>
      <w:rPr>
        <w:rFonts w:ascii="Courier New" w:hAnsi="Courier New" w:cs="Courier New" w:hint="default"/>
      </w:rPr>
    </w:lvl>
    <w:lvl w:ilvl="5" w:tplc="08090005" w:tentative="1">
      <w:start w:val="1"/>
      <w:numFmt w:val="bullet"/>
      <w:lvlText w:val=""/>
      <w:lvlJc w:val="left"/>
      <w:pPr>
        <w:ind w:left="4467" w:hanging="360"/>
      </w:pPr>
      <w:rPr>
        <w:rFonts w:ascii="Wingdings" w:hAnsi="Wingdings" w:hint="default"/>
      </w:rPr>
    </w:lvl>
    <w:lvl w:ilvl="6" w:tplc="08090001" w:tentative="1">
      <w:start w:val="1"/>
      <w:numFmt w:val="bullet"/>
      <w:lvlText w:val=""/>
      <w:lvlJc w:val="left"/>
      <w:pPr>
        <w:ind w:left="5187" w:hanging="360"/>
      </w:pPr>
      <w:rPr>
        <w:rFonts w:ascii="Symbol" w:hAnsi="Symbol" w:hint="default"/>
      </w:rPr>
    </w:lvl>
    <w:lvl w:ilvl="7" w:tplc="08090003" w:tentative="1">
      <w:start w:val="1"/>
      <w:numFmt w:val="bullet"/>
      <w:lvlText w:val="o"/>
      <w:lvlJc w:val="left"/>
      <w:pPr>
        <w:ind w:left="5907" w:hanging="360"/>
      </w:pPr>
      <w:rPr>
        <w:rFonts w:ascii="Courier New" w:hAnsi="Courier New" w:cs="Courier New" w:hint="default"/>
      </w:rPr>
    </w:lvl>
    <w:lvl w:ilvl="8" w:tplc="08090005" w:tentative="1">
      <w:start w:val="1"/>
      <w:numFmt w:val="bullet"/>
      <w:lvlText w:val=""/>
      <w:lvlJc w:val="left"/>
      <w:pPr>
        <w:ind w:left="6627" w:hanging="360"/>
      </w:pPr>
      <w:rPr>
        <w:rFonts w:ascii="Wingdings" w:hAnsi="Wingdings" w:hint="default"/>
      </w:rPr>
    </w:lvl>
  </w:abstractNum>
  <w:abstractNum w:abstractNumId="8" w15:restartNumberingAfterBreak="0">
    <w:nsid w:val="3A412159"/>
    <w:multiLevelType w:val="hybridMultilevel"/>
    <w:tmpl w:val="B05A01AA"/>
    <w:lvl w:ilvl="0" w:tplc="16B0CCF6">
      <w:start w:val="17"/>
      <w:numFmt w:val="bullet"/>
      <w:lvlText w:val="-"/>
      <w:lvlJc w:val="left"/>
      <w:pPr>
        <w:ind w:left="720" w:hanging="360"/>
      </w:pPr>
      <w:rPr>
        <w:rFonts w:ascii="Verdana" w:eastAsia="Batang"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6917C5"/>
    <w:multiLevelType w:val="hybridMultilevel"/>
    <w:tmpl w:val="7040B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345ACB"/>
    <w:multiLevelType w:val="hybridMultilevel"/>
    <w:tmpl w:val="7040B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B9523A"/>
    <w:multiLevelType w:val="hybridMultilevel"/>
    <w:tmpl w:val="E4E4A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181A43"/>
    <w:multiLevelType w:val="multilevel"/>
    <w:tmpl w:val="FEFC8DF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cs="ArialMT" w:hint="default"/>
        <w:b/>
        <w:color w:val="000000"/>
      </w:rPr>
    </w:lvl>
    <w:lvl w:ilvl="2">
      <w:start w:val="1"/>
      <w:numFmt w:val="decimal"/>
      <w:isLgl/>
      <w:lvlText w:val="%1.%2.%3."/>
      <w:lvlJc w:val="left"/>
      <w:pPr>
        <w:ind w:left="1080" w:hanging="720"/>
      </w:pPr>
      <w:rPr>
        <w:rFonts w:cs="ArialMT" w:hint="default"/>
        <w:b/>
        <w:color w:val="000000"/>
      </w:rPr>
    </w:lvl>
    <w:lvl w:ilvl="3">
      <w:start w:val="1"/>
      <w:numFmt w:val="decimal"/>
      <w:isLgl/>
      <w:lvlText w:val="%1.%2.%3.%4."/>
      <w:lvlJc w:val="left"/>
      <w:pPr>
        <w:ind w:left="1440" w:hanging="1080"/>
      </w:pPr>
      <w:rPr>
        <w:rFonts w:cs="ArialMT" w:hint="default"/>
        <w:b/>
        <w:color w:val="000000"/>
      </w:rPr>
    </w:lvl>
    <w:lvl w:ilvl="4">
      <w:start w:val="1"/>
      <w:numFmt w:val="decimal"/>
      <w:isLgl/>
      <w:lvlText w:val="%1.%2.%3.%4.%5."/>
      <w:lvlJc w:val="left"/>
      <w:pPr>
        <w:ind w:left="1440" w:hanging="1080"/>
      </w:pPr>
      <w:rPr>
        <w:rFonts w:cs="ArialMT" w:hint="default"/>
        <w:b/>
        <w:color w:val="000000"/>
      </w:rPr>
    </w:lvl>
    <w:lvl w:ilvl="5">
      <w:start w:val="1"/>
      <w:numFmt w:val="decimal"/>
      <w:isLgl/>
      <w:lvlText w:val="%1.%2.%3.%4.%5.%6."/>
      <w:lvlJc w:val="left"/>
      <w:pPr>
        <w:ind w:left="1800" w:hanging="1440"/>
      </w:pPr>
      <w:rPr>
        <w:rFonts w:cs="ArialMT" w:hint="default"/>
        <w:b/>
        <w:color w:val="000000"/>
      </w:rPr>
    </w:lvl>
    <w:lvl w:ilvl="6">
      <w:start w:val="1"/>
      <w:numFmt w:val="decimal"/>
      <w:isLgl/>
      <w:lvlText w:val="%1.%2.%3.%4.%5.%6.%7."/>
      <w:lvlJc w:val="left"/>
      <w:pPr>
        <w:ind w:left="1800" w:hanging="1440"/>
      </w:pPr>
      <w:rPr>
        <w:rFonts w:cs="ArialMT" w:hint="default"/>
        <w:b/>
        <w:color w:val="000000"/>
      </w:rPr>
    </w:lvl>
    <w:lvl w:ilvl="7">
      <w:start w:val="1"/>
      <w:numFmt w:val="decimal"/>
      <w:isLgl/>
      <w:lvlText w:val="%1.%2.%3.%4.%5.%6.%7.%8."/>
      <w:lvlJc w:val="left"/>
      <w:pPr>
        <w:ind w:left="2160" w:hanging="1800"/>
      </w:pPr>
      <w:rPr>
        <w:rFonts w:cs="ArialMT" w:hint="default"/>
        <w:b/>
        <w:color w:val="000000"/>
      </w:rPr>
    </w:lvl>
    <w:lvl w:ilvl="8">
      <w:start w:val="1"/>
      <w:numFmt w:val="decimal"/>
      <w:isLgl/>
      <w:lvlText w:val="%1.%2.%3.%4.%5.%6.%7.%8.%9."/>
      <w:lvlJc w:val="left"/>
      <w:pPr>
        <w:ind w:left="2160" w:hanging="1800"/>
      </w:pPr>
      <w:rPr>
        <w:rFonts w:cs="ArialMT" w:hint="default"/>
        <w:b/>
        <w:color w:val="000000"/>
      </w:rPr>
    </w:lvl>
  </w:abstractNum>
  <w:abstractNum w:abstractNumId="13" w15:restartNumberingAfterBreak="0">
    <w:nsid w:val="4B5A0E56"/>
    <w:multiLevelType w:val="hybridMultilevel"/>
    <w:tmpl w:val="3FA03FBC"/>
    <w:lvl w:ilvl="0" w:tplc="5B5C64D8">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574A11"/>
    <w:multiLevelType w:val="hybridMultilevel"/>
    <w:tmpl w:val="A4724AFC"/>
    <w:lvl w:ilvl="0" w:tplc="A5064B78">
      <w:start w:val="1"/>
      <w:numFmt w:val="bullet"/>
      <w:pStyle w:val="02dash"/>
      <w:lvlText w:val="‒"/>
      <w:lvlJc w:val="left"/>
      <w:pPr>
        <w:ind w:left="717" w:hanging="360"/>
      </w:pPr>
      <w:rPr>
        <w:rFonts w:hint="default"/>
        <w:b w:val="0"/>
        <w:bCs w:val="0"/>
        <w:i w:val="0"/>
        <w:iCs w:val="0"/>
        <w:caps w:val="0"/>
        <w:smallCaps w:val="0"/>
        <w:strike w:val="0"/>
        <w:dstrike w:val="0"/>
        <w:noProof w:val="0"/>
        <w:vanish w:val="0"/>
        <w:color w:val="008080"/>
        <w:spacing w:val="0"/>
        <w:kern w:val="0"/>
        <w:position w:val="0"/>
        <w:u w:val="none"/>
        <w:effect w:val="none"/>
        <w:vertAlign w:val="baseline"/>
        <w:em w:val="none"/>
        <w:specVanish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D5006DC"/>
    <w:multiLevelType w:val="hybridMultilevel"/>
    <w:tmpl w:val="4AAC1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7048D4"/>
    <w:multiLevelType w:val="hybridMultilevel"/>
    <w:tmpl w:val="97A88A44"/>
    <w:lvl w:ilvl="0" w:tplc="8DD81FC6">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110240"/>
    <w:multiLevelType w:val="hybridMultilevel"/>
    <w:tmpl w:val="0F56C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41590C"/>
    <w:multiLevelType w:val="multilevel"/>
    <w:tmpl w:val="257C4980"/>
    <w:lvl w:ilvl="0">
      <w:start w:val="8"/>
      <w:numFmt w:val="decimal"/>
      <w:lvlText w:val="%1."/>
      <w:lvlJc w:val="left"/>
      <w:pPr>
        <w:ind w:left="720" w:hanging="360"/>
      </w:pPr>
      <w:rPr>
        <w:rFonts w:hint="default"/>
        <w:b/>
        <w:bCs/>
        <w:sz w:val="22"/>
        <w:szCs w:val="22"/>
      </w:rPr>
    </w:lvl>
    <w:lvl w:ilvl="1">
      <w:start w:val="2"/>
      <w:numFmt w:val="decimal"/>
      <w:isLgl/>
      <w:lvlText w:val="%1.%2."/>
      <w:lvlJc w:val="left"/>
      <w:pPr>
        <w:ind w:left="1080" w:hanging="720"/>
      </w:pPr>
      <w:rPr>
        <w:rFonts w:cs="ArialMT" w:hint="default"/>
        <w:b/>
        <w:color w:val="000000"/>
      </w:rPr>
    </w:lvl>
    <w:lvl w:ilvl="2">
      <w:start w:val="1"/>
      <w:numFmt w:val="decimal"/>
      <w:isLgl/>
      <w:lvlText w:val="%1.%2.%3."/>
      <w:lvlJc w:val="left"/>
      <w:pPr>
        <w:ind w:left="1080" w:hanging="720"/>
      </w:pPr>
      <w:rPr>
        <w:rFonts w:cs="ArialMT" w:hint="default"/>
        <w:b/>
        <w:color w:val="000000"/>
      </w:rPr>
    </w:lvl>
    <w:lvl w:ilvl="3">
      <w:start w:val="1"/>
      <w:numFmt w:val="decimal"/>
      <w:isLgl/>
      <w:lvlText w:val="%1.%2.%3.%4."/>
      <w:lvlJc w:val="left"/>
      <w:pPr>
        <w:ind w:left="1440" w:hanging="1080"/>
      </w:pPr>
      <w:rPr>
        <w:rFonts w:cs="ArialMT" w:hint="default"/>
        <w:b/>
        <w:color w:val="000000"/>
      </w:rPr>
    </w:lvl>
    <w:lvl w:ilvl="4">
      <w:start w:val="1"/>
      <w:numFmt w:val="decimal"/>
      <w:isLgl/>
      <w:lvlText w:val="%1.%2.%3.%4.%5."/>
      <w:lvlJc w:val="left"/>
      <w:pPr>
        <w:ind w:left="1440" w:hanging="1080"/>
      </w:pPr>
      <w:rPr>
        <w:rFonts w:cs="ArialMT" w:hint="default"/>
        <w:b/>
        <w:color w:val="000000"/>
      </w:rPr>
    </w:lvl>
    <w:lvl w:ilvl="5">
      <w:start w:val="1"/>
      <w:numFmt w:val="decimal"/>
      <w:isLgl/>
      <w:lvlText w:val="%1.%2.%3.%4.%5.%6."/>
      <w:lvlJc w:val="left"/>
      <w:pPr>
        <w:ind w:left="1800" w:hanging="1440"/>
      </w:pPr>
      <w:rPr>
        <w:rFonts w:cs="ArialMT" w:hint="default"/>
        <w:b/>
        <w:color w:val="000000"/>
      </w:rPr>
    </w:lvl>
    <w:lvl w:ilvl="6">
      <w:start w:val="1"/>
      <w:numFmt w:val="decimal"/>
      <w:isLgl/>
      <w:lvlText w:val="%1.%2.%3.%4.%5.%6.%7."/>
      <w:lvlJc w:val="left"/>
      <w:pPr>
        <w:ind w:left="1800" w:hanging="1440"/>
      </w:pPr>
      <w:rPr>
        <w:rFonts w:cs="ArialMT" w:hint="default"/>
        <w:b/>
        <w:color w:val="000000"/>
      </w:rPr>
    </w:lvl>
    <w:lvl w:ilvl="7">
      <w:start w:val="1"/>
      <w:numFmt w:val="decimal"/>
      <w:isLgl/>
      <w:lvlText w:val="%1.%2.%3.%4.%5.%6.%7.%8."/>
      <w:lvlJc w:val="left"/>
      <w:pPr>
        <w:ind w:left="2160" w:hanging="1800"/>
      </w:pPr>
      <w:rPr>
        <w:rFonts w:cs="ArialMT" w:hint="default"/>
        <w:b/>
        <w:color w:val="000000"/>
      </w:rPr>
    </w:lvl>
    <w:lvl w:ilvl="8">
      <w:start w:val="1"/>
      <w:numFmt w:val="decimal"/>
      <w:isLgl/>
      <w:lvlText w:val="%1.%2.%3.%4.%5.%6.%7.%8.%9."/>
      <w:lvlJc w:val="left"/>
      <w:pPr>
        <w:ind w:left="2160" w:hanging="1800"/>
      </w:pPr>
      <w:rPr>
        <w:rFonts w:cs="ArialMT" w:hint="default"/>
        <w:b/>
        <w:color w:val="000000"/>
      </w:rPr>
    </w:lvl>
  </w:abstractNum>
  <w:abstractNum w:abstractNumId="19" w15:restartNumberingAfterBreak="0">
    <w:nsid w:val="703B4C98"/>
    <w:multiLevelType w:val="hybridMultilevel"/>
    <w:tmpl w:val="C0A4C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737764"/>
    <w:multiLevelType w:val="hybridMultilevel"/>
    <w:tmpl w:val="190EB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AB56B9"/>
    <w:multiLevelType w:val="hybridMultilevel"/>
    <w:tmpl w:val="4F20EB16"/>
    <w:lvl w:ilvl="0" w:tplc="E5F0AF28">
      <w:start w:val="1"/>
      <w:numFmt w:val="decimal"/>
      <w:lvlText w:val="%1."/>
      <w:lvlJc w:val="left"/>
      <w:pPr>
        <w:ind w:left="720" w:hanging="360"/>
      </w:pPr>
      <w:rPr>
        <w:rFonts w:hint="default"/>
        <w:sz w:val="16"/>
        <w:szCs w:val="16"/>
        <w:lang w:val="el-GR"/>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2D93D5B"/>
    <w:multiLevelType w:val="hybridMultilevel"/>
    <w:tmpl w:val="DC7C2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9B285E"/>
    <w:multiLevelType w:val="hybridMultilevel"/>
    <w:tmpl w:val="030A0EC8"/>
    <w:lvl w:ilvl="0" w:tplc="82CC5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DE686E"/>
    <w:multiLevelType w:val="hybridMultilevel"/>
    <w:tmpl w:val="416A1166"/>
    <w:lvl w:ilvl="0" w:tplc="ABDA464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3C6FDA"/>
    <w:multiLevelType w:val="hybridMultilevel"/>
    <w:tmpl w:val="B8A2D668"/>
    <w:lvl w:ilvl="0" w:tplc="F7145EF8">
      <w:start w:val="1"/>
      <w:numFmt w:val="bullet"/>
      <w:pStyle w:val="03opensquarebullet"/>
      <w:lvlText w:val="□"/>
      <w:lvlJc w:val="left"/>
      <w:pPr>
        <w:ind w:left="1006" w:hanging="360"/>
      </w:pPr>
      <w:rPr>
        <w:rFonts w:hint="default"/>
        <w:b w:val="0"/>
        <w:bCs w:val="0"/>
        <w:i w:val="0"/>
        <w:iCs w:val="0"/>
        <w:caps w:val="0"/>
        <w:smallCaps w:val="0"/>
        <w:strike w:val="0"/>
        <w:dstrike w:val="0"/>
        <w:noProof w:val="0"/>
        <w:vanish w:val="0"/>
        <w:color w:val="008080"/>
        <w:spacing w:val="0"/>
        <w:kern w:val="0"/>
        <w:position w:val="0"/>
        <w:u w:val="none"/>
        <w:effect w:val="none"/>
        <w:vertAlign w:val="baseline"/>
        <w:em w:val="none"/>
        <w:specVanish w:val="0"/>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378968354">
    <w:abstractNumId w:val="5"/>
  </w:num>
  <w:num w:numId="2" w16cid:durableId="266818203">
    <w:abstractNumId w:val="14"/>
  </w:num>
  <w:num w:numId="3" w16cid:durableId="1016734258">
    <w:abstractNumId w:val="25"/>
  </w:num>
  <w:num w:numId="4" w16cid:durableId="1366976946">
    <w:abstractNumId w:val="3"/>
  </w:num>
  <w:num w:numId="5" w16cid:durableId="1572231091">
    <w:abstractNumId w:val="0"/>
  </w:num>
  <w:num w:numId="6" w16cid:durableId="1820801583">
    <w:abstractNumId w:val="7"/>
  </w:num>
  <w:num w:numId="7" w16cid:durableId="1260289771">
    <w:abstractNumId w:val="24"/>
  </w:num>
  <w:num w:numId="8" w16cid:durableId="106774545">
    <w:abstractNumId w:val="2"/>
  </w:num>
  <w:num w:numId="9" w16cid:durableId="2113697100">
    <w:abstractNumId w:val="8"/>
  </w:num>
  <w:num w:numId="10" w16cid:durableId="431050457">
    <w:abstractNumId w:val="23"/>
  </w:num>
  <w:num w:numId="11" w16cid:durableId="2131391772">
    <w:abstractNumId w:val="15"/>
  </w:num>
  <w:num w:numId="12" w16cid:durableId="25177986">
    <w:abstractNumId w:val="1"/>
  </w:num>
  <w:num w:numId="13" w16cid:durableId="237331289">
    <w:abstractNumId w:val="21"/>
  </w:num>
  <w:num w:numId="14" w16cid:durableId="188033702">
    <w:abstractNumId w:val="11"/>
  </w:num>
  <w:num w:numId="15" w16cid:durableId="1410729501">
    <w:abstractNumId w:val="6"/>
  </w:num>
  <w:num w:numId="16" w16cid:durableId="1498689384">
    <w:abstractNumId w:val="19"/>
  </w:num>
  <w:num w:numId="17" w16cid:durableId="2127501019">
    <w:abstractNumId w:val="4"/>
  </w:num>
  <w:num w:numId="18" w16cid:durableId="46535710">
    <w:abstractNumId w:val="18"/>
  </w:num>
  <w:num w:numId="19" w16cid:durableId="1442993904">
    <w:abstractNumId w:val="20"/>
  </w:num>
  <w:num w:numId="20" w16cid:durableId="194851773">
    <w:abstractNumId w:val="9"/>
  </w:num>
  <w:num w:numId="21" w16cid:durableId="374355446">
    <w:abstractNumId w:val="22"/>
  </w:num>
  <w:num w:numId="22" w16cid:durableId="1751658886">
    <w:abstractNumId w:val="17"/>
  </w:num>
  <w:num w:numId="23" w16cid:durableId="1711613763">
    <w:abstractNumId w:val="16"/>
  </w:num>
  <w:num w:numId="24" w16cid:durableId="1096289646">
    <w:abstractNumId w:val="12"/>
  </w:num>
  <w:num w:numId="25" w16cid:durableId="1465386192">
    <w:abstractNumId w:val="13"/>
  </w:num>
  <w:num w:numId="26" w16cid:durableId="1614051997">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mailMerge>
    <w:mainDocumentType w:val="formLetters"/>
    <w:dataType w:val="textFile"/>
    <w:activeRecord w:val="-1"/>
    <w:odso/>
  </w:mailMerge>
  <w:defaultTabStop w:val="28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850"/>
    <w:rsid w:val="00000044"/>
    <w:rsid w:val="00000152"/>
    <w:rsid w:val="000001B4"/>
    <w:rsid w:val="000001C0"/>
    <w:rsid w:val="00000417"/>
    <w:rsid w:val="0000057F"/>
    <w:rsid w:val="0000059B"/>
    <w:rsid w:val="000006C2"/>
    <w:rsid w:val="000008F4"/>
    <w:rsid w:val="00000B42"/>
    <w:rsid w:val="00000D74"/>
    <w:rsid w:val="00000D8A"/>
    <w:rsid w:val="00000E6F"/>
    <w:rsid w:val="00000FF6"/>
    <w:rsid w:val="0000115F"/>
    <w:rsid w:val="0000120C"/>
    <w:rsid w:val="000018FE"/>
    <w:rsid w:val="00001993"/>
    <w:rsid w:val="00001CD1"/>
    <w:rsid w:val="00001FDF"/>
    <w:rsid w:val="0000201E"/>
    <w:rsid w:val="000022CB"/>
    <w:rsid w:val="000027F3"/>
    <w:rsid w:val="00002867"/>
    <w:rsid w:val="0000290D"/>
    <w:rsid w:val="00002A62"/>
    <w:rsid w:val="00002C92"/>
    <w:rsid w:val="00002E94"/>
    <w:rsid w:val="00002ED6"/>
    <w:rsid w:val="0000320C"/>
    <w:rsid w:val="0000320F"/>
    <w:rsid w:val="00003489"/>
    <w:rsid w:val="000034FB"/>
    <w:rsid w:val="000035C3"/>
    <w:rsid w:val="00003677"/>
    <w:rsid w:val="00003816"/>
    <w:rsid w:val="000039F8"/>
    <w:rsid w:val="00003AF4"/>
    <w:rsid w:val="00003BFD"/>
    <w:rsid w:val="00004062"/>
    <w:rsid w:val="00004215"/>
    <w:rsid w:val="00004240"/>
    <w:rsid w:val="000045F3"/>
    <w:rsid w:val="00004707"/>
    <w:rsid w:val="0000486B"/>
    <w:rsid w:val="00004A0C"/>
    <w:rsid w:val="00004A0E"/>
    <w:rsid w:val="00004BDF"/>
    <w:rsid w:val="00005017"/>
    <w:rsid w:val="000051F0"/>
    <w:rsid w:val="00005254"/>
    <w:rsid w:val="000052F6"/>
    <w:rsid w:val="000053C2"/>
    <w:rsid w:val="0000548F"/>
    <w:rsid w:val="00005666"/>
    <w:rsid w:val="000057C6"/>
    <w:rsid w:val="00005800"/>
    <w:rsid w:val="00005B58"/>
    <w:rsid w:val="00005EC6"/>
    <w:rsid w:val="00005EDF"/>
    <w:rsid w:val="00005EE7"/>
    <w:rsid w:val="00005F96"/>
    <w:rsid w:val="00005FFB"/>
    <w:rsid w:val="000060BC"/>
    <w:rsid w:val="000061B2"/>
    <w:rsid w:val="000063AC"/>
    <w:rsid w:val="0000676C"/>
    <w:rsid w:val="00006D2F"/>
    <w:rsid w:val="00006D6E"/>
    <w:rsid w:val="0000706D"/>
    <w:rsid w:val="000071DB"/>
    <w:rsid w:val="000072FE"/>
    <w:rsid w:val="0000742F"/>
    <w:rsid w:val="0000749C"/>
    <w:rsid w:val="00007984"/>
    <w:rsid w:val="000079CE"/>
    <w:rsid w:val="00007A1B"/>
    <w:rsid w:val="00007A66"/>
    <w:rsid w:val="00007C70"/>
    <w:rsid w:val="00007D45"/>
    <w:rsid w:val="00007D57"/>
    <w:rsid w:val="00007D79"/>
    <w:rsid w:val="00007DA4"/>
    <w:rsid w:val="000105C2"/>
    <w:rsid w:val="000105D8"/>
    <w:rsid w:val="00010722"/>
    <w:rsid w:val="000109B3"/>
    <w:rsid w:val="000109D5"/>
    <w:rsid w:val="00010ABD"/>
    <w:rsid w:val="00010C1F"/>
    <w:rsid w:val="00010D12"/>
    <w:rsid w:val="00010D3D"/>
    <w:rsid w:val="00010E4B"/>
    <w:rsid w:val="00010E97"/>
    <w:rsid w:val="00011146"/>
    <w:rsid w:val="000111FA"/>
    <w:rsid w:val="00011293"/>
    <w:rsid w:val="0001130F"/>
    <w:rsid w:val="00011383"/>
    <w:rsid w:val="0001140D"/>
    <w:rsid w:val="00011444"/>
    <w:rsid w:val="00011458"/>
    <w:rsid w:val="00011560"/>
    <w:rsid w:val="000115BF"/>
    <w:rsid w:val="000115CE"/>
    <w:rsid w:val="00011664"/>
    <w:rsid w:val="00011757"/>
    <w:rsid w:val="000118B0"/>
    <w:rsid w:val="00011A25"/>
    <w:rsid w:val="00011CF5"/>
    <w:rsid w:val="00011F86"/>
    <w:rsid w:val="000122F2"/>
    <w:rsid w:val="0001232E"/>
    <w:rsid w:val="000124E7"/>
    <w:rsid w:val="000125BD"/>
    <w:rsid w:val="00012D92"/>
    <w:rsid w:val="00012F45"/>
    <w:rsid w:val="000131B8"/>
    <w:rsid w:val="00013324"/>
    <w:rsid w:val="0001349D"/>
    <w:rsid w:val="000136A2"/>
    <w:rsid w:val="0001370B"/>
    <w:rsid w:val="000137F1"/>
    <w:rsid w:val="0001381A"/>
    <w:rsid w:val="00013D3A"/>
    <w:rsid w:val="00013D99"/>
    <w:rsid w:val="00013F27"/>
    <w:rsid w:val="00014022"/>
    <w:rsid w:val="0001408D"/>
    <w:rsid w:val="000142E7"/>
    <w:rsid w:val="000145E4"/>
    <w:rsid w:val="0001477D"/>
    <w:rsid w:val="000149EF"/>
    <w:rsid w:val="00014A6F"/>
    <w:rsid w:val="00014CD4"/>
    <w:rsid w:val="00014FB3"/>
    <w:rsid w:val="0001508C"/>
    <w:rsid w:val="00015198"/>
    <w:rsid w:val="000157DE"/>
    <w:rsid w:val="00016152"/>
    <w:rsid w:val="00016466"/>
    <w:rsid w:val="0001647B"/>
    <w:rsid w:val="0001656F"/>
    <w:rsid w:val="000167D8"/>
    <w:rsid w:val="00016B65"/>
    <w:rsid w:val="00017278"/>
    <w:rsid w:val="00017383"/>
    <w:rsid w:val="00017520"/>
    <w:rsid w:val="000176FF"/>
    <w:rsid w:val="0001781F"/>
    <w:rsid w:val="000179F1"/>
    <w:rsid w:val="00017B11"/>
    <w:rsid w:val="00017B9B"/>
    <w:rsid w:val="00017D17"/>
    <w:rsid w:val="00017D19"/>
    <w:rsid w:val="00017EC4"/>
    <w:rsid w:val="00017FBF"/>
    <w:rsid w:val="000201FE"/>
    <w:rsid w:val="0002045F"/>
    <w:rsid w:val="00020661"/>
    <w:rsid w:val="00020698"/>
    <w:rsid w:val="000207B2"/>
    <w:rsid w:val="000207E5"/>
    <w:rsid w:val="00020973"/>
    <w:rsid w:val="00020983"/>
    <w:rsid w:val="00020DAF"/>
    <w:rsid w:val="00020DB5"/>
    <w:rsid w:val="00020E6E"/>
    <w:rsid w:val="000213D4"/>
    <w:rsid w:val="0002142A"/>
    <w:rsid w:val="0002177E"/>
    <w:rsid w:val="00021938"/>
    <w:rsid w:val="00021C4D"/>
    <w:rsid w:val="00021F19"/>
    <w:rsid w:val="0002238F"/>
    <w:rsid w:val="00022535"/>
    <w:rsid w:val="00022759"/>
    <w:rsid w:val="000227D5"/>
    <w:rsid w:val="000227DC"/>
    <w:rsid w:val="000228BE"/>
    <w:rsid w:val="00022BC9"/>
    <w:rsid w:val="000230B1"/>
    <w:rsid w:val="00023185"/>
    <w:rsid w:val="000232A2"/>
    <w:rsid w:val="000235E8"/>
    <w:rsid w:val="000235EC"/>
    <w:rsid w:val="0002362F"/>
    <w:rsid w:val="000236A1"/>
    <w:rsid w:val="00023705"/>
    <w:rsid w:val="0002376A"/>
    <w:rsid w:val="000238B0"/>
    <w:rsid w:val="000238F5"/>
    <w:rsid w:val="00023A46"/>
    <w:rsid w:val="00023CFF"/>
    <w:rsid w:val="00023D4B"/>
    <w:rsid w:val="00023E52"/>
    <w:rsid w:val="00024062"/>
    <w:rsid w:val="000245E9"/>
    <w:rsid w:val="000248CF"/>
    <w:rsid w:val="0002493B"/>
    <w:rsid w:val="00024956"/>
    <w:rsid w:val="0002499F"/>
    <w:rsid w:val="00024F64"/>
    <w:rsid w:val="00024FE2"/>
    <w:rsid w:val="0002513E"/>
    <w:rsid w:val="000253FD"/>
    <w:rsid w:val="0002566D"/>
    <w:rsid w:val="000256B0"/>
    <w:rsid w:val="00025702"/>
    <w:rsid w:val="000257B0"/>
    <w:rsid w:val="00025856"/>
    <w:rsid w:val="00025C3E"/>
    <w:rsid w:val="00026061"/>
    <w:rsid w:val="00026113"/>
    <w:rsid w:val="00026326"/>
    <w:rsid w:val="00026349"/>
    <w:rsid w:val="000263EC"/>
    <w:rsid w:val="0002640C"/>
    <w:rsid w:val="0002660E"/>
    <w:rsid w:val="00026784"/>
    <w:rsid w:val="000267BC"/>
    <w:rsid w:val="000267FC"/>
    <w:rsid w:val="00026998"/>
    <w:rsid w:val="00026CA6"/>
    <w:rsid w:val="00026D9B"/>
    <w:rsid w:val="00026FF1"/>
    <w:rsid w:val="0002728C"/>
    <w:rsid w:val="0002742D"/>
    <w:rsid w:val="00027456"/>
    <w:rsid w:val="000274DD"/>
    <w:rsid w:val="000274E6"/>
    <w:rsid w:val="00027847"/>
    <w:rsid w:val="00027894"/>
    <w:rsid w:val="00027A6E"/>
    <w:rsid w:val="00027A9E"/>
    <w:rsid w:val="00027C96"/>
    <w:rsid w:val="00027D87"/>
    <w:rsid w:val="00027E86"/>
    <w:rsid w:val="00027EF1"/>
    <w:rsid w:val="00030036"/>
    <w:rsid w:val="00030298"/>
    <w:rsid w:val="0003039C"/>
    <w:rsid w:val="0003042A"/>
    <w:rsid w:val="000304B2"/>
    <w:rsid w:val="00030643"/>
    <w:rsid w:val="00030790"/>
    <w:rsid w:val="000308B4"/>
    <w:rsid w:val="00030A80"/>
    <w:rsid w:val="00030DB6"/>
    <w:rsid w:val="00030E1D"/>
    <w:rsid w:val="00030F82"/>
    <w:rsid w:val="00031006"/>
    <w:rsid w:val="00031034"/>
    <w:rsid w:val="000311BF"/>
    <w:rsid w:val="00031222"/>
    <w:rsid w:val="000312CE"/>
    <w:rsid w:val="000314D2"/>
    <w:rsid w:val="0003155D"/>
    <w:rsid w:val="000316F0"/>
    <w:rsid w:val="00031738"/>
    <w:rsid w:val="000319A7"/>
    <w:rsid w:val="00031B72"/>
    <w:rsid w:val="00031C02"/>
    <w:rsid w:val="00031CC8"/>
    <w:rsid w:val="00031D3F"/>
    <w:rsid w:val="00031E2D"/>
    <w:rsid w:val="00031F40"/>
    <w:rsid w:val="000320C9"/>
    <w:rsid w:val="0003213C"/>
    <w:rsid w:val="00032366"/>
    <w:rsid w:val="000325C5"/>
    <w:rsid w:val="00032765"/>
    <w:rsid w:val="00032822"/>
    <w:rsid w:val="0003285C"/>
    <w:rsid w:val="00032E37"/>
    <w:rsid w:val="00032F98"/>
    <w:rsid w:val="00033010"/>
    <w:rsid w:val="000330C4"/>
    <w:rsid w:val="00033243"/>
    <w:rsid w:val="000332F5"/>
    <w:rsid w:val="00033420"/>
    <w:rsid w:val="00033502"/>
    <w:rsid w:val="000335CB"/>
    <w:rsid w:val="000336A5"/>
    <w:rsid w:val="000339AB"/>
    <w:rsid w:val="00033D81"/>
    <w:rsid w:val="00033EEE"/>
    <w:rsid w:val="0003421D"/>
    <w:rsid w:val="00034256"/>
    <w:rsid w:val="000342D3"/>
    <w:rsid w:val="000343DE"/>
    <w:rsid w:val="00034673"/>
    <w:rsid w:val="0003476C"/>
    <w:rsid w:val="00034AD6"/>
    <w:rsid w:val="00034CAA"/>
    <w:rsid w:val="00034CE5"/>
    <w:rsid w:val="00034E38"/>
    <w:rsid w:val="000350EA"/>
    <w:rsid w:val="000354BE"/>
    <w:rsid w:val="000354E4"/>
    <w:rsid w:val="000355D1"/>
    <w:rsid w:val="000357ED"/>
    <w:rsid w:val="00035835"/>
    <w:rsid w:val="000359E7"/>
    <w:rsid w:val="00035BAE"/>
    <w:rsid w:val="00035C7E"/>
    <w:rsid w:val="00035D8D"/>
    <w:rsid w:val="00035EF8"/>
    <w:rsid w:val="000361E5"/>
    <w:rsid w:val="0003622F"/>
    <w:rsid w:val="000364DA"/>
    <w:rsid w:val="00036505"/>
    <w:rsid w:val="00036AA6"/>
    <w:rsid w:val="00036BF6"/>
    <w:rsid w:val="00036D7D"/>
    <w:rsid w:val="000371D9"/>
    <w:rsid w:val="00037211"/>
    <w:rsid w:val="00037494"/>
    <w:rsid w:val="00037639"/>
    <w:rsid w:val="000376BD"/>
    <w:rsid w:val="00037769"/>
    <w:rsid w:val="00037791"/>
    <w:rsid w:val="00037847"/>
    <w:rsid w:val="00037991"/>
    <w:rsid w:val="000401DB"/>
    <w:rsid w:val="00040293"/>
    <w:rsid w:val="00040379"/>
    <w:rsid w:val="000404E3"/>
    <w:rsid w:val="00040C08"/>
    <w:rsid w:val="00040C34"/>
    <w:rsid w:val="0004104E"/>
    <w:rsid w:val="00041094"/>
    <w:rsid w:val="0004117F"/>
    <w:rsid w:val="00041190"/>
    <w:rsid w:val="0004132F"/>
    <w:rsid w:val="000414E1"/>
    <w:rsid w:val="000414F7"/>
    <w:rsid w:val="00041637"/>
    <w:rsid w:val="0004192C"/>
    <w:rsid w:val="000419C7"/>
    <w:rsid w:val="00041A10"/>
    <w:rsid w:val="00041BB2"/>
    <w:rsid w:val="00041BC2"/>
    <w:rsid w:val="00041D21"/>
    <w:rsid w:val="00041D74"/>
    <w:rsid w:val="00041EF5"/>
    <w:rsid w:val="00042012"/>
    <w:rsid w:val="000422A6"/>
    <w:rsid w:val="0004243F"/>
    <w:rsid w:val="000429D3"/>
    <w:rsid w:val="00042BF4"/>
    <w:rsid w:val="00042C77"/>
    <w:rsid w:val="00042C94"/>
    <w:rsid w:val="00042D90"/>
    <w:rsid w:val="00042DC9"/>
    <w:rsid w:val="00042FDE"/>
    <w:rsid w:val="00043074"/>
    <w:rsid w:val="00043101"/>
    <w:rsid w:val="00043183"/>
    <w:rsid w:val="00043292"/>
    <w:rsid w:val="00043581"/>
    <w:rsid w:val="000435E3"/>
    <w:rsid w:val="00043675"/>
    <w:rsid w:val="00043A49"/>
    <w:rsid w:val="00043CE6"/>
    <w:rsid w:val="00043D87"/>
    <w:rsid w:val="0004413A"/>
    <w:rsid w:val="000442B9"/>
    <w:rsid w:val="000444E9"/>
    <w:rsid w:val="00044507"/>
    <w:rsid w:val="0004472E"/>
    <w:rsid w:val="00044781"/>
    <w:rsid w:val="0004481B"/>
    <w:rsid w:val="00044962"/>
    <w:rsid w:val="00044B38"/>
    <w:rsid w:val="00044BD5"/>
    <w:rsid w:val="00044FF6"/>
    <w:rsid w:val="000452D1"/>
    <w:rsid w:val="00045312"/>
    <w:rsid w:val="00045344"/>
    <w:rsid w:val="00045601"/>
    <w:rsid w:val="0004570E"/>
    <w:rsid w:val="0004574A"/>
    <w:rsid w:val="00045963"/>
    <w:rsid w:val="0004598F"/>
    <w:rsid w:val="00045A71"/>
    <w:rsid w:val="00045BE1"/>
    <w:rsid w:val="00045C72"/>
    <w:rsid w:val="00045FA4"/>
    <w:rsid w:val="000464B8"/>
    <w:rsid w:val="00046647"/>
    <w:rsid w:val="000468F9"/>
    <w:rsid w:val="000469FD"/>
    <w:rsid w:val="00046A63"/>
    <w:rsid w:val="00046B26"/>
    <w:rsid w:val="00046D93"/>
    <w:rsid w:val="00046D96"/>
    <w:rsid w:val="00046E6D"/>
    <w:rsid w:val="0004734C"/>
    <w:rsid w:val="00047BBF"/>
    <w:rsid w:val="00047CC6"/>
    <w:rsid w:val="00047CD7"/>
    <w:rsid w:val="00047EA4"/>
    <w:rsid w:val="00047F2C"/>
    <w:rsid w:val="00050033"/>
    <w:rsid w:val="000501B0"/>
    <w:rsid w:val="0005039B"/>
    <w:rsid w:val="000503CB"/>
    <w:rsid w:val="000504A2"/>
    <w:rsid w:val="00050557"/>
    <w:rsid w:val="00050560"/>
    <w:rsid w:val="00050983"/>
    <w:rsid w:val="00050D43"/>
    <w:rsid w:val="00050FA0"/>
    <w:rsid w:val="00051076"/>
    <w:rsid w:val="0005109B"/>
    <w:rsid w:val="0005134A"/>
    <w:rsid w:val="000515B8"/>
    <w:rsid w:val="00051986"/>
    <w:rsid w:val="00051A96"/>
    <w:rsid w:val="00051B6F"/>
    <w:rsid w:val="00051C45"/>
    <w:rsid w:val="000520A7"/>
    <w:rsid w:val="0005238B"/>
    <w:rsid w:val="000524B0"/>
    <w:rsid w:val="000524EC"/>
    <w:rsid w:val="000526FE"/>
    <w:rsid w:val="00052BD9"/>
    <w:rsid w:val="00052C7A"/>
    <w:rsid w:val="00053127"/>
    <w:rsid w:val="000531BC"/>
    <w:rsid w:val="000534BB"/>
    <w:rsid w:val="0005365D"/>
    <w:rsid w:val="00053671"/>
    <w:rsid w:val="0005372A"/>
    <w:rsid w:val="0005373F"/>
    <w:rsid w:val="000537EC"/>
    <w:rsid w:val="00053830"/>
    <w:rsid w:val="000538CA"/>
    <w:rsid w:val="00053992"/>
    <w:rsid w:val="000539A2"/>
    <w:rsid w:val="000539D2"/>
    <w:rsid w:val="00053B08"/>
    <w:rsid w:val="00053B80"/>
    <w:rsid w:val="00053E8E"/>
    <w:rsid w:val="00053EFE"/>
    <w:rsid w:val="00053F9B"/>
    <w:rsid w:val="000542B8"/>
    <w:rsid w:val="00054493"/>
    <w:rsid w:val="000544A6"/>
    <w:rsid w:val="00054806"/>
    <w:rsid w:val="00054C1C"/>
    <w:rsid w:val="00054E11"/>
    <w:rsid w:val="00055092"/>
    <w:rsid w:val="000550D8"/>
    <w:rsid w:val="00055319"/>
    <w:rsid w:val="000554B8"/>
    <w:rsid w:val="000555E7"/>
    <w:rsid w:val="00055655"/>
    <w:rsid w:val="00055B63"/>
    <w:rsid w:val="00055ED9"/>
    <w:rsid w:val="00055FED"/>
    <w:rsid w:val="00056034"/>
    <w:rsid w:val="00056172"/>
    <w:rsid w:val="000562D4"/>
    <w:rsid w:val="0005658E"/>
    <w:rsid w:val="000567CA"/>
    <w:rsid w:val="00056913"/>
    <w:rsid w:val="00056CFD"/>
    <w:rsid w:val="00056E36"/>
    <w:rsid w:val="00056F94"/>
    <w:rsid w:val="00056FE2"/>
    <w:rsid w:val="00057205"/>
    <w:rsid w:val="000573AC"/>
    <w:rsid w:val="000574B3"/>
    <w:rsid w:val="000574BE"/>
    <w:rsid w:val="000574F9"/>
    <w:rsid w:val="000574FC"/>
    <w:rsid w:val="00057550"/>
    <w:rsid w:val="0005769A"/>
    <w:rsid w:val="00057761"/>
    <w:rsid w:val="0005777D"/>
    <w:rsid w:val="000577BD"/>
    <w:rsid w:val="0005792F"/>
    <w:rsid w:val="00057A1C"/>
    <w:rsid w:val="00057BA3"/>
    <w:rsid w:val="00057CBC"/>
    <w:rsid w:val="00057F83"/>
    <w:rsid w:val="00060097"/>
    <w:rsid w:val="000601EF"/>
    <w:rsid w:val="000602F4"/>
    <w:rsid w:val="00060348"/>
    <w:rsid w:val="00060455"/>
    <w:rsid w:val="00060C58"/>
    <w:rsid w:val="00060E10"/>
    <w:rsid w:val="00060E6F"/>
    <w:rsid w:val="00060F80"/>
    <w:rsid w:val="00061093"/>
    <w:rsid w:val="000610C2"/>
    <w:rsid w:val="000610E3"/>
    <w:rsid w:val="0006122F"/>
    <w:rsid w:val="0006139A"/>
    <w:rsid w:val="000614D5"/>
    <w:rsid w:val="000615C0"/>
    <w:rsid w:val="000616B3"/>
    <w:rsid w:val="00061770"/>
    <w:rsid w:val="0006194C"/>
    <w:rsid w:val="00061D46"/>
    <w:rsid w:val="00061D7E"/>
    <w:rsid w:val="0006272B"/>
    <w:rsid w:val="00062921"/>
    <w:rsid w:val="00062982"/>
    <w:rsid w:val="00062DF8"/>
    <w:rsid w:val="00062EDE"/>
    <w:rsid w:val="0006304B"/>
    <w:rsid w:val="00063074"/>
    <w:rsid w:val="00063081"/>
    <w:rsid w:val="0006333B"/>
    <w:rsid w:val="00063423"/>
    <w:rsid w:val="0006351F"/>
    <w:rsid w:val="00063556"/>
    <w:rsid w:val="00063660"/>
    <w:rsid w:val="0006390C"/>
    <w:rsid w:val="00063957"/>
    <w:rsid w:val="000639A6"/>
    <w:rsid w:val="00063BB5"/>
    <w:rsid w:val="00063D0E"/>
    <w:rsid w:val="00063E3C"/>
    <w:rsid w:val="00063F60"/>
    <w:rsid w:val="00063F9B"/>
    <w:rsid w:val="00064158"/>
    <w:rsid w:val="000641D6"/>
    <w:rsid w:val="000642AB"/>
    <w:rsid w:val="000642EC"/>
    <w:rsid w:val="000642F4"/>
    <w:rsid w:val="000645C3"/>
    <w:rsid w:val="00064635"/>
    <w:rsid w:val="000646A3"/>
    <w:rsid w:val="00064700"/>
    <w:rsid w:val="0006487F"/>
    <w:rsid w:val="00064A4F"/>
    <w:rsid w:val="00064C40"/>
    <w:rsid w:val="00064D04"/>
    <w:rsid w:val="00064DA3"/>
    <w:rsid w:val="00064DE7"/>
    <w:rsid w:val="00064DEB"/>
    <w:rsid w:val="00064E98"/>
    <w:rsid w:val="00065113"/>
    <w:rsid w:val="00065260"/>
    <w:rsid w:val="00065518"/>
    <w:rsid w:val="00065539"/>
    <w:rsid w:val="000657E7"/>
    <w:rsid w:val="000657ED"/>
    <w:rsid w:val="00065827"/>
    <w:rsid w:val="00065A15"/>
    <w:rsid w:val="00065BC9"/>
    <w:rsid w:val="00065D3D"/>
    <w:rsid w:val="00065DED"/>
    <w:rsid w:val="00065E9D"/>
    <w:rsid w:val="00065ECA"/>
    <w:rsid w:val="00065FC0"/>
    <w:rsid w:val="00066018"/>
    <w:rsid w:val="000660AB"/>
    <w:rsid w:val="00066235"/>
    <w:rsid w:val="000663A9"/>
    <w:rsid w:val="00066468"/>
    <w:rsid w:val="0006646A"/>
    <w:rsid w:val="000664AB"/>
    <w:rsid w:val="000664CF"/>
    <w:rsid w:val="00066568"/>
    <w:rsid w:val="000666D2"/>
    <w:rsid w:val="00066740"/>
    <w:rsid w:val="000667B5"/>
    <w:rsid w:val="00066B3D"/>
    <w:rsid w:val="00066CEB"/>
    <w:rsid w:val="00066FD2"/>
    <w:rsid w:val="00067006"/>
    <w:rsid w:val="000670B1"/>
    <w:rsid w:val="0006716B"/>
    <w:rsid w:val="00067804"/>
    <w:rsid w:val="00067C4C"/>
    <w:rsid w:val="00067EBD"/>
    <w:rsid w:val="00067ED0"/>
    <w:rsid w:val="00067EE3"/>
    <w:rsid w:val="00070135"/>
    <w:rsid w:val="000701BD"/>
    <w:rsid w:val="00070246"/>
    <w:rsid w:val="00070278"/>
    <w:rsid w:val="0007036C"/>
    <w:rsid w:val="00070405"/>
    <w:rsid w:val="00070514"/>
    <w:rsid w:val="00070690"/>
    <w:rsid w:val="0007077C"/>
    <w:rsid w:val="000707BA"/>
    <w:rsid w:val="000707FF"/>
    <w:rsid w:val="0007097C"/>
    <w:rsid w:val="00070C24"/>
    <w:rsid w:val="00070C69"/>
    <w:rsid w:val="00070D74"/>
    <w:rsid w:val="00071570"/>
    <w:rsid w:val="000716C2"/>
    <w:rsid w:val="00071759"/>
    <w:rsid w:val="00071884"/>
    <w:rsid w:val="00071DC1"/>
    <w:rsid w:val="00071F47"/>
    <w:rsid w:val="000724CB"/>
    <w:rsid w:val="0007273E"/>
    <w:rsid w:val="00072A97"/>
    <w:rsid w:val="000731FD"/>
    <w:rsid w:val="0007335F"/>
    <w:rsid w:val="0007355B"/>
    <w:rsid w:val="00073578"/>
    <w:rsid w:val="000737C3"/>
    <w:rsid w:val="000737D4"/>
    <w:rsid w:val="00073B39"/>
    <w:rsid w:val="00073C15"/>
    <w:rsid w:val="00073CF2"/>
    <w:rsid w:val="00073E8C"/>
    <w:rsid w:val="00073EF7"/>
    <w:rsid w:val="00073F51"/>
    <w:rsid w:val="00074025"/>
    <w:rsid w:val="00074042"/>
    <w:rsid w:val="00074434"/>
    <w:rsid w:val="00074604"/>
    <w:rsid w:val="000747BE"/>
    <w:rsid w:val="00074BB0"/>
    <w:rsid w:val="00074DFA"/>
    <w:rsid w:val="00074E66"/>
    <w:rsid w:val="000752BF"/>
    <w:rsid w:val="000754B9"/>
    <w:rsid w:val="000754F1"/>
    <w:rsid w:val="0007566E"/>
    <w:rsid w:val="00075912"/>
    <w:rsid w:val="0007609E"/>
    <w:rsid w:val="000760BD"/>
    <w:rsid w:val="000760E7"/>
    <w:rsid w:val="0007625F"/>
    <w:rsid w:val="000762BE"/>
    <w:rsid w:val="0007648E"/>
    <w:rsid w:val="00076573"/>
    <w:rsid w:val="0007667B"/>
    <w:rsid w:val="00076D3B"/>
    <w:rsid w:val="00077159"/>
    <w:rsid w:val="000772F6"/>
    <w:rsid w:val="00077350"/>
    <w:rsid w:val="000774E4"/>
    <w:rsid w:val="00077696"/>
    <w:rsid w:val="000777E7"/>
    <w:rsid w:val="000779F0"/>
    <w:rsid w:val="00077B4D"/>
    <w:rsid w:val="00077B86"/>
    <w:rsid w:val="00077BA2"/>
    <w:rsid w:val="00077C39"/>
    <w:rsid w:val="00077C5A"/>
    <w:rsid w:val="00077CFC"/>
    <w:rsid w:val="00077D21"/>
    <w:rsid w:val="00077E3B"/>
    <w:rsid w:val="0008000D"/>
    <w:rsid w:val="00080177"/>
    <w:rsid w:val="00080564"/>
    <w:rsid w:val="000808DB"/>
    <w:rsid w:val="0008091D"/>
    <w:rsid w:val="00080FD2"/>
    <w:rsid w:val="0008101E"/>
    <w:rsid w:val="00081063"/>
    <w:rsid w:val="000810A9"/>
    <w:rsid w:val="000810AC"/>
    <w:rsid w:val="000811A4"/>
    <w:rsid w:val="000812EC"/>
    <w:rsid w:val="0008135F"/>
    <w:rsid w:val="0008149F"/>
    <w:rsid w:val="000819E4"/>
    <w:rsid w:val="00081A9A"/>
    <w:rsid w:val="00081B23"/>
    <w:rsid w:val="00081E4C"/>
    <w:rsid w:val="00081EAB"/>
    <w:rsid w:val="0008201F"/>
    <w:rsid w:val="000823B1"/>
    <w:rsid w:val="00082900"/>
    <w:rsid w:val="00082B2F"/>
    <w:rsid w:val="00082CBA"/>
    <w:rsid w:val="000831B5"/>
    <w:rsid w:val="000832D7"/>
    <w:rsid w:val="00083407"/>
    <w:rsid w:val="00083449"/>
    <w:rsid w:val="000835AC"/>
    <w:rsid w:val="000838E6"/>
    <w:rsid w:val="00083945"/>
    <w:rsid w:val="00083B9A"/>
    <w:rsid w:val="00083D0C"/>
    <w:rsid w:val="00083D31"/>
    <w:rsid w:val="00083D4C"/>
    <w:rsid w:val="00083D7E"/>
    <w:rsid w:val="0008403B"/>
    <w:rsid w:val="000840FB"/>
    <w:rsid w:val="000843A5"/>
    <w:rsid w:val="0008463A"/>
    <w:rsid w:val="00084641"/>
    <w:rsid w:val="00084647"/>
    <w:rsid w:val="00084899"/>
    <w:rsid w:val="000848EF"/>
    <w:rsid w:val="00084C37"/>
    <w:rsid w:val="0008515F"/>
    <w:rsid w:val="00085164"/>
    <w:rsid w:val="0008537B"/>
    <w:rsid w:val="00085382"/>
    <w:rsid w:val="000853AC"/>
    <w:rsid w:val="00085443"/>
    <w:rsid w:val="00085581"/>
    <w:rsid w:val="00085590"/>
    <w:rsid w:val="00085830"/>
    <w:rsid w:val="00085DAB"/>
    <w:rsid w:val="00085DD1"/>
    <w:rsid w:val="00085E17"/>
    <w:rsid w:val="00085E23"/>
    <w:rsid w:val="00085FB2"/>
    <w:rsid w:val="00085FBF"/>
    <w:rsid w:val="000861E6"/>
    <w:rsid w:val="000861F9"/>
    <w:rsid w:val="00086471"/>
    <w:rsid w:val="0008663A"/>
    <w:rsid w:val="00086733"/>
    <w:rsid w:val="00086A32"/>
    <w:rsid w:val="00086B75"/>
    <w:rsid w:val="00086B7C"/>
    <w:rsid w:val="00086D0D"/>
    <w:rsid w:val="00086EB9"/>
    <w:rsid w:val="00086F82"/>
    <w:rsid w:val="00087145"/>
    <w:rsid w:val="00087283"/>
    <w:rsid w:val="000873A2"/>
    <w:rsid w:val="000873A9"/>
    <w:rsid w:val="0008750F"/>
    <w:rsid w:val="00087642"/>
    <w:rsid w:val="0008768F"/>
    <w:rsid w:val="00087B62"/>
    <w:rsid w:val="00087E18"/>
    <w:rsid w:val="00087E23"/>
    <w:rsid w:val="00087E56"/>
    <w:rsid w:val="00090007"/>
    <w:rsid w:val="0009006C"/>
    <w:rsid w:val="00090293"/>
    <w:rsid w:val="00090476"/>
    <w:rsid w:val="000904D8"/>
    <w:rsid w:val="00090544"/>
    <w:rsid w:val="00090682"/>
    <w:rsid w:val="000908C8"/>
    <w:rsid w:val="0009097C"/>
    <w:rsid w:val="00090D6E"/>
    <w:rsid w:val="00090E72"/>
    <w:rsid w:val="00090EAE"/>
    <w:rsid w:val="0009140B"/>
    <w:rsid w:val="000916E4"/>
    <w:rsid w:val="000917AD"/>
    <w:rsid w:val="000918ED"/>
    <w:rsid w:val="000918FF"/>
    <w:rsid w:val="000919EF"/>
    <w:rsid w:val="00091A23"/>
    <w:rsid w:val="00091A6C"/>
    <w:rsid w:val="00091C51"/>
    <w:rsid w:val="000920D7"/>
    <w:rsid w:val="00092154"/>
    <w:rsid w:val="000921CC"/>
    <w:rsid w:val="000922E6"/>
    <w:rsid w:val="0009235E"/>
    <w:rsid w:val="000928F4"/>
    <w:rsid w:val="00092AB6"/>
    <w:rsid w:val="00092B3E"/>
    <w:rsid w:val="0009322B"/>
    <w:rsid w:val="0009342E"/>
    <w:rsid w:val="0009360D"/>
    <w:rsid w:val="00093DAC"/>
    <w:rsid w:val="00093DBB"/>
    <w:rsid w:val="00093F11"/>
    <w:rsid w:val="00093FCC"/>
    <w:rsid w:val="00094387"/>
    <w:rsid w:val="0009441D"/>
    <w:rsid w:val="000945EA"/>
    <w:rsid w:val="000948CC"/>
    <w:rsid w:val="00094AD2"/>
    <w:rsid w:val="00094C10"/>
    <w:rsid w:val="00094C53"/>
    <w:rsid w:val="00094D51"/>
    <w:rsid w:val="00094F55"/>
    <w:rsid w:val="00095048"/>
    <w:rsid w:val="00095064"/>
    <w:rsid w:val="00095078"/>
    <w:rsid w:val="00095116"/>
    <w:rsid w:val="000951B7"/>
    <w:rsid w:val="000952D2"/>
    <w:rsid w:val="000953E8"/>
    <w:rsid w:val="000954A0"/>
    <w:rsid w:val="000954F1"/>
    <w:rsid w:val="000955B0"/>
    <w:rsid w:val="0009564B"/>
    <w:rsid w:val="0009583C"/>
    <w:rsid w:val="0009584E"/>
    <w:rsid w:val="00095D97"/>
    <w:rsid w:val="00095F6D"/>
    <w:rsid w:val="0009641B"/>
    <w:rsid w:val="000965A7"/>
    <w:rsid w:val="0009670C"/>
    <w:rsid w:val="000967F6"/>
    <w:rsid w:val="00096818"/>
    <w:rsid w:val="00096FF9"/>
    <w:rsid w:val="00097000"/>
    <w:rsid w:val="000970B5"/>
    <w:rsid w:val="00097365"/>
    <w:rsid w:val="00097399"/>
    <w:rsid w:val="000973A8"/>
    <w:rsid w:val="000973FB"/>
    <w:rsid w:val="00097756"/>
    <w:rsid w:val="00097B14"/>
    <w:rsid w:val="00097B9C"/>
    <w:rsid w:val="00097C44"/>
    <w:rsid w:val="00097E38"/>
    <w:rsid w:val="000A01EF"/>
    <w:rsid w:val="000A02D5"/>
    <w:rsid w:val="000A0301"/>
    <w:rsid w:val="000A04BF"/>
    <w:rsid w:val="000A08EE"/>
    <w:rsid w:val="000A0E11"/>
    <w:rsid w:val="000A0ED4"/>
    <w:rsid w:val="000A0F01"/>
    <w:rsid w:val="000A1811"/>
    <w:rsid w:val="000A1925"/>
    <w:rsid w:val="000A1EC1"/>
    <w:rsid w:val="000A1F68"/>
    <w:rsid w:val="000A1FA7"/>
    <w:rsid w:val="000A229E"/>
    <w:rsid w:val="000A24ED"/>
    <w:rsid w:val="000A276E"/>
    <w:rsid w:val="000A2786"/>
    <w:rsid w:val="000A279D"/>
    <w:rsid w:val="000A27AB"/>
    <w:rsid w:val="000A28C1"/>
    <w:rsid w:val="000A297B"/>
    <w:rsid w:val="000A2AB6"/>
    <w:rsid w:val="000A2B83"/>
    <w:rsid w:val="000A2BEF"/>
    <w:rsid w:val="000A2BF4"/>
    <w:rsid w:val="000A2C2B"/>
    <w:rsid w:val="000A2F48"/>
    <w:rsid w:val="000A302B"/>
    <w:rsid w:val="000A3140"/>
    <w:rsid w:val="000A3216"/>
    <w:rsid w:val="000A3312"/>
    <w:rsid w:val="000A339F"/>
    <w:rsid w:val="000A36BA"/>
    <w:rsid w:val="000A3763"/>
    <w:rsid w:val="000A37C3"/>
    <w:rsid w:val="000A37E0"/>
    <w:rsid w:val="000A3B25"/>
    <w:rsid w:val="000A3D4E"/>
    <w:rsid w:val="000A3E25"/>
    <w:rsid w:val="000A3E96"/>
    <w:rsid w:val="000A412F"/>
    <w:rsid w:val="000A4337"/>
    <w:rsid w:val="000A44D4"/>
    <w:rsid w:val="000A461A"/>
    <w:rsid w:val="000A4A1E"/>
    <w:rsid w:val="000A4A49"/>
    <w:rsid w:val="000A5021"/>
    <w:rsid w:val="000A50DD"/>
    <w:rsid w:val="000A56CC"/>
    <w:rsid w:val="000A5850"/>
    <w:rsid w:val="000A5C9C"/>
    <w:rsid w:val="000A5EA5"/>
    <w:rsid w:val="000A5F99"/>
    <w:rsid w:val="000A5FF8"/>
    <w:rsid w:val="000A63F4"/>
    <w:rsid w:val="000A6473"/>
    <w:rsid w:val="000A6583"/>
    <w:rsid w:val="000A6772"/>
    <w:rsid w:val="000A6A10"/>
    <w:rsid w:val="000A6AE4"/>
    <w:rsid w:val="000A6B26"/>
    <w:rsid w:val="000A70B4"/>
    <w:rsid w:val="000A7202"/>
    <w:rsid w:val="000A78B6"/>
    <w:rsid w:val="000A79D6"/>
    <w:rsid w:val="000A7AB2"/>
    <w:rsid w:val="000A7AD4"/>
    <w:rsid w:val="000A7E84"/>
    <w:rsid w:val="000A7F9E"/>
    <w:rsid w:val="000B0062"/>
    <w:rsid w:val="000B0099"/>
    <w:rsid w:val="000B00CF"/>
    <w:rsid w:val="000B011C"/>
    <w:rsid w:val="000B0AF8"/>
    <w:rsid w:val="000B0CE7"/>
    <w:rsid w:val="000B0DA0"/>
    <w:rsid w:val="000B0E8F"/>
    <w:rsid w:val="000B0EF7"/>
    <w:rsid w:val="000B0FC9"/>
    <w:rsid w:val="000B1074"/>
    <w:rsid w:val="000B10D1"/>
    <w:rsid w:val="000B1D4E"/>
    <w:rsid w:val="000B1E71"/>
    <w:rsid w:val="000B1F2B"/>
    <w:rsid w:val="000B204D"/>
    <w:rsid w:val="000B2586"/>
    <w:rsid w:val="000B25FE"/>
    <w:rsid w:val="000B2607"/>
    <w:rsid w:val="000B2B74"/>
    <w:rsid w:val="000B2CEC"/>
    <w:rsid w:val="000B2E1F"/>
    <w:rsid w:val="000B2FB3"/>
    <w:rsid w:val="000B2FF3"/>
    <w:rsid w:val="000B30F9"/>
    <w:rsid w:val="000B31CE"/>
    <w:rsid w:val="000B35F0"/>
    <w:rsid w:val="000B3773"/>
    <w:rsid w:val="000B3B0B"/>
    <w:rsid w:val="000B3B39"/>
    <w:rsid w:val="000B3BB5"/>
    <w:rsid w:val="000B3ECD"/>
    <w:rsid w:val="000B40A4"/>
    <w:rsid w:val="000B42B5"/>
    <w:rsid w:val="000B4547"/>
    <w:rsid w:val="000B462C"/>
    <w:rsid w:val="000B47B1"/>
    <w:rsid w:val="000B47EA"/>
    <w:rsid w:val="000B4828"/>
    <w:rsid w:val="000B493F"/>
    <w:rsid w:val="000B4993"/>
    <w:rsid w:val="000B4AB4"/>
    <w:rsid w:val="000B4F1A"/>
    <w:rsid w:val="000B502B"/>
    <w:rsid w:val="000B5070"/>
    <w:rsid w:val="000B5277"/>
    <w:rsid w:val="000B53C6"/>
    <w:rsid w:val="000B53F1"/>
    <w:rsid w:val="000B5437"/>
    <w:rsid w:val="000B5518"/>
    <w:rsid w:val="000B5648"/>
    <w:rsid w:val="000B5769"/>
    <w:rsid w:val="000B578B"/>
    <w:rsid w:val="000B5B49"/>
    <w:rsid w:val="000B5DE3"/>
    <w:rsid w:val="000B5F04"/>
    <w:rsid w:val="000B6183"/>
    <w:rsid w:val="000B64AF"/>
    <w:rsid w:val="000B652A"/>
    <w:rsid w:val="000B6534"/>
    <w:rsid w:val="000B66B4"/>
    <w:rsid w:val="000B66ED"/>
    <w:rsid w:val="000B67EB"/>
    <w:rsid w:val="000B68A0"/>
    <w:rsid w:val="000B6BBE"/>
    <w:rsid w:val="000B6D89"/>
    <w:rsid w:val="000B6F6A"/>
    <w:rsid w:val="000B713C"/>
    <w:rsid w:val="000B72D6"/>
    <w:rsid w:val="000B73ED"/>
    <w:rsid w:val="000B75D6"/>
    <w:rsid w:val="000B772C"/>
    <w:rsid w:val="000B7859"/>
    <w:rsid w:val="000B7B30"/>
    <w:rsid w:val="000B7BAB"/>
    <w:rsid w:val="000B7DE2"/>
    <w:rsid w:val="000B7EFD"/>
    <w:rsid w:val="000B7F48"/>
    <w:rsid w:val="000C0090"/>
    <w:rsid w:val="000C013C"/>
    <w:rsid w:val="000C0141"/>
    <w:rsid w:val="000C0526"/>
    <w:rsid w:val="000C056C"/>
    <w:rsid w:val="000C05C3"/>
    <w:rsid w:val="000C0AF7"/>
    <w:rsid w:val="000C0DAD"/>
    <w:rsid w:val="000C0F84"/>
    <w:rsid w:val="000C112B"/>
    <w:rsid w:val="000C13CA"/>
    <w:rsid w:val="000C15B9"/>
    <w:rsid w:val="000C16EB"/>
    <w:rsid w:val="000C17C3"/>
    <w:rsid w:val="000C1A69"/>
    <w:rsid w:val="000C1AC5"/>
    <w:rsid w:val="000C1C44"/>
    <w:rsid w:val="000C1C71"/>
    <w:rsid w:val="000C1FEB"/>
    <w:rsid w:val="000C2278"/>
    <w:rsid w:val="000C2381"/>
    <w:rsid w:val="000C240B"/>
    <w:rsid w:val="000C2439"/>
    <w:rsid w:val="000C2488"/>
    <w:rsid w:val="000C2952"/>
    <w:rsid w:val="000C296F"/>
    <w:rsid w:val="000C3018"/>
    <w:rsid w:val="000C30EA"/>
    <w:rsid w:val="000C3435"/>
    <w:rsid w:val="000C40BD"/>
    <w:rsid w:val="000C4471"/>
    <w:rsid w:val="000C44AF"/>
    <w:rsid w:val="000C454E"/>
    <w:rsid w:val="000C48FA"/>
    <w:rsid w:val="000C4B4D"/>
    <w:rsid w:val="000C4E0F"/>
    <w:rsid w:val="000C4FDF"/>
    <w:rsid w:val="000C5308"/>
    <w:rsid w:val="000C53FF"/>
    <w:rsid w:val="000C55D0"/>
    <w:rsid w:val="000C57F9"/>
    <w:rsid w:val="000C5860"/>
    <w:rsid w:val="000C58F5"/>
    <w:rsid w:val="000C5D44"/>
    <w:rsid w:val="000C5FE6"/>
    <w:rsid w:val="000C6006"/>
    <w:rsid w:val="000C603F"/>
    <w:rsid w:val="000C61E2"/>
    <w:rsid w:val="000C61F5"/>
    <w:rsid w:val="000C6369"/>
    <w:rsid w:val="000C6515"/>
    <w:rsid w:val="000C6632"/>
    <w:rsid w:val="000C690D"/>
    <w:rsid w:val="000C6A8E"/>
    <w:rsid w:val="000C6B4C"/>
    <w:rsid w:val="000C6B85"/>
    <w:rsid w:val="000C6F33"/>
    <w:rsid w:val="000C7108"/>
    <w:rsid w:val="000C7116"/>
    <w:rsid w:val="000C712B"/>
    <w:rsid w:val="000C7164"/>
    <w:rsid w:val="000C72CC"/>
    <w:rsid w:val="000C761A"/>
    <w:rsid w:val="000C76DD"/>
    <w:rsid w:val="000C7701"/>
    <w:rsid w:val="000C7A30"/>
    <w:rsid w:val="000C7AA8"/>
    <w:rsid w:val="000C7CA0"/>
    <w:rsid w:val="000C7CE0"/>
    <w:rsid w:val="000C7DB8"/>
    <w:rsid w:val="000C7DF3"/>
    <w:rsid w:val="000C7F31"/>
    <w:rsid w:val="000D003E"/>
    <w:rsid w:val="000D0200"/>
    <w:rsid w:val="000D06E8"/>
    <w:rsid w:val="000D06F8"/>
    <w:rsid w:val="000D0943"/>
    <w:rsid w:val="000D098B"/>
    <w:rsid w:val="000D0A2E"/>
    <w:rsid w:val="000D0C95"/>
    <w:rsid w:val="000D0E36"/>
    <w:rsid w:val="000D0F31"/>
    <w:rsid w:val="000D104E"/>
    <w:rsid w:val="000D1102"/>
    <w:rsid w:val="000D1800"/>
    <w:rsid w:val="000D1BB2"/>
    <w:rsid w:val="000D1D19"/>
    <w:rsid w:val="000D1F2A"/>
    <w:rsid w:val="000D20C9"/>
    <w:rsid w:val="000D21DC"/>
    <w:rsid w:val="000D220C"/>
    <w:rsid w:val="000D223A"/>
    <w:rsid w:val="000D22CB"/>
    <w:rsid w:val="000D264F"/>
    <w:rsid w:val="000D267D"/>
    <w:rsid w:val="000D2743"/>
    <w:rsid w:val="000D2AF6"/>
    <w:rsid w:val="000D2EE8"/>
    <w:rsid w:val="000D318B"/>
    <w:rsid w:val="000D32CE"/>
    <w:rsid w:val="000D335C"/>
    <w:rsid w:val="000D3435"/>
    <w:rsid w:val="000D3466"/>
    <w:rsid w:val="000D37DB"/>
    <w:rsid w:val="000D39B7"/>
    <w:rsid w:val="000D3B9D"/>
    <w:rsid w:val="000D3C9D"/>
    <w:rsid w:val="000D3CFF"/>
    <w:rsid w:val="000D441D"/>
    <w:rsid w:val="000D4438"/>
    <w:rsid w:val="000D499A"/>
    <w:rsid w:val="000D4C3A"/>
    <w:rsid w:val="000D4D7F"/>
    <w:rsid w:val="000D4F5E"/>
    <w:rsid w:val="000D5530"/>
    <w:rsid w:val="000D5558"/>
    <w:rsid w:val="000D5571"/>
    <w:rsid w:val="000D56F0"/>
    <w:rsid w:val="000D5735"/>
    <w:rsid w:val="000D5A7C"/>
    <w:rsid w:val="000D5CA2"/>
    <w:rsid w:val="000D5DF1"/>
    <w:rsid w:val="000D5F52"/>
    <w:rsid w:val="000D6684"/>
    <w:rsid w:val="000D6747"/>
    <w:rsid w:val="000D6AFB"/>
    <w:rsid w:val="000D6CCC"/>
    <w:rsid w:val="000D6E89"/>
    <w:rsid w:val="000D6ECB"/>
    <w:rsid w:val="000D6F52"/>
    <w:rsid w:val="000D7274"/>
    <w:rsid w:val="000D79AF"/>
    <w:rsid w:val="000D7C8D"/>
    <w:rsid w:val="000D7E09"/>
    <w:rsid w:val="000D7FA5"/>
    <w:rsid w:val="000D7FDF"/>
    <w:rsid w:val="000E0149"/>
    <w:rsid w:val="000E06BF"/>
    <w:rsid w:val="000E0AC7"/>
    <w:rsid w:val="000E0BA5"/>
    <w:rsid w:val="000E0D58"/>
    <w:rsid w:val="000E0FD3"/>
    <w:rsid w:val="000E1153"/>
    <w:rsid w:val="000E1200"/>
    <w:rsid w:val="000E14AB"/>
    <w:rsid w:val="000E160E"/>
    <w:rsid w:val="000E1617"/>
    <w:rsid w:val="000E1828"/>
    <w:rsid w:val="000E183C"/>
    <w:rsid w:val="000E18CE"/>
    <w:rsid w:val="000E1A29"/>
    <w:rsid w:val="000E1A63"/>
    <w:rsid w:val="000E1C18"/>
    <w:rsid w:val="000E20CA"/>
    <w:rsid w:val="000E21C0"/>
    <w:rsid w:val="000E21D6"/>
    <w:rsid w:val="000E2261"/>
    <w:rsid w:val="000E23B6"/>
    <w:rsid w:val="000E2556"/>
    <w:rsid w:val="000E2731"/>
    <w:rsid w:val="000E2993"/>
    <w:rsid w:val="000E2AB4"/>
    <w:rsid w:val="000E2BED"/>
    <w:rsid w:val="000E2CEC"/>
    <w:rsid w:val="000E2D05"/>
    <w:rsid w:val="000E303B"/>
    <w:rsid w:val="000E3129"/>
    <w:rsid w:val="000E3ACF"/>
    <w:rsid w:val="000E3E9A"/>
    <w:rsid w:val="000E3F25"/>
    <w:rsid w:val="000E4180"/>
    <w:rsid w:val="000E4277"/>
    <w:rsid w:val="000E43FE"/>
    <w:rsid w:val="000E4A07"/>
    <w:rsid w:val="000E4A5A"/>
    <w:rsid w:val="000E4B1B"/>
    <w:rsid w:val="000E4B9B"/>
    <w:rsid w:val="000E4BDC"/>
    <w:rsid w:val="000E4DC8"/>
    <w:rsid w:val="000E4EA4"/>
    <w:rsid w:val="000E5143"/>
    <w:rsid w:val="000E5196"/>
    <w:rsid w:val="000E5220"/>
    <w:rsid w:val="000E52BE"/>
    <w:rsid w:val="000E5457"/>
    <w:rsid w:val="000E555F"/>
    <w:rsid w:val="000E57B3"/>
    <w:rsid w:val="000E596B"/>
    <w:rsid w:val="000E5A55"/>
    <w:rsid w:val="000E5B28"/>
    <w:rsid w:val="000E5BC5"/>
    <w:rsid w:val="000E5F20"/>
    <w:rsid w:val="000E6065"/>
    <w:rsid w:val="000E641F"/>
    <w:rsid w:val="000E6468"/>
    <w:rsid w:val="000E64D9"/>
    <w:rsid w:val="000E6542"/>
    <w:rsid w:val="000E66CD"/>
    <w:rsid w:val="000E66F0"/>
    <w:rsid w:val="000E6A6A"/>
    <w:rsid w:val="000E6A93"/>
    <w:rsid w:val="000E6C4C"/>
    <w:rsid w:val="000E6CA2"/>
    <w:rsid w:val="000E6F93"/>
    <w:rsid w:val="000E70E2"/>
    <w:rsid w:val="000E71AE"/>
    <w:rsid w:val="000E71B4"/>
    <w:rsid w:val="000E7248"/>
    <w:rsid w:val="000E7250"/>
    <w:rsid w:val="000E7254"/>
    <w:rsid w:val="000E735E"/>
    <w:rsid w:val="000E7420"/>
    <w:rsid w:val="000E76D7"/>
    <w:rsid w:val="000E7784"/>
    <w:rsid w:val="000E7788"/>
    <w:rsid w:val="000E77D0"/>
    <w:rsid w:val="000E7950"/>
    <w:rsid w:val="000E7BA8"/>
    <w:rsid w:val="000E7BB0"/>
    <w:rsid w:val="000E7C94"/>
    <w:rsid w:val="000E7E25"/>
    <w:rsid w:val="000E7E77"/>
    <w:rsid w:val="000E7EFE"/>
    <w:rsid w:val="000F007A"/>
    <w:rsid w:val="000F00B3"/>
    <w:rsid w:val="000F054D"/>
    <w:rsid w:val="000F0882"/>
    <w:rsid w:val="000F09F4"/>
    <w:rsid w:val="000F0B04"/>
    <w:rsid w:val="000F0CD8"/>
    <w:rsid w:val="000F1051"/>
    <w:rsid w:val="000F119D"/>
    <w:rsid w:val="000F11D5"/>
    <w:rsid w:val="000F13FF"/>
    <w:rsid w:val="000F159A"/>
    <w:rsid w:val="000F16B1"/>
    <w:rsid w:val="000F16FC"/>
    <w:rsid w:val="000F1719"/>
    <w:rsid w:val="000F1730"/>
    <w:rsid w:val="000F1914"/>
    <w:rsid w:val="000F196C"/>
    <w:rsid w:val="000F1CFB"/>
    <w:rsid w:val="000F1DC7"/>
    <w:rsid w:val="000F204F"/>
    <w:rsid w:val="000F22A8"/>
    <w:rsid w:val="000F22B8"/>
    <w:rsid w:val="000F273D"/>
    <w:rsid w:val="000F282A"/>
    <w:rsid w:val="000F28A6"/>
    <w:rsid w:val="000F29EB"/>
    <w:rsid w:val="000F2BC6"/>
    <w:rsid w:val="000F2CD6"/>
    <w:rsid w:val="000F2D3F"/>
    <w:rsid w:val="000F2D64"/>
    <w:rsid w:val="000F2EF8"/>
    <w:rsid w:val="000F2F2B"/>
    <w:rsid w:val="000F2F61"/>
    <w:rsid w:val="000F2FA0"/>
    <w:rsid w:val="000F3025"/>
    <w:rsid w:val="000F326C"/>
    <w:rsid w:val="000F3290"/>
    <w:rsid w:val="000F32CE"/>
    <w:rsid w:val="000F340A"/>
    <w:rsid w:val="000F35FA"/>
    <w:rsid w:val="000F36BE"/>
    <w:rsid w:val="000F392F"/>
    <w:rsid w:val="000F3A34"/>
    <w:rsid w:val="000F3B98"/>
    <w:rsid w:val="000F3BAD"/>
    <w:rsid w:val="000F3CA0"/>
    <w:rsid w:val="000F3FAC"/>
    <w:rsid w:val="000F416B"/>
    <w:rsid w:val="000F460D"/>
    <w:rsid w:val="000F481E"/>
    <w:rsid w:val="000F4872"/>
    <w:rsid w:val="000F49B1"/>
    <w:rsid w:val="000F4A6C"/>
    <w:rsid w:val="000F4AB3"/>
    <w:rsid w:val="000F4CB0"/>
    <w:rsid w:val="000F4FB5"/>
    <w:rsid w:val="000F50FA"/>
    <w:rsid w:val="000F51A6"/>
    <w:rsid w:val="000F5664"/>
    <w:rsid w:val="000F589D"/>
    <w:rsid w:val="000F58EC"/>
    <w:rsid w:val="000F5A86"/>
    <w:rsid w:val="000F5DB3"/>
    <w:rsid w:val="000F5E23"/>
    <w:rsid w:val="000F5EDC"/>
    <w:rsid w:val="000F65D3"/>
    <w:rsid w:val="000F68BB"/>
    <w:rsid w:val="000F6E1C"/>
    <w:rsid w:val="000F7370"/>
    <w:rsid w:val="000F7452"/>
    <w:rsid w:val="000F7475"/>
    <w:rsid w:val="000F757D"/>
    <w:rsid w:val="000F76BC"/>
    <w:rsid w:val="000F7768"/>
    <w:rsid w:val="000F785D"/>
    <w:rsid w:val="000F7919"/>
    <w:rsid w:val="000F7974"/>
    <w:rsid w:val="000F79AC"/>
    <w:rsid w:val="000F7A0B"/>
    <w:rsid w:val="000F7A55"/>
    <w:rsid w:val="000F7ADA"/>
    <w:rsid w:val="000F7DAB"/>
    <w:rsid w:val="000F7E71"/>
    <w:rsid w:val="000F7E80"/>
    <w:rsid w:val="000F7FB0"/>
    <w:rsid w:val="00100077"/>
    <w:rsid w:val="001000B3"/>
    <w:rsid w:val="001000F7"/>
    <w:rsid w:val="00100141"/>
    <w:rsid w:val="001001AE"/>
    <w:rsid w:val="00100289"/>
    <w:rsid w:val="001002F1"/>
    <w:rsid w:val="00100489"/>
    <w:rsid w:val="0010093B"/>
    <w:rsid w:val="00100AFD"/>
    <w:rsid w:val="00100B03"/>
    <w:rsid w:val="00100BC8"/>
    <w:rsid w:val="00100C1A"/>
    <w:rsid w:val="00100CA4"/>
    <w:rsid w:val="001010D5"/>
    <w:rsid w:val="00101118"/>
    <w:rsid w:val="001011B9"/>
    <w:rsid w:val="00101279"/>
    <w:rsid w:val="0010133C"/>
    <w:rsid w:val="00101365"/>
    <w:rsid w:val="001015E8"/>
    <w:rsid w:val="00101844"/>
    <w:rsid w:val="001019EF"/>
    <w:rsid w:val="00101A56"/>
    <w:rsid w:val="00101AE0"/>
    <w:rsid w:val="00101F03"/>
    <w:rsid w:val="001022D8"/>
    <w:rsid w:val="001022F4"/>
    <w:rsid w:val="00102495"/>
    <w:rsid w:val="0010250D"/>
    <w:rsid w:val="001025CB"/>
    <w:rsid w:val="00102702"/>
    <w:rsid w:val="0010280B"/>
    <w:rsid w:val="001029C7"/>
    <w:rsid w:val="00102B39"/>
    <w:rsid w:val="00102C7B"/>
    <w:rsid w:val="00103188"/>
    <w:rsid w:val="0010326E"/>
    <w:rsid w:val="001033C7"/>
    <w:rsid w:val="00103441"/>
    <w:rsid w:val="001034E0"/>
    <w:rsid w:val="00103529"/>
    <w:rsid w:val="001037BE"/>
    <w:rsid w:val="00103859"/>
    <w:rsid w:val="00103E66"/>
    <w:rsid w:val="00103F18"/>
    <w:rsid w:val="00103F2E"/>
    <w:rsid w:val="0010402D"/>
    <w:rsid w:val="001041A4"/>
    <w:rsid w:val="001041EF"/>
    <w:rsid w:val="001043AF"/>
    <w:rsid w:val="001044A1"/>
    <w:rsid w:val="001047FB"/>
    <w:rsid w:val="00104970"/>
    <w:rsid w:val="00104F02"/>
    <w:rsid w:val="00105102"/>
    <w:rsid w:val="00105153"/>
    <w:rsid w:val="00105291"/>
    <w:rsid w:val="00105415"/>
    <w:rsid w:val="0010545F"/>
    <w:rsid w:val="00105522"/>
    <w:rsid w:val="00105602"/>
    <w:rsid w:val="001056B6"/>
    <w:rsid w:val="001057C8"/>
    <w:rsid w:val="00105A8C"/>
    <w:rsid w:val="00105CF0"/>
    <w:rsid w:val="00105D79"/>
    <w:rsid w:val="001062E8"/>
    <w:rsid w:val="001065FE"/>
    <w:rsid w:val="00106783"/>
    <w:rsid w:val="00106806"/>
    <w:rsid w:val="0010688C"/>
    <w:rsid w:val="00106B3B"/>
    <w:rsid w:val="00106C3D"/>
    <w:rsid w:val="00106C50"/>
    <w:rsid w:val="00106E2A"/>
    <w:rsid w:val="0010701B"/>
    <w:rsid w:val="0010710E"/>
    <w:rsid w:val="0010726E"/>
    <w:rsid w:val="00107324"/>
    <w:rsid w:val="00107505"/>
    <w:rsid w:val="001075FF"/>
    <w:rsid w:val="00107698"/>
    <w:rsid w:val="00107807"/>
    <w:rsid w:val="0010785D"/>
    <w:rsid w:val="00107993"/>
    <w:rsid w:val="00107A31"/>
    <w:rsid w:val="00107A77"/>
    <w:rsid w:val="00107A79"/>
    <w:rsid w:val="001104D9"/>
    <w:rsid w:val="00110556"/>
    <w:rsid w:val="0011083F"/>
    <w:rsid w:val="00110943"/>
    <w:rsid w:val="00110DB7"/>
    <w:rsid w:val="00110F49"/>
    <w:rsid w:val="00110FCD"/>
    <w:rsid w:val="001110B4"/>
    <w:rsid w:val="0011114D"/>
    <w:rsid w:val="001111DD"/>
    <w:rsid w:val="0011130D"/>
    <w:rsid w:val="001114CF"/>
    <w:rsid w:val="00111592"/>
    <w:rsid w:val="001116F2"/>
    <w:rsid w:val="001116F4"/>
    <w:rsid w:val="001118CE"/>
    <w:rsid w:val="0011204F"/>
    <w:rsid w:val="001121B4"/>
    <w:rsid w:val="001121B5"/>
    <w:rsid w:val="00112247"/>
    <w:rsid w:val="00112320"/>
    <w:rsid w:val="00112338"/>
    <w:rsid w:val="001124CA"/>
    <w:rsid w:val="001125E7"/>
    <w:rsid w:val="001126C9"/>
    <w:rsid w:val="00112731"/>
    <w:rsid w:val="00112807"/>
    <w:rsid w:val="00112BFB"/>
    <w:rsid w:val="00112CCE"/>
    <w:rsid w:val="00112DE2"/>
    <w:rsid w:val="00112EA5"/>
    <w:rsid w:val="0011301B"/>
    <w:rsid w:val="001132EB"/>
    <w:rsid w:val="001134A5"/>
    <w:rsid w:val="001135BF"/>
    <w:rsid w:val="00113630"/>
    <w:rsid w:val="0011394A"/>
    <w:rsid w:val="00113D34"/>
    <w:rsid w:val="00113EA5"/>
    <w:rsid w:val="00114110"/>
    <w:rsid w:val="001141EC"/>
    <w:rsid w:val="0011471A"/>
    <w:rsid w:val="00114C01"/>
    <w:rsid w:val="00114C73"/>
    <w:rsid w:val="00114D22"/>
    <w:rsid w:val="00114D4F"/>
    <w:rsid w:val="00114FBC"/>
    <w:rsid w:val="0011504A"/>
    <w:rsid w:val="00115216"/>
    <w:rsid w:val="00115B41"/>
    <w:rsid w:val="00115B87"/>
    <w:rsid w:val="00115CC1"/>
    <w:rsid w:val="00115EF8"/>
    <w:rsid w:val="001161D9"/>
    <w:rsid w:val="001161E9"/>
    <w:rsid w:val="001163CD"/>
    <w:rsid w:val="0011659B"/>
    <w:rsid w:val="0011676F"/>
    <w:rsid w:val="001167F9"/>
    <w:rsid w:val="00116C58"/>
    <w:rsid w:val="00116D14"/>
    <w:rsid w:val="00116FC0"/>
    <w:rsid w:val="001170F5"/>
    <w:rsid w:val="001171E7"/>
    <w:rsid w:val="001171FA"/>
    <w:rsid w:val="0011726E"/>
    <w:rsid w:val="001179AA"/>
    <w:rsid w:val="001179B6"/>
    <w:rsid w:val="00117A54"/>
    <w:rsid w:val="00117B3A"/>
    <w:rsid w:val="00117C20"/>
    <w:rsid w:val="00117C23"/>
    <w:rsid w:val="00117C99"/>
    <w:rsid w:val="00117FC2"/>
    <w:rsid w:val="0012035E"/>
    <w:rsid w:val="0012067F"/>
    <w:rsid w:val="00120713"/>
    <w:rsid w:val="00120789"/>
    <w:rsid w:val="001207BE"/>
    <w:rsid w:val="00120830"/>
    <w:rsid w:val="0012088A"/>
    <w:rsid w:val="00120A04"/>
    <w:rsid w:val="00120A17"/>
    <w:rsid w:val="00120AFA"/>
    <w:rsid w:val="00120B1C"/>
    <w:rsid w:val="00120B46"/>
    <w:rsid w:val="00120DBE"/>
    <w:rsid w:val="00120F3A"/>
    <w:rsid w:val="00120F56"/>
    <w:rsid w:val="00120F93"/>
    <w:rsid w:val="001211FD"/>
    <w:rsid w:val="0012134F"/>
    <w:rsid w:val="0012139B"/>
    <w:rsid w:val="00121408"/>
    <w:rsid w:val="001216CA"/>
    <w:rsid w:val="00121A8B"/>
    <w:rsid w:val="00121C13"/>
    <w:rsid w:val="00121CC1"/>
    <w:rsid w:val="00121CDD"/>
    <w:rsid w:val="00121EF8"/>
    <w:rsid w:val="001220E9"/>
    <w:rsid w:val="00122172"/>
    <w:rsid w:val="001223FD"/>
    <w:rsid w:val="0012286D"/>
    <w:rsid w:val="00122914"/>
    <w:rsid w:val="0012322E"/>
    <w:rsid w:val="0012330A"/>
    <w:rsid w:val="00123357"/>
    <w:rsid w:val="00123396"/>
    <w:rsid w:val="00123448"/>
    <w:rsid w:val="0012369B"/>
    <w:rsid w:val="001236B2"/>
    <w:rsid w:val="00123895"/>
    <w:rsid w:val="00123A04"/>
    <w:rsid w:val="00123A89"/>
    <w:rsid w:val="00123B1D"/>
    <w:rsid w:val="00123BEE"/>
    <w:rsid w:val="00123DC7"/>
    <w:rsid w:val="00123E73"/>
    <w:rsid w:val="00123FF4"/>
    <w:rsid w:val="001240AB"/>
    <w:rsid w:val="001241E5"/>
    <w:rsid w:val="00124200"/>
    <w:rsid w:val="0012424D"/>
    <w:rsid w:val="001242C2"/>
    <w:rsid w:val="00124387"/>
    <w:rsid w:val="0012442A"/>
    <w:rsid w:val="001244E0"/>
    <w:rsid w:val="001247AF"/>
    <w:rsid w:val="001247D4"/>
    <w:rsid w:val="001249EB"/>
    <w:rsid w:val="00124B33"/>
    <w:rsid w:val="00124CED"/>
    <w:rsid w:val="00124E19"/>
    <w:rsid w:val="00125098"/>
    <w:rsid w:val="0012512C"/>
    <w:rsid w:val="0012528B"/>
    <w:rsid w:val="001252A7"/>
    <w:rsid w:val="001253DA"/>
    <w:rsid w:val="00125483"/>
    <w:rsid w:val="0012548A"/>
    <w:rsid w:val="001254BC"/>
    <w:rsid w:val="00125512"/>
    <w:rsid w:val="00125519"/>
    <w:rsid w:val="00125579"/>
    <w:rsid w:val="00125604"/>
    <w:rsid w:val="0012571D"/>
    <w:rsid w:val="0012578D"/>
    <w:rsid w:val="001258C3"/>
    <w:rsid w:val="00125A42"/>
    <w:rsid w:val="00125AEB"/>
    <w:rsid w:val="00125C26"/>
    <w:rsid w:val="00125EC6"/>
    <w:rsid w:val="0012607B"/>
    <w:rsid w:val="001261B9"/>
    <w:rsid w:val="00126229"/>
    <w:rsid w:val="001262D6"/>
    <w:rsid w:val="001263D7"/>
    <w:rsid w:val="0012646D"/>
    <w:rsid w:val="00126521"/>
    <w:rsid w:val="00126749"/>
    <w:rsid w:val="001267D1"/>
    <w:rsid w:val="00126B0E"/>
    <w:rsid w:val="00126B1E"/>
    <w:rsid w:val="00126B36"/>
    <w:rsid w:val="00126B54"/>
    <w:rsid w:val="00126C9B"/>
    <w:rsid w:val="00127277"/>
    <w:rsid w:val="00127359"/>
    <w:rsid w:val="001276FF"/>
    <w:rsid w:val="00127769"/>
    <w:rsid w:val="00127C4F"/>
    <w:rsid w:val="001301D7"/>
    <w:rsid w:val="00130412"/>
    <w:rsid w:val="001305E3"/>
    <w:rsid w:val="00130692"/>
    <w:rsid w:val="001306F8"/>
    <w:rsid w:val="0013083C"/>
    <w:rsid w:val="0013083D"/>
    <w:rsid w:val="001309AC"/>
    <w:rsid w:val="001309C4"/>
    <w:rsid w:val="00130ACF"/>
    <w:rsid w:val="00130C0D"/>
    <w:rsid w:val="00130FB5"/>
    <w:rsid w:val="001312B0"/>
    <w:rsid w:val="001312BA"/>
    <w:rsid w:val="00131496"/>
    <w:rsid w:val="001316CA"/>
    <w:rsid w:val="00131887"/>
    <w:rsid w:val="00131A02"/>
    <w:rsid w:val="00131A30"/>
    <w:rsid w:val="00131A88"/>
    <w:rsid w:val="00131B4E"/>
    <w:rsid w:val="00131C9A"/>
    <w:rsid w:val="00131CCD"/>
    <w:rsid w:val="00131DCA"/>
    <w:rsid w:val="00131ECC"/>
    <w:rsid w:val="0013203D"/>
    <w:rsid w:val="001320D2"/>
    <w:rsid w:val="001320EF"/>
    <w:rsid w:val="001322B1"/>
    <w:rsid w:val="001322E5"/>
    <w:rsid w:val="001325B1"/>
    <w:rsid w:val="0013266A"/>
    <w:rsid w:val="00132672"/>
    <w:rsid w:val="00132848"/>
    <w:rsid w:val="00132A8B"/>
    <w:rsid w:val="00132B64"/>
    <w:rsid w:val="00132BE7"/>
    <w:rsid w:val="00132D9A"/>
    <w:rsid w:val="00132E5A"/>
    <w:rsid w:val="00132EA3"/>
    <w:rsid w:val="001330CE"/>
    <w:rsid w:val="0013346E"/>
    <w:rsid w:val="001334C9"/>
    <w:rsid w:val="00133732"/>
    <w:rsid w:val="00133A4F"/>
    <w:rsid w:val="00133A63"/>
    <w:rsid w:val="00133C72"/>
    <w:rsid w:val="00133E21"/>
    <w:rsid w:val="00133F68"/>
    <w:rsid w:val="00133FAB"/>
    <w:rsid w:val="00134439"/>
    <w:rsid w:val="00134839"/>
    <w:rsid w:val="00134B9D"/>
    <w:rsid w:val="00134C2D"/>
    <w:rsid w:val="00134CD3"/>
    <w:rsid w:val="00134F34"/>
    <w:rsid w:val="0013503C"/>
    <w:rsid w:val="001352E6"/>
    <w:rsid w:val="001353CD"/>
    <w:rsid w:val="0013557F"/>
    <w:rsid w:val="00135591"/>
    <w:rsid w:val="001357CE"/>
    <w:rsid w:val="00135951"/>
    <w:rsid w:val="001359CA"/>
    <w:rsid w:val="00135C81"/>
    <w:rsid w:val="00135E33"/>
    <w:rsid w:val="00135FBD"/>
    <w:rsid w:val="001361FA"/>
    <w:rsid w:val="0013627B"/>
    <w:rsid w:val="00136357"/>
    <w:rsid w:val="00136532"/>
    <w:rsid w:val="0013655E"/>
    <w:rsid w:val="001365FD"/>
    <w:rsid w:val="00136C71"/>
    <w:rsid w:val="00136C7E"/>
    <w:rsid w:val="00136DC3"/>
    <w:rsid w:val="00136EDB"/>
    <w:rsid w:val="00136F2C"/>
    <w:rsid w:val="00137120"/>
    <w:rsid w:val="00137195"/>
    <w:rsid w:val="0013726C"/>
    <w:rsid w:val="00137414"/>
    <w:rsid w:val="0013746D"/>
    <w:rsid w:val="0013750D"/>
    <w:rsid w:val="00137581"/>
    <w:rsid w:val="001377F2"/>
    <w:rsid w:val="00137A74"/>
    <w:rsid w:val="00137A81"/>
    <w:rsid w:val="00137E96"/>
    <w:rsid w:val="0014009A"/>
    <w:rsid w:val="0014011B"/>
    <w:rsid w:val="00140324"/>
    <w:rsid w:val="001404CB"/>
    <w:rsid w:val="001407E2"/>
    <w:rsid w:val="0014082B"/>
    <w:rsid w:val="001408A8"/>
    <w:rsid w:val="00140B79"/>
    <w:rsid w:val="00140DCA"/>
    <w:rsid w:val="00140F21"/>
    <w:rsid w:val="0014185A"/>
    <w:rsid w:val="00141BA2"/>
    <w:rsid w:val="00141FEF"/>
    <w:rsid w:val="00142268"/>
    <w:rsid w:val="0014264B"/>
    <w:rsid w:val="001427D7"/>
    <w:rsid w:val="001429DE"/>
    <w:rsid w:val="001429F6"/>
    <w:rsid w:val="00142A52"/>
    <w:rsid w:val="00142C68"/>
    <w:rsid w:val="00142C6A"/>
    <w:rsid w:val="001433FD"/>
    <w:rsid w:val="00143495"/>
    <w:rsid w:val="00143537"/>
    <w:rsid w:val="0014358E"/>
    <w:rsid w:val="001435DF"/>
    <w:rsid w:val="00143625"/>
    <w:rsid w:val="0014382C"/>
    <w:rsid w:val="001438A6"/>
    <w:rsid w:val="001439DC"/>
    <w:rsid w:val="00143BAD"/>
    <w:rsid w:val="00143E5A"/>
    <w:rsid w:val="00143F50"/>
    <w:rsid w:val="00144052"/>
    <w:rsid w:val="001440AC"/>
    <w:rsid w:val="001440F4"/>
    <w:rsid w:val="00144183"/>
    <w:rsid w:val="00144305"/>
    <w:rsid w:val="0014438E"/>
    <w:rsid w:val="00144405"/>
    <w:rsid w:val="001446D1"/>
    <w:rsid w:val="00144734"/>
    <w:rsid w:val="00144789"/>
    <w:rsid w:val="001449ED"/>
    <w:rsid w:val="00144A4C"/>
    <w:rsid w:val="00144A61"/>
    <w:rsid w:val="00144D87"/>
    <w:rsid w:val="00144E03"/>
    <w:rsid w:val="0014502F"/>
    <w:rsid w:val="00145123"/>
    <w:rsid w:val="0014512A"/>
    <w:rsid w:val="001451B7"/>
    <w:rsid w:val="00145374"/>
    <w:rsid w:val="0014562C"/>
    <w:rsid w:val="0014581C"/>
    <w:rsid w:val="00146391"/>
    <w:rsid w:val="00146417"/>
    <w:rsid w:val="00146570"/>
    <w:rsid w:val="00146681"/>
    <w:rsid w:val="001466D3"/>
    <w:rsid w:val="00146734"/>
    <w:rsid w:val="00146B9A"/>
    <w:rsid w:val="00146F6C"/>
    <w:rsid w:val="0014703F"/>
    <w:rsid w:val="00147042"/>
    <w:rsid w:val="00147164"/>
    <w:rsid w:val="001471FD"/>
    <w:rsid w:val="00147456"/>
    <w:rsid w:val="00147544"/>
    <w:rsid w:val="00147554"/>
    <w:rsid w:val="0014769B"/>
    <w:rsid w:val="001477D0"/>
    <w:rsid w:val="0014786B"/>
    <w:rsid w:val="0014794D"/>
    <w:rsid w:val="001479C1"/>
    <w:rsid w:val="00147A03"/>
    <w:rsid w:val="00147A8B"/>
    <w:rsid w:val="00147B11"/>
    <w:rsid w:val="00147CA8"/>
    <w:rsid w:val="00150212"/>
    <w:rsid w:val="0015047E"/>
    <w:rsid w:val="00150545"/>
    <w:rsid w:val="001506FB"/>
    <w:rsid w:val="001509BD"/>
    <w:rsid w:val="00150A9A"/>
    <w:rsid w:val="00150AC6"/>
    <w:rsid w:val="00150DD0"/>
    <w:rsid w:val="00150E1B"/>
    <w:rsid w:val="00150F75"/>
    <w:rsid w:val="00150FF5"/>
    <w:rsid w:val="0015102D"/>
    <w:rsid w:val="00151054"/>
    <w:rsid w:val="00151103"/>
    <w:rsid w:val="001511A7"/>
    <w:rsid w:val="00151278"/>
    <w:rsid w:val="0015149C"/>
    <w:rsid w:val="00151569"/>
    <w:rsid w:val="0015168E"/>
    <w:rsid w:val="0015188C"/>
    <w:rsid w:val="00151978"/>
    <w:rsid w:val="00151AF1"/>
    <w:rsid w:val="00151B06"/>
    <w:rsid w:val="00151B58"/>
    <w:rsid w:val="00151E5A"/>
    <w:rsid w:val="00152105"/>
    <w:rsid w:val="0015221C"/>
    <w:rsid w:val="001522AD"/>
    <w:rsid w:val="001522C8"/>
    <w:rsid w:val="001524BB"/>
    <w:rsid w:val="00152727"/>
    <w:rsid w:val="00152BDC"/>
    <w:rsid w:val="00152C18"/>
    <w:rsid w:val="00152E0B"/>
    <w:rsid w:val="001534CE"/>
    <w:rsid w:val="001535B4"/>
    <w:rsid w:val="001536F1"/>
    <w:rsid w:val="00153793"/>
    <w:rsid w:val="001537C2"/>
    <w:rsid w:val="00153860"/>
    <w:rsid w:val="00153911"/>
    <w:rsid w:val="00153C12"/>
    <w:rsid w:val="00153DED"/>
    <w:rsid w:val="00154391"/>
    <w:rsid w:val="00154699"/>
    <w:rsid w:val="00154875"/>
    <w:rsid w:val="00154D4E"/>
    <w:rsid w:val="00154FD9"/>
    <w:rsid w:val="00155092"/>
    <w:rsid w:val="00155127"/>
    <w:rsid w:val="0015522D"/>
    <w:rsid w:val="0015525A"/>
    <w:rsid w:val="00155305"/>
    <w:rsid w:val="00155452"/>
    <w:rsid w:val="0015568F"/>
    <w:rsid w:val="00155798"/>
    <w:rsid w:val="00155857"/>
    <w:rsid w:val="001558B8"/>
    <w:rsid w:val="00155B29"/>
    <w:rsid w:val="00155C2B"/>
    <w:rsid w:val="00155C81"/>
    <w:rsid w:val="00155CF5"/>
    <w:rsid w:val="00155D29"/>
    <w:rsid w:val="00155DC5"/>
    <w:rsid w:val="0015604F"/>
    <w:rsid w:val="0015608C"/>
    <w:rsid w:val="001562CB"/>
    <w:rsid w:val="001563A8"/>
    <w:rsid w:val="001563DA"/>
    <w:rsid w:val="0015647B"/>
    <w:rsid w:val="00156559"/>
    <w:rsid w:val="0015696E"/>
    <w:rsid w:val="00156B3F"/>
    <w:rsid w:val="00157103"/>
    <w:rsid w:val="0015710C"/>
    <w:rsid w:val="001573BF"/>
    <w:rsid w:val="00157700"/>
    <w:rsid w:val="00157990"/>
    <w:rsid w:val="00157E56"/>
    <w:rsid w:val="001602BD"/>
    <w:rsid w:val="00160340"/>
    <w:rsid w:val="00160544"/>
    <w:rsid w:val="001605A5"/>
    <w:rsid w:val="00160AEB"/>
    <w:rsid w:val="00160B77"/>
    <w:rsid w:val="00160D3F"/>
    <w:rsid w:val="00160ECB"/>
    <w:rsid w:val="00160F0A"/>
    <w:rsid w:val="00160F83"/>
    <w:rsid w:val="00161059"/>
    <w:rsid w:val="0016105E"/>
    <w:rsid w:val="001611D1"/>
    <w:rsid w:val="001612EC"/>
    <w:rsid w:val="0016197B"/>
    <w:rsid w:val="001619E0"/>
    <w:rsid w:val="00161C31"/>
    <w:rsid w:val="00161FF5"/>
    <w:rsid w:val="00162262"/>
    <w:rsid w:val="00162280"/>
    <w:rsid w:val="0016236F"/>
    <w:rsid w:val="00162474"/>
    <w:rsid w:val="00162754"/>
    <w:rsid w:val="001629DA"/>
    <w:rsid w:val="00162B0C"/>
    <w:rsid w:val="00162B5C"/>
    <w:rsid w:val="00162C18"/>
    <w:rsid w:val="00162CB0"/>
    <w:rsid w:val="00162DBF"/>
    <w:rsid w:val="00162F39"/>
    <w:rsid w:val="00162F46"/>
    <w:rsid w:val="00162F7F"/>
    <w:rsid w:val="00163065"/>
    <w:rsid w:val="001632B0"/>
    <w:rsid w:val="001634E3"/>
    <w:rsid w:val="001634E7"/>
    <w:rsid w:val="0016370C"/>
    <w:rsid w:val="00163ACD"/>
    <w:rsid w:val="00163CB2"/>
    <w:rsid w:val="00164082"/>
    <w:rsid w:val="00164104"/>
    <w:rsid w:val="00164319"/>
    <w:rsid w:val="0016446F"/>
    <w:rsid w:val="00164556"/>
    <w:rsid w:val="00164803"/>
    <w:rsid w:val="00164A68"/>
    <w:rsid w:val="00164B1A"/>
    <w:rsid w:val="00164C5A"/>
    <w:rsid w:val="00164D45"/>
    <w:rsid w:val="00164E28"/>
    <w:rsid w:val="00164F5C"/>
    <w:rsid w:val="00164F90"/>
    <w:rsid w:val="00164FA9"/>
    <w:rsid w:val="0016510E"/>
    <w:rsid w:val="00165285"/>
    <w:rsid w:val="001652E0"/>
    <w:rsid w:val="00165599"/>
    <w:rsid w:val="001655D9"/>
    <w:rsid w:val="00165767"/>
    <w:rsid w:val="001657EF"/>
    <w:rsid w:val="00165836"/>
    <w:rsid w:val="00165890"/>
    <w:rsid w:val="00165B7F"/>
    <w:rsid w:val="00165C41"/>
    <w:rsid w:val="00165CCB"/>
    <w:rsid w:val="00165D93"/>
    <w:rsid w:val="00165E3C"/>
    <w:rsid w:val="00165EDD"/>
    <w:rsid w:val="00165FEC"/>
    <w:rsid w:val="00166197"/>
    <w:rsid w:val="001661FB"/>
    <w:rsid w:val="00166291"/>
    <w:rsid w:val="001668AE"/>
    <w:rsid w:val="00166B7E"/>
    <w:rsid w:val="00166E96"/>
    <w:rsid w:val="001672AB"/>
    <w:rsid w:val="001674BA"/>
    <w:rsid w:val="0016761D"/>
    <w:rsid w:val="001677EE"/>
    <w:rsid w:val="00167843"/>
    <w:rsid w:val="0016784D"/>
    <w:rsid w:val="001678EA"/>
    <w:rsid w:val="00167B85"/>
    <w:rsid w:val="00167D33"/>
    <w:rsid w:val="00167DC5"/>
    <w:rsid w:val="00167E2A"/>
    <w:rsid w:val="00167EC9"/>
    <w:rsid w:val="00170239"/>
    <w:rsid w:val="0017023D"/>
    <w:rsid w:val="00170361"/>
    <w:rsid w:val="001706D8"/>
    <w:rsid w:val="001708AB"/>
    <w:rsid w:val="00170A0F"/>
    <w:rsid w:val="00170D02"/>
    <w:rsid w:val="00170DDA"/>
    <w:rsid w:val="00170DE0"/>
    <w:rsid w:val="00170E19"/>
    <w:rsid w:val="00170ED9"/>
    <w:rsid w:val="001711AF"/>
    <w:rsid w:val="001713AF"/>
    <w:rsid w:val="00171520"/>
    <w:rsid w:val="0017169C"/>
    <w:rsid w:val="001716A4"/>
    <w:rsid w:val="001717A9"/>
    <w:rsid w:val="00171857"/>
    <w:rsid w:val="001719B8"/>
    <w:rsid w:val="00171ABB"/>
    <w:rsid w:val="00171B6D"/>
    <w:rsid w:val="001720EB"/>
    <w:rsid w:val="00172356"/>
    <w:rsid w:val="001723AC"/>
    <w:rsid w:val="00172401"/>
    <w:rsid w:val="001725C9"/>
    <w:rsid w:val="001726D1"/>
    <w:rsid w:val="0017290B"/>
    <w:rsid w:val="00172910"/>
    <w:rsid w:val="00172962"/>
    <w:rsid w:val="0017297A"/>
    <w:rsid w:val="00172D52"/>
    <w:rsid w:val="00172E2F"/>
    <w:rsid w:val="00173464"/>
    <w:rsid w:val="0017349E"/>
    <w:rsid w:val="001734A2"/>
    <w:rsid w:val="00173572"/>
    <w:rsid w:val="00173828"/>
    <w:rsid w:val="00173B9E"/>
    <w:rsid w:val="00173C32"/>
    <w:rsid w:val="00174442"/>
    <w:rsid w:val="001744C1"/>
    <w:rsid w:val="00174575"/>
    <w:rsid w:val="001745D4"/>
    <w:rsid w:val="001745DD"/>
    <w:rsid w:val="00174821"/>
    <w:rsid w:val="001748DF"/>
    <w:rsid w:val="00174CFF"/>
    <w:rsid w:val="00174EDA"/>
    <w:rsid w:val="00175047"/>
    <w:rsid w:val="001750CC"/>
    <w:rsid w:val="0017528A"/>
    <w:rsid w:val="00175493"/>
    <w:rsid w:val="00175496"/>
    <w:rsid w:val="0017577A"/>
    <w:rsid w:val="0017585D"/>
    <w:rsid w:val="00175D5B"/>
    <w:rsid w:val="00175D79"/>
    <w:rsid w:val="00175E00"/>
    <w:rsid w:val="00176159"/>
    <w:rsid w:val="001768AA"/>
    <w:rsid w:val="0017690A"/>
    <w:rsid w:val="0017695E"/>
    <w:rsid w:val="001769E4"/>
    <w:rsid w:val="00176B78"/>
    <w:rsid w:val="00176C36"/>
    <w:rsid w:val="00176C81"/>
    <w:rsid w:val="00176CBA"/>
    <w:rsid w:val="00176CE8"/>
    <w:rsid w:val="00176D35"/>
    <w:rsid w:val="00176D42"/>
    <w:rsid w:val="00176D7D"/>
    <w:rsid w:val="00176E28"/>
    <w:rsid w:val="00176FAD"/>
    <w:rsid w:val="0017725E"/>
    <w:rsid w:val="001777E2"/>
    <w:rsid w:val="001777F4"/>
    <w:rsid w:val="0017790C"/>
    <w:rsid w:val="001779FA"/>
    <w:rsid w:val="00177CA6"/>
    <w:rsid w:val="00177D36"/>
    <w:rsid w:val="001800EB"/>
    <w:rsid w:val="00180306"/>
    <w:rsid w:val="0018040E"/>
    <w:rsid w:val="0018046F"/>
    <w:rsid w:val="001805A1"/>
    <w:rsid w:val="001806C8"/>
    <w:rsid w:val="0018077C"/>
    <w:rsid w:val="00180900"/>
    <w:rsid w:val="00180B15"/>
    <w:rsid w:val="00180E01"/>
    <w:rsid w:val="00180F20"/>
    <w:rsid w:val="00181026"/>
    <w:rsid w:val="0018109A"/>
    <w:rsid w:val="0018169F"/>
    <w:rsid w:val="001816E5"/>
    <w:rsid w:val="00181A49"/>
    <w:rsid w:val="00181AFF"/>
    <w:rsid w:val="00181B74"/>
    <w:rsid w:val="00181C16"/>
    <w:rsid w:val="00181D02"/>
    <w:rsid w:val="00181EA3"/>
    <w:rsid w:val="00181F20"/>
    <w:rsid w:val="001821EF"/>
    <w:rsid w:val="0018239D"/>
    <w:rsid w:val="00182879"/>
    <w:rsid w:val="001829BF"/>
    <w:rsid w:val="00182A05"/>
    <w:rsid w:val="00182AB2"/>
    <w:rsid w:val="00182D3F"/>
    <w:rsid w:val="0018322C"/>
    <w:rsid w:val="001833DF"/>
    <w:rsid w:val="0018341B"/>
    <w:rsid w:val="0018354A"/>
    <w:rsid w:val="001835AD"/>
    <w:rsid w:val="0018367B"/>
    <w:rsid w:val="0018368B"/>
    <w:rsid w:val="001838A4"/>
    <w:rsid w:val="001838C1"/>
    <w:rsid w:val="00183942"/>
    <w:rsid w:val="00183958"/>
    <w:rsid w:val="00183C45"/>
    <w:rsid w:val="00183D07"/>
    <w:rsid w:val="00183F87"/>
    <w:rsid w:val="001844D3"/>
    <w:rsid w:val="00184534"/>
    <w:rsid w:val="0018476F"/>
    <w:rsid w:val="00184D43"/>
    <w:rsid w:val="00184DE4"/>
    <w:rsid w:val="00184EF4"/>
    <w:rsid w:val="00184F58"/>
    <w:rsid w:val="00184F8A"/>
    <w:rsid w:val="00184FEC"/>
    <w:rsid w:val="00185014"/>
    <w:rsid w:val="00185030"/>
    <w:rsid w:val="00185099"/>
    <w:rsid w:val="00185327"/>
    <w:rsid w:val="00185386"/>
    <w:rsid w:val="001853B8"/>
    <w:rsid w:val="00185805"/>
    <w:rsid w:val="00185B61"/>
    <w:rsid w:val="00185DE9"/>
    <w:rsid w:val="00185EAD"/>
    <w:rsid w:val="00185ED7"/>
    <w:rsid w:val="00186106"/>
    <w:rsid w:val="00186177"/>
    <w:rsid w:val="0018644F"/>
    <w:rsid w:val="00186454"/>
    <w:rsid w:val="00186721"/>
    <w:rsid w:val="00186755"/>
    <w:rsid w:val="001870E2"/>
    <w:rsid w:val="00187557"/>
    <w:rsid w:val="001875B0"/>
    <w:rsid w:val="00187672"/>
    <w:rsid w:val="001878B5"/>
    <w:rsid w:val="00187CEC"/>
    <w:rsid w:val="0019016E"/>
    <w:rsid w:val="001901DB"/>
    <w:rsid w:val="001902E4"/>
    <w:rsid w:val="0019059E"/>
    <w:rsid w:val="001905EC"/>
    <w:rsid w:val="00190CD2"/>
    <w:rsid w:val="00191228"/>
    <w:rsid w:val="001913AB"/>
    <w:rsid w:val="001915AA"/>
    <w:rsid w:val="00191945"/>
    <w:rsid w:val="001919A6"/>
    <w:rsid w:val="001919D5"/>
    <w:rsid w:val="001919D9"/>
    <w:rsid w:val="00191BFC"/>
    <w:rsid w:val="00191C19"/>
    <w:rsid w:val="00191C56"/>
    <w:rsid w:val="00191C79"/>
    <w:rsid w:val="00191D35"/>
    <w:rsid w:val="00191E71"/>
    <w:rsid w:val="001920B9"/>
    <w:rsid w:val="001920C5"/>
    <w:rsid w:val="00192116"/>
    <w:rsid w:val="001921EF"/>
    <w:rsid w:val="00192299"/>
    <w:rsid w:val="00192370"/>
    <w:rsid w:val="00192923"/>
    <w:rsid w:val="00192A2D"/>
    <w:rsid w:val="00192D36"/>
    <w:rsid w:val="00192EC4"/>
    <w:rsid w:val="00192ED6"/>
    <w:rsid w:val="00193071"/>
    <w:rsid w:val="001930B3"/>
    <w:rsid w:val="001930CA"/>
    <w:rsid w:val="0019323B"/>
    <w:rsid w:val="00193796"/>
    <w:rsid w:val="00193852"/>
    <w:rsid w:val="0019388D"/>
    <w:rsid w:val="00193954"/>
    <w:rsid w:val="0019396C"/>
    <w:rsid w:val="00193A07"/>
    <w:rsid w:val="00193C2F"/>
    <w:rsid w:val="00193D96"/>
    <w:rsid w:val="00193FD7"/>
    <w:rsid w:val="0019446E"/>
    <w:rsid w:val="001946F9"/>
    <w:rsid w:val="00194860"/>
    <w:rsid w:val="001949DC"/>
    <w:rsid w:val="00194A43"/>
    <w:rsid w:val="00194BBA"/>
    <w:rsid w:val="00194BC6"/>
    <w:rsid w:val="00194CF8"/>
    <w:rsid w:val="00194F1B"/>
    <w:rsid w:val="001950DD"/>
    <w:rsid w:val="0019543E"/>
    <w:rsid w:val="00195456"/>
    <w:rsid w:val="001957D3"/>
    <w:rsid w:val="001958F9"/>
    <w:rsid w:val="00195995"/>
    <w:rsid w:val="00195BBE"/>
    <w:rsid w:val="00195D3B"/>
    <w:rsid w:val="00195DBC"/>
    <w:rsid w:val="00195E9F"/>
    <w:rsid w:val="00196048"/>
    <w:rsid w:val="00196326"/>
    <w:rsid w:val="00196348"/>
    <w:rsid w:val="0019642D"/>
    <w:rsid w:val="001964A0"/>
    <w:rsid w:val="001964E4"/>
    <w:rsid w:val="00196665"/>
    <w:rsid w:val="0019687B"/>
    <w:rsid w:val="001969A7"/>
    <w:rsid w:val="00196A6A"/>
    <w:rsid w:val="00196C15"/>
    <w:rsid w:val="00196D1E"/>
    <w:rsid w:val="00196ECE"/>
    <w:rsid w:val="00196F97"/>
    <w:rsid w:val="0019726F"/>
    <w:rsid w:val="00197443"/>
    <w:rsid w:val="0019763D"/>
    <w:rsid w:val="0019766A"/>
    <w:rsid w:val="00197806"/>
    <w:rsid w:val="00197993"/>
    <w:rsid w:val="00197ADD"/>
    <w:rsid w:val="00197B48"/>
    <w:rsid w:val="00197C93"/>
    <w:rsid w:val="00197CC3"/>
    <w:rsid w:val="001A00B7"/>
    <w:rsid w:val="001A01DB"/>
    <w:rsid w:val="001A055E"/>
    <w:rsid w:val="001A065B"/>
    <w:rsid w:val="001A0759"/>
    <w:rsid w:val="001A0EC6"/>
    <w:rsid w:val="001A0ED1"/>
    <w:rsid w:val="001A0EE4"/>
    <w:rsid w:val="001A1230"/>
    <w:rsid w:val="001A1262"/>
    <w:rsid w:val="001A1499"/>
    <w:rsid w:val="001A1587"/>
    <w:rsid w:val="001A15ED"/>
    <w:rsid w:val="001A1742"/>
    <w:rsid w:val="001A1A82"/>
    <w:rsid w:val="001A1E1A"/>
    <w:rsid w:val="001A1EEA"/>
    <w:rsid w:val="001A1F8E"/>
    <w:rsid w:val="001A207B"/>
    <w:rsid w:val="001A24A1"/>
    <w:rsid w:val="001A24D1"/>
    <w:rsid w:val="001A27A0"/>
    <w:rsid w:val="001A27EA"/>
    <w:rsid w:val="001A282B"/>
    <w:rsid w:val="001A2BE5"/>
    <w:rsid w:val="001A2C9C"/>
    <w:rsid w:val="001A2E9B"/>
    <w:rsid w:val="001A30E0"/>
    <w:rsid w:val="001A3196"/>
    <w:rsid w:val="001A31EE"/>
    <w:rsid w:val="001A3480"/>
    <w:rsid w:val="001A3560"/>
    <w:rsid w:val="001A3632"/>
    <w:rsid w:val="001A3713"/>
    <w:rsid w:val="001A3A46"/>
    <w:rsid w:val="001A3E02"/>
    <w:rsid w:val="001A3E44"/>
    <w:rsid w:val="001A4264"/>
    <w:rsid w:val="001A4396"/>
    <w:rsid w:val="001A46A4"/>
    <w:rsid w:val="001A47FC"/>
    <w:rsid w:val="001A48F3"/>
    <w:rsid w:val="001A4938"/>
    <w:rsid w:val="001A4B5F"/>
    <w:rsid w:val="001A4BA3"/>
    <w:rsid w:val="001A4C56"/>
    <w:rsid w:val="001A4EC6"/>
    <w:rsid w:val="001A4EDE"/>
    <w:rsid w:val="001A4F35"/>
    <w:rsid w:val="001A4F69"/>
    <w:rsid w:val="001A524F"/>
    <w:rsid w:val="001A52E4"/>
    <w:rsid w:val="001A535D"/>
    <w:rsid w:val="001A5362"/>
    <w:rsid w:val="001A58C8"/>
    <w:rsid w:val="001A5941"/>
    <w:rsid w:val="001A59E2"/>
    <w:rsid w:val="001A5AFA"/>
    <w:rsid w:val="001A5B1E"/>
    <w:rsid w:val="001A5C2E"/>
    <w:rsid w:val="001A5D57"/>
    <w:rsid w:val="001A5D6D"/>
    <w:rsid w:val="001A5FA0"/>
    <w:rsid w:val="001A60F8"/>
    <w:rsid w:val="001A6296"/>
    <w:rsid w:val="001A62AC"/>
    <w:rsid w:val="001A6731"/>
    <w:rsid w:val="001A68B2"/>
    <w:rsid w:val="001A68B6"/>
    <w:rsid w:val="001A6D6F"/>
    <w:rsid w:val="001A6E97"/>
    <w:rsid w:val="001A716E"/>
    <w:rsid w:val="001A7183"/>
    <w:rsid w:val="001A77FB"/>
    <w:rsid w:val="001A7927"/>
    <w:rsid w:val="001A79B3"/>
    <w:rsid w:val="001A7BC3"/>
    <w:rsid w:val="001A7F42"/>
    <w:rsid w:val="001B01BE"/>
    <w:rsid w:val="001B0271"/>
    <w:rsid w:val="001B0296"/>
    <w:rsid w:val="001B03C6"/>
    <w:rsid w:val="001B042D"/>
    <w:rsid w:val="001B04A2"/>
    <w:rsid w:val="001B0510"/>
    <w:rsid w:val="001B0645"/>
    <w:rsid w:val="001B0A31"/>
    <w:rsid w:val="001B0ABB"/>
    <w:rsid w:val="001B0F6B"/>
    <w:rsid w:val="001B131E"/>
    <w:rsid w:val="001B13B6"/>
    <w:rsid w:val="001B1480"/>
    <w:rsid w:val="001B15A9"/>
    <w:rsid w:val="001B15E8"/>
    <w:rsid w:val="001B16EC"/>
    <w:rsid w:val="001B1737"/>
    <w:rsid w:val="001B188E"/>
    <w:rsid w:val="001B19C5"/>
    <w:rsid w:val="001B1A0D"/>
    <w:rsid w:val="001B1BB1"/>
    <w:rsid w:val="001B1EE0"/>
    <w:rsid w:val="001B2606"/>
    <w:rsid w:val="001B285D"/>
    <w:rsid w:val="001B28DD"/>
    <w:rsid w:val="001B29DE"/>
    <w:rsid w:val="001B2B05"/>
    <w:rsid w:val="001B2E80"/>
    <w:rsid w:val="001B2FE7"/>
    <w:rsid w:val="001B3376"/>
    <w:rsid w:val="001B369F"/>
    <w:rsid w:val="001B370E"/>
    <w:rsid w:val="001B380A"/>
    <w:rsid w:val="001B38B8"/>
    <w:rsid w:val="001B38F4"/>
    <w:rsid w:val="001B3A0E"/>
    <w:rsid w:val="001B3B55"/>
    <w:rsid w:val="001B3CCA"/>
    <w:rsid w:val="001B3D4F"/>
    <w:rsid w:val="001B3DB8"/>
    <w:rsid w:val="001B3E22"/>
    <w:rsid w:val="001B4095"/>
    <w:rsid w:val="001B40E8"/>
    <w:rsid w:val="001B4110"/>
    <w:rsid w:val="001B418B"/>
    <w:rsid w:val="001B423A"/>
    <w:rsid w:val="001B426A"/>
    <w:rsid w:val="001B4276"/>
    <w:rsid w:val="001B4907"/>
    <w:rsid w:val="001B493D"/>
    <w:rsid w:val="001B4E92"/>
    <w:rsid w:val="001B5162"/>
    <w:rsid w:val="001B51DD"/>
    <w:rsid w:val="001B5320"/>
    <w:rsid w:val="001B53FE"/>
    <w:rsid w:val="001B5406"/>
    <w:rsid w:val="001B5469"/>
    <w:rsid w:val="001B54AA"/>
    <w:rsid w:val="001B54C8"/>
    <w:rsid w:val="001B5512"/>
    <w:rsid w:val="001B5546"/>
    <w:rsid w:val="001B5551"/>
    <w:rsid w:val="001B579A"/>
    <w:rsid w:val="001B6032"/>
    <w:rsid w:val="001B626D"/>
    <w:rsid w:val="001B627B"/>
    <w:rsid w:val="001B6471"/>
    <w:rsid w:val="001B662D"/>
    <w:rsid w:val="001B6C80"/>
    <w:rsid w:val="001B7198"/>
    <w:rsid w:val="001B727B"/>
    <w:rsid w:val="001B7532"/>
    <w:rsid w:val="001B758A"/>
    <w:rsid w:val="001B75F2"/>
    <w:rsid w:val="001B76B6"/>
    <w:rsid w:val="001B77C2"/>
    <w:rsid w:val="001B77F9"/>
    <w:rsid w:val="001B791C"/>
    <w:rsid w:val="001B7BD0"/>
    <w:rsid w:val="001B7DB5"/>
    <w:rsid w:val="001C000D"/>
    <w:rsid w:val="001C024B"/>
    <w:rsid w:val="001C02AC"/>
    <w:rsid w:val="001C02D9"/>
    <w:rsid w:val="001C0408"/>
    <w:rsid w:val="001C0811"/>
    <w:rsid w:val="001C0A9B"/>
    <w:rsid w:val="001C0B18"/>
    <w:rsid w:val="001C0D15"/>
    <w:rsid w:val="001C0D75"/>
    <w:rsid w:val="001C10B2"/>
    <w:rsid w:val="001C11D8"/>
    <w:rsid w:val="001C1278"/>
    <w:rsid w:val="001C15E5"/>
    <w:rsid w:val="001C15FF"/>
    <w:rsid w:val="001C1667"/>
    <w:rsid w:val="001C16D6"/>
    <w:rsid w:val="001C175C"/>
    <w:rsid w:val="001C19B3"/>
    <w:rsid w:val="001C1A5D"/>
    <w:rsid w:val="001C1CC9"/>
    <w:rsid w:val="001C1DD1"/>
    <w:rsid w:val="001C1FFF"/>
    <w:rsid w:val="001C20C0"/>
    <w:rsid w:val="001C24CF"/>
    <w:rsid w:val="001C2612"/>
    <w:rsid w:val="001C28E5"/>
    <w:rsid w:val="001C295D"/>
    <w:rsid w:val="001C2CFB"/>
    <w:rsid w:val="001C302F"/>
    <w:rsid w:val="001C319D"/>
    <w:rsid w:val="001C336C"/>
    <w:rsid w:val="001C34A7"/>
    <w:rsid w:val="001C351E"/>
    <w:rsid w:val="001C3559"/>
    <w:rsid w:val="001C3764"/>
    <w:rsid w:val="001C37B0"/>
    <w:rsid w:val="001C39FB"/>
    <w:rsid w:val="001C3A08"/>
    <w:rsid w:val="001C3AE1"/>
    <w:rsid w:val="001C3B26"/>
    <w:rsid w:val="001C3C36"/>
    <w:rsid w:val="001C3DB1"/>
    <w:rsid w:val="001C4248"/>
    <w:rsid w:val="001C43D2"/>
    <w:rsid w:val="001C4700"/>
    <w:rsid w:val="001C4767"/>
    <w:rsid w:val="001C4A17"/>
    <w:rsid w:val="001C4ABC"/>
    <w:rsid w:val="001C4D6B"/>
    <w:rsid w:val="001C52D3"/>
    <w:rsid w:val="001C5307"/>
    <w:rsid w:val="001C5316"/>
    <w:rsid w:val="001C53F2"/>
    <w:rsid w:val="001C5903"/>
    <w:rsid w:val="001C59B2"/>
    <w:rsid w:val="001C5AC0"/>
    <w:rsid w:val="001C5D42"/>
    <w:rsid w:val="001C5ED7"/>
    <w:rsid w:val="001C5FC4"/>
    <w:rsid w:val="001C5FF4"/>
    <w:rsid w:val="001C607D"/>
    <w:rsid w:val="001C6286"/>
    <w:rsid w:val="001C62F4"/>
    <w:rsid w:val="001C6447"/>
    <w:rsid w:val="001C6769"/>
    <w:rsid w:val="001C6981"/>
    <w:rsid w:val="001C69AF"/>
    <w:rsid w:val="001C6A9E"/>
    <w:rsid w:val="001C6B78"/>
    <w:rsid w:val="001C6BDF"/>
    <w:rsid w:val="001C6C7B"/>
    <w:rsid w:val="001C6E98"/>
    <w:rsid w:val="001C6F9B"/>
    <w:rsid w:val="001C70D8"/>
    <w:rsid w:val="001C7227"/>
    <w:rsid w:val="001C732B"/>
    <w:rsid w:val="001C73D3"/>
    <w:rsid w:val="001C73E5"/>
    <w:rsid w:val="001C74D3"/>
    <w:rsid w:val="001C7803"/>
    <w:rsid w:val="001C78DA"/>
    <w:rsid w:val="001C79B0"/>
    <w:rsid w:val="001C7A1A"/>
    <w:rsid w:val="001C7A77"/>
    <w:rsid w:val="001C7ECB"/>
    <w:rsid w:val="001C7F88"/>
    <w:rsid w:val="001D0023"/>
    <w:rsid w:val="001D01F8"/>
    <w:rsid w:val="001D0361"/>
    <w:rsid w:val="001D0843"/>
    <w:rsid w:val="001D08A0"/>
    <w:rsid w:val="001D09AE"/>
    <w:rsid w:val="001D0DC9"/>
    <w:rsid w:val="001D0E38"/>
    <w:rsid w:val="001D0ED1"/>
    <w:rsid w:val="001D104E"/>
    <w:rsid w:val="001D105F"/>
    <w:rsid w:val="001D10D3"/>
    <w:rsid w:val="001D12D4"/>
    <w:rsid w:val="001D13DD"/>
    <w:rsid w:val="001D141F"/>
    <w:rsid w:val="001D1530"/>
    <w:rsid w:val="001D1535"/>
    <w:rsid w:val="001D179C"/>
    <w:rsid w:val="001D17AB"/>
    <w:rsid w:val="001D17E9"/>
    <w:rsid w:val="001D1A59"/>
    <w:rsid w:val="001D1A75"/>
    <w:rsid w:val="001D1B05"/>
    <w:rsid w:val="001D1D38"/>
    <w:rsid w:val="001D1E78"/>
    <w:rsid w:val="001D2194"/>
    <w:rsid w:val="001D2370"/>
    <w:rsid w:val="001D23ED"/>
    <w:rsid w:val="001D2539"/>
    <w:rsid w:val="001D25A8"/>
    <w:rsid w:val="001D2A97"/>
    <w:rsid w:val="001D2CC0"/>
    <w:rsid w:val="001D30E0"/>
    <w:rsid w:val="001D312E"/>
    <w:rsid w:val="001D31C3"/>
    <w:rsid w:val="001D331D"/>
    <w:rsid w:val="001D344B"/>
    <w:rsid w:val="001D36B0"/>
    <w:rsid w:val="001D37FE"/>
    <w:rsid w:val="001D392D"/>
    <w:rsid w:val="001D3A23"/>
    <w:rsid w:val="001D3A73"/>
    <w:rsid w:val="001D3AD5"/>
    <w:rsid w:val="001D3B58"/>
    <w:rsid w:val="001D3BE8"/>
    <w:rsid w:val="001D3E23"/>
    <w:rsid w:val="001D4060"/>
    <w:rsid w:val="001D40E8"/>
    <w:rsid w:val="001D45EC"/>
    <w:rsid w:val="001D4750"/>
    <w:rsid w:val="001D47AE"/>
    <w:rsid w:val="001D487E"/>
    <w:rsid w:val="001D4914"/>
    <w:rsid w:val="001D4A35"/>
    <w:rsid w:val="001D4AD1"/>
    <w:rsid w:val="001D4CE7"/>
    <w:rsid w:val="001D4F19"/>
    <w:rsid w:val="001D5171"/>
    <w:rsid w:val="001D524E"/>
    <w:rsid w:val="001D54EA"/>
    <w:rsid w:val="001D56A3"/>
    <w:rsid w:val="001D57AB"/>
    <w:rsid w:val="001D5DEC"/>
    <w:rsid w:val="001D5EE3"/>
    <w:rsid w:val="001D5F92"/>
    <w:rsid w:val="001D6040"/>
    <w:rsid w:val="001D617D"/>
    <w:rsid w:val="001D62F0"/>
    <w:rsid w:val="001D652D"/>
    <w:rsid w:val="001D66EB"/>
    <w:rsid w:val="001D6722"/>
    <w:rsid w:val="001D6729"/>
    <w:rsid w:val="001D6894"/>
    <w:rsid w:val="001D6A35"/>
    <w:rsid w:val="001D6A90"/>
    <w:rsid w:val="001D6B15"/>
    <w:rsid w:val="001D6B38"/>
    <w:rsid w:val="001D6F45"/>
    <w:rsid w:val="001D6F7E"/>
    <w:rsid w:val="001D7224"/>
    <w:rsid w:val="001D75A2"/>
    <w:rsid w:val="001D75F2"/>
    <w:rsid w:val="001D77B6"/>
    <w:rsid w:val="001D7917"/>
    <w:rsid w:val="001D7CCE"/>
    <w:rsid w:val="001D7D11"/>
    <w:rsid w:val="001E0058"/>
    <w:rsid w:val="001E04FE"/>
    <w:rsid w:val="001E07A9"/>
    <w:rsid w:val="001E0A56"/>
    <w:rsid w:val="001E0A84"/>
    <w:rsid w:val="001E0BAE"/>
    <w:rsid w:val="001E0DFE"/>
    <w:rsid w:val="001E0E03"/>
    <w:rsid w:val="001E0E16"/>
    <w:rsid w:val="001E0E2A"/>
    <w:rsid w:val="001E0EA9"/>
    <w:rsid w:val="001E10FD"/>
    <w:rsid w:val="001E126B"/>
    <w:rsid w:val="001E16A6"/>
    <w:rsid w:val="001E1756"/>
    <w:rsid w:val="001E18E8"/>
    <w:rsid w:val="001E1983"/>
    <w:rsid w:val="001E1C6C"/>
    <w:rsid w:val="001E1D45"/>
    <w:rsid w:val="001E1DD5"/>
    <w:rsid w:val="001E1E10"/>
    <w:rsid w:val="001E1E65"/>
    <w:rsid w:val="001E1E82"/>
    <w:rsid w:val="001E1F14"/>
    <w:rsid w:val="001E2063"/>
    <w:rsid w:val="001E2110"/>
    <w:rsid w:val="001E2364"/>
    <w:rsid w:val="001E244E"/>
    <w:rsid w:val="001E2509"/>
    <w:rsid w:val="001E26B3"/>
    <w:rsid w:val="001E2870"/>
    <w:rsid w:val="001E28CE"/>
    <w:rsid w:val="001E2A42"/>
    <w:rsid w:val="001E2A7B"/>
    <w:rsid w:val="001E2AB8"/>
    <w:rsid w:val="001E2E08"/>
    <w:rsid w:val="001E2E19"/>
    <w:rsid w:val="001E2E7A"/>
    <w:rsid w:val="001E2F5E"/>
    <w:rsid w:val="001E3129"/>
    <w:rsid w:val="001E3269"/>
    <w:rsid w:val="001E32D7"/>
    <w:rsid w:val="001E3409"/>
    <w:rsid w:val="001E35E8"/>
    <w:rsid w:val="001E3648"/>
    <w:rsid w:val="001E3711"/>
    <w:rsid w:val="001E3B76"/>
    <w:rsid w:val="001E3B78"/>
    <w:rsid w:val="001E3C78"/>
    <w:rsid w:val="001E4061"/>
    <w:rsid w:val="001E40AD"/>
    <w:rsid w:val="001E465A"/>
    <w:rsid w:val="001E467A"/>
    <w:rsid w:val="001E4903"/>
    <w:rsid w:val="001E4A5F"/>
    <w:rsid w:val="001E4D79"/>
    <w:rsid w:val="001E4E2A"/>
    <w:rsid w:val="001E4FDD"/>
    <w:rsid w:val="001E50E1"/>
    <w:rsid w:val="001E5381"/>
    <w:rsid w:val="001E54D0"/>
    <w:rsid w:val="001E560C"/>
    <w:rsid w:val="001E57AD"/>
    <w:rsid w:val="001E57D1"/>
    <w:rsid w:val="001E5A81"/>
    <w:rsid w:val="001E5BE9"/>
    <w:rsid w:val="001E5D64"/>
    <w:rsid w:val="001E5F11"/>
    <w:rsid w:val="001E5FAF"/>
    <w:rsid w:val="001E6176"/>
    <w:rsid w:val="001E61A1"/>
    <w:rsid w:val="001E61DA"/>
    <w:rsid w:val="001E63A1"/>
    <w:rsid w:val="001E6629"/>
    <w:rsid w:val="001E6708"/>
    <w:rsid w:val="001E6BC2"/>
    <w:rsid w:val="001E6FD0"/>
    <w:rsid w:val="001E716B"/>
    <w:rsid w:val="001E71E9"/>
    <w:rsid w:val="001E72C4"/>
    <w:rsid w:val="001E7506"/>
    <w:rsid w:val="001E7507"/>
    <w:rsid w:val="001E7532"/>
    <w:rsid w:val="001E757D"/>
    <w:rsid w:val="001E75BF"/>
    <w:rsid w:val="001E75D7"/>
    <w:rsid w:val="001E7775"/>
    <w:rsid w:val="001E7943"/>
    <w:rsid w:val="001E79B7"/>
    <w:rsid w:val="001E79B8"/>
    <w:rsid w:val="001E7E84"/>
    <w:rsid w:val="001F01AC"/>
    <w:rsid w:val="001F02A5"/>
    <w:rsid w:val="001F035B"/>
    <w:rsid w:val="001F065C"/>
    <w:rsid w:val="001F08CF"/>
    <w:rsid w:val="001F0A29"/>
    <w:rsid w:val="001F0BBA"/>
    <w:rsid w:val="001F0E46"/>
    <w:rsid w:val="001F0F9E"/>
    <w:rsid w:val="001F107D"/>
    <w:rsid w:val="001F1114"/>
    <w:rsid w:val="001F151F"/>
    <w:rsid w:val="001F152D"/>
    <w:rsid w:val="001F15F0"/>
    <w:rsid w:val="001F18D0"/>
    <w:rsid w:val="001F18D9"/>
    <w:rsid w:val="001F193A"/>
    <w:rsid w:val="001F1940"/>
    <w:rsid w:val="001F1B68"/>
    <w:rsid w:val="001F1FB5"/>
    <w:rsid w:val="001F20C3"/>
    <w:rsid w:val="001F2191"/>
    <w:rsid w:val="001F21B3"/>
    <w:rsid w:val="001F225A"/>
    <w:rsid w:val="001F22D1"/>
    <w:rsid w:val="001F24A0"/>
    <w:rsid w:val="001F2585"/>
    <w:rsid w:val="001F26B1"/>
    <w:rsid w:val="001F296B"/>
    <w:rsid w:val="001F299F"/>
    <w:rsid w:val="001F2AC1"/>
    <w:rsid w:val="001F2C24"/>
    <w:rsid w:val="001F2EED"/>
    <w:rsid w:val="001F2F1B"/>
    <w:rsid w:val="001F2F3C"/>
    <w:rsid w:val="001F2F92"/>
    <w:rsid w:val="001F333C"/>
    <w:rsid w:val="001F3437"/>
    <w:rsid w:val="001F3515"/>
    <w:rsid w:val="001F3998"/>
    <w:rsid w:val="001F3B29"/>
    <w:rsid w:val="001F3D82"/>
    <w:rsid w:val="001F3EA2"/>
    <w:rsid w:val="001F4215"/>
    <w:rsid w:val="001F431E"/>
    <w:rsid w:val="001F4471"/>
    <w:rsid w:val="001F466C"/>
    <w:rsid w:val="001F4678"/>
    <w:rsid w:val="001F4761"/>
    <w:rsid w:val="001F4B03"/>
    <w:rsid w:val="001F4CF2"/>
    <w:rsid w:val="001F4D4D"/>
    <w:rsid w:val="001F4EBE"/>
    <w:rsid w:val="001F509E"/>
    <w:rsid w:val="001F5118"/>
    <w:rsid w:val="001F51CA"/>
    <w:rsid w:val="001F526C"/>
    <w:rsid w:val="001F5287"/>
    <w:rsid w:val="001F529A"/>
    <w:rsid w:val="001F5486"/>
    <w:rsid w:val="001F5592"/>
    <w:rsid w:val="001F561B"/>
    <w:rsid w:val="001F569A"/>
    <w:rsid w:val="001F569F"/>
    <w:rsid w:val="001F5763"/>
    <w:rsid w:val="001F599E"/>
    <w:rsid w:val="001F5AF9"/>
    <w:rsid w:val="001F5BB6"/>
    <w:rsid w:val="001F5C64"/>
    <w:rsid w:val="001F5EFD"/>
    <w:rsid w:val="001F605C"/>
    <w:rsid w:val="001F62E4"/>
    <w:rsid w:val="001F6796"/>
    <w:rsid w:val="001F6932"/>
    <w:rsid w:val="001F6AB3"/>
    <w:rsid w:val="001F6B47"/>
    <w:rsid w:val="001F6E94"/>
    <w:rsid w:val="001F6EEA"/>
    <w:rsid w:val="001F6F7D"/>
    <w:rsid w:val="001F72B8"/>
    <w:rsid w:val="001F7A72"/>
    <w:rsid w:val="001F7C3A"/>
    <w:rsid w:val="001F7E0C"/>
    <w:rsid w:val="001F7F72"/>
    <w:rsid w:val="002000A2"/>
    <w:rsid w:val="002001B2"/>
    <w:rsid w:val="002003D3"/>
    <w:rsid w:val="002005CE"/>
    <w:rsid w:val="00200737"/>
    <w:rsid w:val="002009E8"/>
    <w:rsid w:val="00200AD9"/>
    <w:rsid w:val="00200B55"/>
    <w:rsid w:val="00200C37"/>
    <w:rsid w:val="00200DA2"/>
    <w:rsid w:val="00200F20"/>
    <w:rsid w:val="0020105D"/>
    <w:rsid w:val="002013D8"/>
    <w:rsid w:val="00201512"/>
    <w:rsid w:val="0020154A"/>
    <w:rsid w:val="00201769"/>
    <w:rsid w:val="002017B3"/>
    <w:rsid w:val="00201D4B"/>
    <w:rsid w:val="00201E32"/>
    <w:rsid w:val="00201F57"/>
    <w:rsid w:val="00202136"/>
    <w:rsid w:val="00202408"/>
    <w:rsid w:val="002024E9"/>
    <w:rsid w:val="002026B6"/>
    <w:rsid w:val="0020285E"/>
    <w:rsid w:val="00202904"/>
    <w:rsid w:val="00202B5C"/>
    <w:rsid w:val="00202BF2"/>
    <w:rsid w:val="00202CC2"/>
    <w:rsid w:val="00202D0D"/>
    <w:rsid w:val="00202E34"/>
    <w:rsid w:val="00202FF6"/>
    <w:rsid w:val="002030BD"/>
    <w:rsid w:val="00203145"/>
    <w:rsid w:val="00203244"/>
    <w:rsid w:val="0020328F"/>
    <w:rsid w:val="0020347F"/>
    <w:rsid w:val="0020366D"/>
    <w:rsid w:val="002037FA"/>
    <w:rsid w:val="0020381C"/>
    <w:rsid w:val="002039D5"/>
    <w:rsid w:val="00203AF9"/>
    <w:rsid w:val="00203B90"/>
    <w:rsid w:val="00203BB2"/>
    <w:rsid w:val="00203FAA"/>
    <w:rsid w:val="002041BB"/>
    <w:rsid w:val="002043BC"/>
    <w:rsid w:val="00204426"/>
    <w:rsid w:val="0020443C"/>
    <w:rsid w:val="002045B4"/>
    <w:rsid w:val="002045BE"/>
    <w:rsid w:val="002047C3"/>
    <w:rsid w:val="00204851"/>
    <w:rsid w:val="0020495D"/>
    <w:rsid w:val="00204BB3"/>
    <w:rsid w:val="00204C0B"/>
    <w:rsid w:val="00204DB4"/>
    <w:rsid w:val="00204DBF"/>
    <w:rsid w:val="00204F2D"/>
    <w:rsid w:val="00204F80"/>
    <w:rsid w:val="00204FEA"/>
    <w:rsid w:val="002051FC"/>
    <w:rsid w:val="00205364"/>
    <w:rsid w:val="00205532"/>
    <w:rsid w:val="0020560A"/>
    <w:rsid w:val="002056CC"/>
    <w:rsid w:val="002057FE"/>
    <w:rsid w:val="00205876"/>
    <w:rsid w:val="002058CC"/>
    <w:rsid w:val="00205A54"/>
    <w:rsid w:val="00205C47"/>
    <w:rsid w:val="00205FD6"/>
    <w:rsid w:val="00206079"/>
    <w:rsid w:val="0020622D"/>
    <w:rsid w:val="002063D7"/>
    <w:rsid w:val="002064A5"/>
    <w:rsid w:val="0020674D"/>
    <w:rsid w:val="00206878"/>
    <w:rsid w:val="00206A21"/>
    <w:rsid w:val="00206AAF"/>
    <w:rsid w:val="00206BEE"/>
    <w:rsid w:val="00206CB4"/>
    <w:rsid w:val="00206EC2"/>
    <w:rsid w:val="0020722A"/>
    <w:rsid w:val="00207281"/>
    <w:rsid w:val="00207320"/>
    <w:rsid w:val="00207425"/>
    <w:rsid w:val="002079ED"/>
    <w:rsid w:val="00207A4C"/>
    <w:rsid w:val="00207ED1"/>
    <w:rsid w:val="00207FED"/>
    <w:rsid w:val="0021049E"/>
    <w:rsid w:val="00210675"/>
    <w:rsid w:val="0021076A"/>
    <w:rsid w:val="00210907"/>
    <w:rsid w:val="00210CBE"/>
    <w:rsid w:val="00210EC2"/>
    <w:rsid w:val="00211230"/>
    <w:rsid w:val="0021147F"/>
    <w:rsid w:val="002114BE"/>
    <w:rsid w:val="002119A8"/>
    <w:rsid w:val="002119FA"/>
    <w:rsid w:val="00211AC5"/>
    <w:rsid w:val="00212134"/>
    <w:rsid w:val="0021262D"/>
    <w:rsid w:val="00212904"/>
    <w:rsid w:val="0021296F"/>
    <w:rsid w:val="002129B5"/>
    <w:rsid w:val="002129BF"/>
    <w:rsid w:val="00212BA8"/>
    <w:rsid w:val="00212D99"/>
    <w:rsid w:val="00212EE7"/>
    <w:rsid w:val="00213025"/>
    <w:rsid w:val="002130D8"/>
    <w:rsid w:val="002134A0"/>
    <w:rsid w:val="002134BA"/>
    <w:rsid w:val="002135F7"/>
    <w:rsid w:val="0021383D"/>
    <w:rsid w:val="00213A9C"/>
    <w:rsid w:val="00213BE1"/>
    <w:rsid w:val="00213C2B"/>
    <w:rsid w:val="00213CBB"/>
    <w:rsid w:val="00213CC2"/>
    <w:rsid w:val="00213CF0"/>
    <w:rsid w:val="00213D7A"/>
    <w:rsid w:val="00213E61"/>
    <w:rsid w:val="00214090"/>
    <w:rsid w:val="00214240"/>
    <w:rsid w:val="00214588"/>
    <w:rsid w:val="002146F3"/>
    <w:rsid w:val="00214840"/>
    <w:rsid w:val="002148F2"/>
    <w:rsid w:val="00214ADE"/>
    <w:rsid w:val="00214B99"/>
    <w:rsid w:val="00214F62"/>
    <w:rsid w:val="00214F8C"/>
    <w:rsid w:val="002150CB"/>
    <w:rsid w:val="00215199"/>
    <w:rsid w:val="002153B5"/>
    <w:rsid w:val="002154A7"/>
    <w:rsid w:val="00215928"/>
    <w:rsid w:val="00215982"/>
    <w:rsid w:val="00215A0B"/>
    <w:rsid w:val="00215A68"/>
    <w:rsid w:val="00215CE6"/>
    <w:rsid w:val="00215FC4"/>
    <w:rsid w:val="00216070"/>
    <w:rsid w:val="00216117"/>
    <w:rsid w:val="00216133"/>
    <w:rsid w:val="002161AC"/>
    <w:rsid w:val="00216559"/>
    <w:rsid w:val="0021655B"/>
    <w:rsid w:val="00216607"/>
    <w:rsid w:val="00216C7C"/>
    <w:rsid w:val="00216D0A"/>
    <w:rsid w:val="0021708C"/>
    <w:rsid w:val="0021709D"/>
    <w:rsid w:val="00217376"/>
    <w:rsid w:val="002173C8"/>
    <w:rsid w:val="0021747B"/>
    <w:rsid w:val="0021771C"/>
    <w:rsid w:val="002179E5"/>
    <w:rsid w:val="00217A31"/>
    <w:rsid w:val="00217A62"/>
    <w:rsid w:val="00217A95"/>
    <w:rsid w:val="00217DF2"/>
    <w:rsid w:val="00217E6E"/>
    <w:rsid w:val="00217E70"/>
    <w:rsid w:val="00220004"/>
    <w:rsid w:val="002200E8"/>
    <w:rsid w:val="0022016A"/>
    <w:rsid w:val="00220221"/>
    <w:rsid w:val="002203F3"/>
    <w:rsid w:val="00220745"/>
    <w:rsid w:val="00220972"/>
    <w:rsid w:val="00220DDC"/>
    <w:rsid w:val="00220EF7"/>
    <w:rsid w:val="00220F3B"/>
    <w:rsid w:val="00220F55"/>
    <w:rsid w:val="00220F9F"/>
    <w:rsid w:val="0022119A"/>
    <w:rsid w:val="00221335"/>
    <w:rsid w:val="002213DB"/>
    <w:rsid w:val="0022180A"/>
    <w:rsid w:val="0022188F"/>
    <w:rsid w:val="00221B14"/>
    <w:rsid w:val="00221B86"/>
    <w:rsid w:val="00221BB8"/>
    <w:rsid w:val="00221E80"/>
    <w:rsid w:val="002220A0"/>
    <w:rsid w:val="0022217B"/>
    <w:rsid w:val="002221F1"/>
    <w:rsid w:val="0022252D"/>
    <w:rsid w:val="002227C1"/>
    <w:rsid w:val="002228F3"/>
    <w:rsid w:val="00222943"/>
    <w:rsid w:val="00222A03"/>
    <w:rsid w:val="00222ADA"/>
    <w:rsid w:val="00222BE0"/>
    <w:rsid w:val="00222C4B"/>
    <w:rsid w:val="00223038"/>
    <w:rsid w:val="00223269"/>
    <w:rsid w:val="002233FA"/>
    <w:rsid w:val="002235DA"/>
    <w:rsid w:val="0022361A"/>
    <w:rsid w:val="00223A57"/>
    <w:rsid w:val="00223B70"/>
    <w:rsid w:val="0022406B"/>
    <w:rsid w:val="0022409D"/>
    <w:rsid w:val="002242D6"/>
    <w:rsid w:val="00224373"/>
    <w:rsid w:val="002243B7"/>
    <w:rsid w:val="0022456B"/>
    <w:rsid w:val="0022460E"/>
    <w:rsid w:val="00224690"/>
    <w:rsid w:val="0022489C"/>
    <w:rsid w:val="00224A12"/>
    <w:rsid w:val="00224AD9"/>
    <w:rsid w:val="00224B2A"/>
    <w:rsid w:val="00224D1D"/>
    <w:rsid w:val="00224DAA"/>
    <w:rsid w:val="0022507B"/>
    <w:rsid w:val="002250CC"/>
    <w:rsid w:val="0022529F"/>
    <w:rsid w:val="0022542C"/>
    <w:rsid w:val="002256EE"/>
    <w:rsid w:val="002259D1"/>
    <w:rsid w:val="00225A1A"/>
    <w:rsid w:val="00225A1F"/>
    <w:rsid w:val="00225BDC"/>
    <w:rsid w:val="00225C27"/>
    <w:rsid w:val="00225DA5"/>
    <w:rsid w:val="00225DD3"/>
    <w:rsid w:val="00225E4A"/>
    <w:rsid w:val="00226016"/>
    <w:rsid w:val="0022606A"/>
    <w:rsid w:val="00226077"/>
    <w:rsid w:val="002260A9"/>
    <w:rsid w:val="002263FC"/>
    <w:rsid w:val="0022642D"/>
    <w:rsid w:val="002264BC"/>
    <w:rsid w:val="0022668A"/>
    <w:rsid w:val="00226982"/>
    <w:rsid w:val="00226A01"/>
    <w:rsid w:val="00226DFD"/>
    <w:rsid w:val="00226EE2"/>
    <w:rsid w:val="002273E6"/>
    <w:rsid w:val="0022740F"/>
    <w:rsid w:val="0022750B"/>
    <w:rsid w:val="002278F9"/>
    <w:rsid w:val="0022798A"/>
    <w:rsid w:val="00227AF4"/>
    <w:rsid w:val="00227C82"/>
    <w:rsid w:val="00227D76"/>
    <w:rsid w:val="00227E0A"/>
    <w:rsid w:val="00227E96"/>
    <w:rsid w:val="00227F2D"/>
    <w:rsid w:val="0023017A"/>
    <w:rsid w:val="00230302"/>
    <w:rsid w:val="00230314"/>
    <w:rsid w:val="0023042F"/>
    <w:rsid w:val="002309AB"/>
    <w:rsid w:val="00230B0B"/>
    <w:rsid w:val="00230B33"/>
    <w:rsid w:val="00230BCF"/>
    <w:rsid w:val="00230DB6"/>
    <w:rsid w:val="00231097"/>
    <w:rsid w:val="0023111C"/>
    <w:rsid w:val="002311B2"/>
    <w:rsid w:val="00231345"/>
    <w:rsid w:val="00231511"/>
    <w:rsid w:val="002315B1"/>
    <w:rsid w:val="0023174D"/>
    <w:rsid w:val="00231CB0"/>
    <w:rsid w:val="00231F57"/>
    <w:rsid w:val="00231F58"/>
    <w:rsid w:val="00232110"/>
    <w:rsid w:val="00232258"/>
    <w:rsid w:val="0023225D"/>
    <w:rsid w:val="002323E7"/>
    <w:rsid w:val="002323FB"/>
    <w:rsid w:val="002324D4"/>
    <w:rsid w:val="00232567"/>
    <w:rsid w:val="002326D0"/>
    <w:rsid w:val="002326D3"/>
    <w:rsid w:val="00232938"/>
    <w:rsid w:val="00232A3A"/>
    <w:rsid w:val="00232E4A"/>
    <w:rsid w:val="00233453"/>
    <w:rsid w:val="0023351E"/>
    <w:rsid w:val="0023361D"/>
    <w:rsid w:val="0023397F"/>
    <w:rsid w:val="002339B6"/>
    <w:rsid w:val="00233AA3"/>
    <w:rsid w:val="00233C99"/>
    <w:rsid w:val="00233E09"/>
    <w:rsid w:val="00233EB7"/>
    <w:rsid w:val="00233F0A"/>
    <w:rsid w:val="00233F26"/>
    <w:rsid w:val="00233F66"/>
    <w:rsid w:val="002340D2"/>
    <w:rsid w:val="00234192"/>
    <w:rsid w:val="00234203"/>
    <w:rsid w:val="0023422D"/>
    <w:rsid w:val="00234697"/>
    <w:rsid w:val="00234744"/>
    <w:rsid w:val="00234745"/>
    <w:rsid w:val="0023499E"/>
    <w:rsid w:val="0023499F"/>
    <w:rsid w:val="00234F05"/>
    <w:rsid w:val="0023522D"/>
    <w:rsid w:val="002352F7"/>
    <w:rsid w:val="002353B5"/>
    <w:rsid w:val="002353D3"/>
    <w:rsid w:val="002354D5"/>
    <w:rsid w:val="0023552B"/>
    <w:rsid w:val="002357C3"/>
    <w:rsid w:val="0023583F"/>
    <w:rsid w:val="00235915"/>
    <w:rsid w:val="00235B48"/>
    <w:rsid w:val="00235C9B"/>
    <w:rsid w:val="00235FE8"/>
    <w:rsid w:val="00236076"/>
    <w:rsid w:val="00236175"/>
    <w:rsid w:val="002362F8"/>
    <w:rsid w:val="00236546"/>
    <w:rsid w:val="00236754"/>
    <w:rsid w:val="002367F0"/>
    <w:rsid w:val="002368F2"/>
    <w:rsid w:val="0023691A"/>
    <w:rsid w:val="00236A11"/>
    <w:rsid w:val="00236A83"/>
    <w:rsid w:val="00236B5C"/>
    <w:rsid w:val="00236D1A"/>
    <w:rsid w:val="00236E21"/>
    <w:rsid w:val="00236E8C"/>
    <w:rsid w:val="002371CD"/>
    <w:rsid w:val="00237235"/>
    <w:rsid w:val="0023723A"/>
    <w:rsid w:val="0023739A"/>
    <w:rsid w:val="00237444"/>
    <w:rsid w:val="00237553"/>
    <w:rsid w:val="0023758D"/>
    <w:rsid w:val="0023763D"/>
    <w:rsid w:val="0023765C"/>
    <w:rsid w:val="0023793B"/>
    <w:rsid w:val="0023798C"/>
    <w:rsid w:val="00237B79"/>
    <w:rsid w:val="00237BC0"/>
    <w:rsid w:val="00237DCC"/>
    <w:rsid w:val="00237ED2"/>
    <w:rsid w:val="0024013E"/>
    <w:rsid w:val="0024038C"/>
    <w:rsid w:val="002403E1"/>
    <w:rsid w:val="00240645"/>
    <w:rsid w:val="002407CB"/>
    <w:rsid w:val="0024086D"/>
    <w:rsid w:val="00240BB9"/>
    <w:rsid w:val="002411CC"/>
    <w:rsid w:val="0024153E"/>
    <w:rsid w:val="00241571"/>
    <w:rsid w:val="00241832"/>
    <w:rsid w:val="002419CC"/>
    <w:rsid w:val="002419EB"/>
    <w:rsid w:val="00241C81"/>
    <w:rsid w:val="00241DB0"/>
    <w:rsid w:val="0024207E"/>
    <w:rsid w:val="002421C4"/>
    <w:rsid w:val="002421E9"/>
    <w:rsid w:val="002424E1"/>
    <w:rsid w:val="002426A9"/>
    <w:rsid w:val="0024272E"/>
    <w:rsid w:val="0024283D"/>
    <w:rsid w:val="00242866"/>
    <w:rsid w:val="00242875"/>
    <w:rsid w:val="00242951"/>
    <w:rsid w:val="00242C52"/>
    <w:rsid w:val="00242D39"/>
    <w:rsid w:val="00242E2E"/>
    <w:rsid w:val="00242EF9"/>
    <w:rsid w:val="002431C6"/>
    <w:rsid w:val="002432E8"/>
    <w:rsid w:val="0024376D"/>
    <w:rsid w:val="002437B2"/>
    <w:rsid w:val="00243812"/>
    <w:rsid w:val="00243973"/>
    <w:rsid w:val="00243C48"/>
    <w:rsid w:val="00243D0B"/>
    <w:rsid w:val="00243EB0"/>
    <w:rsid w:val="00243FA3"/>
    <w:rsid w:val="0024451C"/>
    <w:rsid w:val="0024453E"/>
    <w:rsid w:val="002445C6"/>
    <w:rsid w:val="0024465F"/>
    <w:rsid w:val="00244AFD"/>
    <w:rsid w:val="00245007"/>
    <w:rsid w:val="0024510F"/>
    <w:rsid w:val="00245280"/>
    <w:rsid w:val="002454A2"/>
    <w:rsid w:val="00245579"/>
    <w:rsid w:val="00245882"/>
    <w:rsid w:val="00245B6A"/>
    <w:rsid w:val="00245E5F"/>
    <w:rsid w:val="00245F20"/>
    <w:rsid w:val="00246318"/>
    <w:rsid w:val="002463B7"/>
    <w:rsid w:val="00246417"/>
    <w:rsid w:val="00246575"/>
    <w:rsid w:val="0024677D"/>
    <w:rsid w:val="00246906"/>
    <w:rsid w:val="00246A32"/>
    <w:rsid w:val="00246A38"/>
    <w:rsid w:val="00246A98"/>
    <w:rsid w:val="00246D34"/>
    <w:rsid w:val="00246D70"/>
    <w:rsid w:val="002470CA"/>
    <w:rsid w:val="00247219"/>
    <w:rsid w:val="002474A2"/>
    <w:rsid w:val="00247573"/>
    <w:rsid w:val="0024782B"/>
    <w:rsid w:val="0024784F"/>
    <w:rsid w:val="00247B44"/>
    <w:rsid w:val="00247B5B"/>
    <w:rsid w:val="00247CE1"/>
    <w:rsid w:val="00250282"/>
    <w:rsid w:val="0025031F"/>
    <w:rsid w:val="002503BB"/>
    <w:rsid w:val="002504B8"/>
    <w:rsid w:val="00250BC4"/>
    <w:rsid w:val="00250CF7"/>
    <w:rsid w:val="00251092"/>
    <w:rsid w:val="00251172"/>
    <w:rsid w:val="00251476"/>
    <w:rsid w:val="00251689"/>
    <w:rsid w:val="002516DF"/>
    <w:rsid w:val="00251841"/>
    <w:rsid w:val="002518A8"/>
    <w:rsid w:val="002519A2"/>
    <w:rsid w:val="00251B9A"/>
    <w:rsid w:val="00251EBB"/>
    <w:rsid w:val="00252360"/>
    <w:rsid w:val="002523DE"/>
    <w:rsid w:val="002525B3"/>
    <w:rsid w:val="0025263C"/>
    <w:rsid w:val="00252703"/>
    <w:rsid w:val="0025279D"/>
    <w:rsid w:val="00252AAF"/>
    <w:rsid w:val="00252B92"/>
    <w:rsid w:val="00252C99"/>
    <w:rsid w:val="002530AA"/>
    <w:rsid w:val="002530DF"/>
    <w:rsid w:val="00253403"/>
    <w:rsid w:val="00253679"/>
    <w:rsid w:val="0025384C"/>
    <w:rsid w:val="0025387B"/>
    <w:rsid w:val="00253B61"/>
    <w:rsid w:val="00253DB2"/>
    <w:rsid w:val="00253E8F"/>
    <w:rsid w:val="00253FC8"/>
    <w:rsid w:val="00254113"/>
    <w:rsid w:val="002544F4"/>
    <w:rsid w:val="0025451A"/>
    <w:rsid w:val="0025471F"/>
    <w:rsid w:val="00254829"/>
    <w:rsid w:val="00254A31"/>
    <w:rsid w:val="00254C5C"/>
    <w:rsid w:val="00254CED"/>
    <w:rsid w:val="00254E29"/>
    <w:rsid w:val="00255133"/>
    <w:rsid w:val="002553FD"/>
    <w:rsid w:val="00255659"/>
    <w:rsid w:val="00255760"/>
    <w:rsid w:val="002557C5"/>
    <w:rsid w:val="00255C67"/>
    <w:rsid w:val="00255F88"/>
    <w:rsid w:val="0025607B"/>
    <w:rsid w:val="00256208"/>
    <w:rsid w:val="00256613"/>
    <w:rsid w:val="0025669A"/>
    <w:rsid w:val="00256734"/>
    <w:rsid w:val="00256821"/>
    <w:rsid w:val="00256C07"/>
    <w:rsid w:val="00256CBD"/>
    <w:rsid w:val="00256D09"/>
    <w:rsid w:val="00256FE1"/>
    <w:rsid w:val="00257157"/>
    <w:rsid w:val="002572B0"/>
    <w:rsid w:val="00257379"/>
    <w:rsid w:val="00257532"/>
    <w:rsid w:val="0025758F"/>
    <w:rsid w:val="002575BD"/>
    <w:rsid w:val="002575FD"/>
    <w:rsid w:val="002576E2"/>
    <w:rsid w:val="0025782C"/>
    <w:rsid w:val="00257859"/>
    <w:rsid w:val="00257A16"/>
    <w:rsid w:val="00257B4C"/>
    <w:rsid w:val="00257B6C"/>
    <w:rsid w:val="00257C85"/>
    <w:rsid w:val="00257F18"/>
    <w:rsid w:val="00257FA3"/>
    <w:rsid w:val="00257FC2"/>
    <w:rsid w:val="00260059"/>
    <w:rsid w:val="0026008F"/>
    <w:rsid w:val="0026016D"/>
    <w:rsid w:val="002601D0"/>
    <w:rsid w:val="00260364"/>
    <w:rsid w:val="002604BD"/>
    <w:rsid w:val="0026058B"/>
    <w:rsid w:val="002605D0"/>
    <w:rsid w:val="0026069D"/>
    <w:rsid w:val="002606A8"/>
    <w:rsid w:val="002606FA"/>
    <w:rsid w:val="00260739"/>
    <w:rsid w:val="0026082A"/>
    <w:rsid w:val="0026091C"/>
    <w:rsid w:val="00260F5C"/>
    <w:rsid w:val="00260F65"/>
    <w:rsid w:val="00260F7A"/>
    <w:rsid w:val="002610A0"/>
    <w:rsid w:val="00261346"/>
    <w:rsid w:val="0026149E"/>
    <w:rsid w:val="002614D3"/>
    <w:rsid w:val="00261569"/>
    <w:rsid w:val="002618CE"/>
    <w:rsid w:val="002619A0"/>
    <w:rsid w:val="002619FD"/>
    <w:rsid w:val="00261A88"/>
    <w:rsid w:val="00261B76"/>
    <w:rsid w:val="00261C25"/>
    <w:rsid w:val="00261EBD"/>
    <w:rsid w:val="00262116"/>
    <w:rsid w:val="002621C8"/>
    <w:rsid w:val="00262229"/>
    <w:rsid w:val="00262246"/>
    <w:rsid w:val="00262407"/>
    <w:rsid w:val="002624AD"/>
    <w:rsid w:val="002625E1"/>
    <w:rsid w:val="00262767"/>
    <w:rsid w:val="002628A6"/>
    <w:rsid w:val="00262989"/>
    <w:rsid w:val="0026339C"/>
    <w:rsid w:val="002635D4"/>
    <w:rsid w:val="002636E0"/>
    <w:rsid w:val="00263765"/>
    <w:rsid w:val="00263C34"/>
    <w:rsid w:val="00263CD4"/>
    <w:rsid w:val="00263D89"/>
    <w:rsid w:val="00263F3C"/>
    <w:rsid w:val="00264038"/>
    <w:rsid w:val="0026431F"/>
    <w:rsid w:val="00264530"/>
    <w:rsid w:val="00264690"/>
    <w:rsid w:val="002648AD"/>
    <w:rsid w:val="00264AF7"/>
    <w:rsid w:val="00264FF8"/>
    <w:rsid w:val="00265287"/>
    <w:rsid w:val="00265537"/>
    <w:rsid w:val="00265566"/>
    <w:rsid w:val="00265710"/>
    <w:rsid w:val="002657AF"/>
    <w:rsid w:val="002658E6"/>
    <w:rsid w:val="0026592A"/>
    <w:rsid w:val="00265AA5"/>
    <w:rsid w:val="00265C71"/>
    <w:rsid w:val="00265CA4"/>
    <w:rsid w:val="00265D4B"/>
    <w:rsid w:val="00265DDD"/>
    <w:rsid w:val="00265E75"/>
    <w:rsid w:val="002660A4"/>
    <w:rsid w:val="0026620F"/>
    <w:rsid w:val="002662AA"/>
    <w:rsid w:val="002662E4"/>
    <w:rsid w:val="00266331"/>
    <w:rsid w:val="00266363"/>
    <w:rsid w:val="002663FD"/>
    <w:rsid w:val="0026658A"/>
    <w:rsid w:val="002665F8"/>
    <w:rsid w:val="0026661F"/>
    <w:rsid w:val="002666BD"/>
    <w:rsid w:val="002667DC"/>
    <w:rsid w:val="00266B46"/>
    <w:rsid w:val="00266EDC"/>
    <w:rsid w:val="00266F03"/>
    <w:rsid w:val="002671DA"/>
    <w:rsid w:val="002672BE"/>
    <w:rsid w:val="0026738B"/>
    <w:rsid w:val="002674F1"/>
    <w:rsid w:val="0026785A"/>
    <w:rsid w:val="0026798A"/>
    <w:rsid w:val="00267B2F"/>
    <w:rsid w:val="00267D68"/>
    <w:rsid w:val="00267DD7"/>
    <w:rsid w:val="002703B9"/>
    <w:rsid w:val="00270437"/>
    <w:rsid w:val="002704AC"/>
    <w:rsid w:val="002706AA"/>
    <w:rsid w:val="00270781"/>
    <w:rsid w:val="00270941"/>
    <w:rsid w:val="00270991"/>
    <w:rsid w:val="002709A4"/>
    <w:rsid w:val="002709D1"/>
    <w:rsid w:val="00270B31"/>
    <w:rsid w:val="00270C11"/>
    <w:rsid w:val="00270C2D"/>
    <w:rsid w:val="00270DAE"/>
    <w:rsid w:val="00270EDC"/>
    <w:rsid w:val="00270FB0"/>
    <w:rsid w:val="00271021"/>
    <w:rsid w:val="002712D6"/>
    <w:rsid w:val="002714DB"/>
    <w:rsid w:val="002716F2"/>
    <w:rsid w:val="00271AF7"/>
    <w:rsid w:val="00271B1F"/>
    <w:rsid w:val="00271BD2"/>
    <w:rsid w:val="00271BFE"/>
    <w:rsid w:val="00271E34"/>
    <w:rsid w:val="00271E89"/>
    <w:rsid w:val="00271E92"/>
    <w:rsid w:val="00272164"/>
    <w:rsid w:val="002721AE"/>
    <w:rsid w:val="0027234F"/>
    <w:rsid w:val="002723ED"/>
    <w:rsid w:val="00272472"/>
    <w:rsid w:val="002728E0"/>
    <w:rsid w:val="00272991"/>
    <w:rsid w:val="00272A64"/>
    <w:rsid w:val="00272B32"/>
    <w:rsid w:val="00272BA0"/>
    <w:rsid w:val="00272D87"/>
    <w:rsid w:val="0027306C"/>
    <w:rsid w:val="0027340A"/>
    <w:rsid w:val="002734B7"/>
    <w:rsid w:val="002736D3"/>
    <w:rsid w:val="002739D4"/>
    <w:rsid w:val="00273A9B"/>
    <w:rsid w:val="00273B25"/>
    <w:rsid w:val="00273C90"/>
    <w:rsid w:val="00273FAE"/>
    <w:rsid w:val="00273FE4"/>
    <w:rsid w:val="00274139"/>
    <w:rsid w:val="002747A6"/>
    <w:rsid w:val="002747C1"/>
    <w:rsid w:val="0027481A"/>
    <w:rsid w:val="002748D2"/>
    <w:rsid w:val="002749D5"/>
    <w:rsid w:val="00274A97"/>
    <w:rsid w:val="00274BD8"/>
    <w:rsid w:val="00274C98"/>
    <w:rsid w:val="00274CE2"/>
    <w:rsid w:val="0027545F"/>
    <w:rsid w:val="00275585"/>
    <w:rsid w:val="00275765"/>
    <w:rsid w:val="002759CD"/>
    <w:rsid w:val="00275A11"/>
    <w:rsid w:val="00275C48"/>
    <w:rsid w:val="00275DCC"/>
    <w:rsid w:val="00276007"/>
    <w:rsid w:val="0027613B"/>
    <w:rsid w:val="002761C8"/>
    <w:rsid w:val="002762F5"/>
    <w:rsid w:val="0027636A"/>
    <w:rsid w:val="00276390"/>
    <w:rsid w:val="002763A6"/>
    <w:rsid w:val="002764AE"/>
    <w:rsid w:val="002767E6"/>
    <w:rsid w:val="00276A22"/>
    <w:rsid w:val="00276E99"/>
    <w:rsid w:val="00276F2F"/>
    <w:rsid w:val="002775B2"/>
    <w:rsid w:val="00277627"/>
    <w:rsid w:val="00277C32"/>
    <w:rsid w:val="00277D35"/>
    <w:rsid w:val="00277D5B"/>
    <w:rsid w:val="00277DD6"/>
    <w:rsid w:val="00277F06"/>
    <w:rsid w:val="00277FA0"/>
    <w:rsid w:val="00277FCC"/>
    <w:rsid w:val="00280042"/>
    <w:rsid w:val="0028014B"/>
    <w:rsid w:val="0028025F"/>
    <w:rsid w:val="0028028D"/>
    <w:rsid w:val="002803D2"/>
    <w:rsid w:val="0028044C"/>
    <w:rsid w:val="0028048F"/>
    <w:rsid w:val="00280550"/>
    <w:rsid w:val="00280567"/>
    <w:rsid w:val="0028099E"/>
    <w:rsid w:val="00280CD0"/>
    <w:rsid w:val="00280D5C"/>
    <w:rsid w:val="00280D82"/>
    <w:rsid w:val="00280E31"/>
    <w:rsid w:val="0028117E"/>
    <w:rsid w:val="00281413"/>
    <w:rsid w:val="00281486"/>
    <w:rsid w:val="00281677"/>
    <w:rsid w:val="00281699"/>
    <w:rsid w:val="00281835"/>
    <w:rsid w:val="00281B3C"/>
    <w:rsid w:val="00281C99"/>
    <w:rsid w:val="00281D04"/>
    <w:rsid w:val="00281DE0"/>
    <w:rsid w:val="00281F6D"/>
    <w:rsid w:val="00281FDE"/>
    <w:rsid w:val="00281FE9"/>
    <w:rsid w:val="00282398"/>
    <w:rsid w:val="00282428"/>
    <w:rsid w:val="00282506"/>
    <w:rsid w:val="0028283E"/>
    <w:rsid w:val="00282860"/>
    <w:rsid w:val="00282D64"/>
    <w:rsid w:val="00282D76"/>
    <w:rsid w:val="00283034"/>
    <w:rsid w:val="002833A7"/>
    <w:rsid w:val="0028365C"/>
    <w:rsid w:val="002836C7"/>
    <w:rsid w:val="002836DA"/>
    <w:rsid w:val="0028376A"/>
    <w:rsid w:val="0028394F"/>
    <w:rsid w:val="00283B11"/>
    <w:rsid w:val="00283B87"/>
    <w:rsid w:val="00283C3A"/>
    <w:rsid w:val="00283D91"/>
    <w:rsid w:val="0028405A"/>
    <w:rsid w:val="00284362"/>
    <w:rsid w:val="0028436D"/>
    <w:rsid w:val="00284977"/>
    <w:rsid w:val="00284A62"/>
    <w:rsid w:val="00284CCF"/>
    <w:rsid w:val="00284D8D"/>
    <w:rsid w:val="00285169"/>
    <w:rsid w:val="00285173"/>
    <w:rsid w:val="002854F7"/>
    <w:rsid w:val="00285528"/>
    <w:rsid w:val="002855EA"/>
    <w:rsid w:val="00285601"/>
    <w:rsid w:val="002857C6"/>
    <w:rsid w:val="0028591D"/>
    <w:rsid w:val="00285B83"/>
    <w:rsid w:val="00285BC9"/>
    <w:rsid w:val="00285EB6"/>
    <w:rsid w:val="002860C8"/>
    <w:rsid w:val="00286144"/>
    <w:rsid w:val="002862EE"/>
    <w:rsid w:val="00286343"/>
    <w:rsid w:val="00286366"/>
    <w:rsid w:val="00286A7B"/>
    <w:rsid w:val="00286B90"/>
    <w:rsid w:val="00286C6D"/>
    <w:rsid w:val="00286D7E"/>
    <w:rsid w:val="00286F98"/>
    <w:rsid w:val="00287027"/>
    <w:rsid w:val="00287079"/>
    <w:rsid w:val="00287306"/>
    <w:rsid w:val="00287368"/>
    <w:rsid w:val="002873C3"/>
    <w:rsid w:val="0028744F"/>
    <w:rsid w:val="002874E0"/>
    <w:rsid w:val="00287544"/>
    <w:rsid w:val="0028778F"/>
    <w:rsid w:val="00287860"/>
    <w:rsid w:val="002878B0"/>
    <w:rsid w:val="002879B6"/>
    <w:rsid w:val="00287A5F"/>
    <w:rsid w:val="00287C83"/>
    <w:rsid w:val="00287FB1"/>
    <w:rsid w:val="00290661"/>
    <w:rsid w:val="00290708"/>
    <w:rsid w:val="00290797"/>
    <w:rsid w:val="00290D83"/>
    <w:rsid w:val="00290DB0"/>
    <w:rsid w:val="00290F57"/>
    <w:rsid w:val="00290F86"/>
    <w:rsid w:val="0029117A"/>
    <w:rsid w:val="002912B5"/>
    <w:rsid w:val="0029182E"/>
    <w:rsid w:val="002919D6"/>
    <w:rsid w:val="00291C99"/>
    <w:rsid w:val="00291D89"/>
    <w:rsid w:val="00291FED"/>
    <w:rsid w:val="00292070"/>
    <w:rsid w:val="00292095"/>
    <w:rsid w:val="00292383"/>
    <w:rsid w:val="0029248F"/>
    <w:rsid w:val="00292528"/>
    <w:rsid w:val="002925E5"/>
    <w:rsid w:val="00292624"/>
    <w:rsid w:val="00292958"/>
    <w:rsid w:val="0029299B"/>
    <w:rsid w:val="00292B9C"/>
    <w:rsid w:val="00292BC9"/>
    <w:rsid w:val="00292CDF"/>
    <w:rsid w:val="00292D08"/>
    <w:rsid w:val="00292D2F"/>
    <w:rsid w:val="00292DAC"/>
    <w:rsid w:val="00292DD3"/>
    <w:rsid w:val="00293032"/>
    <w:rsid w:val="00293043"/>
    <w:rsid w:val="00293126"/>
    <w:rsid w:val="0029325C"/>
    <w:rsid w:val="0029326C"/>
    <w:rsid w:val="002933E1"/>
    <w:rsid w:val="002937C7"/>
    <w:rsid w:val="002937D6"/>
    <w:rsid w:val="00293A64"/>
    <w:rsid w:val="00293E18"/>
    <w:rsid w:val="00293ED2"/>
    <w:rsid w:val="00293EE6"/>
    <w:rsid w:val="00293F13"/>
    <w:rsid w:val="00293F68"/>
    <w:rsid w:val="00294035"/>
    <w:rsid w:val="0029411C"/>
    <w:rsid w:val="00294434"/>
    <w:rsid w:val="002945F0"/>
    <w:rsid w:val="00294715"/>
    <w:rsid w:val="002947C0"/>
    <w:rsid w:val="00294985"/>
    <w:rsid w:val="00294EDC"/>
    <w:rsid w:val="00294FE1"/>
    <w:rsid w:val="002950DC"/>
    <w:rsid w:val="0029527A"/>
    <w:rsid w:val="0029566A"/>
    <w:rsid w:val="00295806"/>
    <w:rsid w:val="002958F2"/>
    <w:rsid w:val="00295937"/>
    <w:rsid w:val="00295950"/>
    <w:rsid w:val="00295A3C"/>
    <w:rsid w:val="00295C6C"/>
    <w:rsid w:val="00295C86"/>
    <w:rsid w:val="00295DC1"/>
    <w:rsid w:val="00296055"/>
    <w:rsid w:val="0029610C"/>
    <w:rsid w:val="00296218"/>
    <w:rsid w:val="00296347"/>
    <w:rsid w:val="002964CC"/>
    <w:rsid w:val="00296A64"/>
    <w:rsid w:val="00296B43"/>
    <w:rsid w:val="00296CE3"/>
    <w:rsid w:val="00296D6E"/>
    <w:rsid w:val="002970F7"/>
    <w:rsid w:val="002972A1"/>
    <w:rsid w:val="002977FF"/>
    <w:rsid w:val="00297DDF"/>
    <w:rsid w:val="00297E56"/>
    <w:rsid w:val="002A0275"/>
    <w:rsid w:val="002A0376"/>
    <w:rsid w:val="002A040C"/>
    <w:rsid w:val="002A0615"/>
    <w:rsid w:val="002A07C5"/>
    <w:rsid w:val="002A098B"/>
    <w:rsid w:val="002A10D5"/>
    <w:rsid w:val="002A10DB"/>
    <w:rsid w:val="002A1103"/>
    <w:rsid w:val="002A1334"/>
    <w:rsid w:val="002A1409"/>
    <w:rsid w:val="002A1547"/>
    <w:rsid w:val="002A17E8"/>
    <w:rsid w:val="002A18D2"/>
    <w:rsid w:val="002A1ADC"/>
    <w:rsid w:val="002A1D9D"/>
    <w:rsid w:val="002A1DCC"/>
    <w:rsid w:val="002A1DF0"/>
    <w:rsid w:val="002A1F65"/>
    <w:rsid w:val="002A21EB"/>
    <w:rsid w:val="002A2288"/>
    <w:rsid w:val="002A2537"/>
    <w:rsid w:val="002A25DA"/>
    <w:rsid w:val="002A2725"/>
    <w:rsid w:val="002A2762"/>
    <w:rsid w:val="002A2816"/>
    <w:rsid w:val="002A2A28"/>
    <w:rsid w:val="002A2C67"/>
    <w:rsid w:val="002A306C"/>
    <w:rsid w:val="002A3414"/>
    <w:rsid w:val="002A3474"/>
    <w:rsid w:val="002A3561"/>
    <w:rsid w:val="002A35BC"/>
    <w:rsid w:val="002A365E"/>
    <w:rsid w:val="002A3816"/>
    <w:rsid w:val="002A3AB0"/>
    <w:rsid w:val="002A41BC"/>
    <w:rsid w:val="002A41F2"/>
    <w:rsid w:val="002A451B"/>
    <w:rsid w:val="002A469F"/>
    <w:rsid w:val="002A4973"/>
    <w:rsid w:val="002A4983"/>
    <w:rsid w:val="002A49AB"/>
    <w:rsid w:val="002A4AE8"/>
    <w:rsid w:val="002A4BA9"/>
    <w:rsid w:val="002A4BEB"/>
    <w:rsid w:val="002A4C13"/>
    <w:rsid w:val="002A4D10"/>
    <w:rsid w:val="002A4EC1"/>
    <w:rsid w:val="002A52B3"/>
    <w:rsid w:val="002A53FF"/>
    <w:rsid w:val="002A55D8"/>
    <w:rsid w:val="002A56D2"/>
    <w:rsid w:val="002A57F2"/>
    <w:rsid w:val="002A5A2F"/>
    <w:rsid w:val="002A5BE5"/>
    <w:rsid w:val="002A5C61"/>
    <w:rsid w:val="002A5D89"/>
    <w:rsid w:val="002A5EB1"/>
    <w:rsid w:val="002A5F95"/>
    <w:rsid w:val="002A6062"/>
    <w:rsid w:val="002A63BE"/>
    <w:rsid w:val="002A6415"/>
    <w:rsid w:val="002A6627"/>
    <w:rsid w:val="002A66E9"/>
    <w:rsid w:val="002A6772"/>
    <w:rsid w:val="002A6789"/>
    <w:rsid w:val="002A6960"/>
    <w:rsid w:val="002A6AE6"/>
    <w:rsid w:val="002A6D7C"/>
    <w:rsid w:val="002A6D99"/>
    <w:rsid w:val="002A6E37"/>
    <w:rsid w:val="002A6FED"/>
    <w:rsid w:val="002A70F9"/>
    <w:rsid w:val="002A72BA"/>
    <w:rsid w:val="002A72DD"/>
    <w:rsid w:val="002A754D"/>
    <w:rsid w:val="002A7833"/>
    <w:rsid w:val="002A7A2A"/>
    <w:rsid w:val="002A7BB3"/>
    <w:rsid w:val="002A7E15"/>
    <w:rsid w:val="002B0015"/>
    <w:rsid w:val="002B0101"/>
    <w:rsid w:val="002B01FA"/>
    <w:rsid w:val="002B049B"/>
    <w:rsid w:val="002B05EF"/>
    <w:rsid w:val="002B09A9"/>
    <w:rsid w:val="002B0C4C"/>
    <w:rsid w:val="002B0E3D"/>
    <w:rsid w:val="002B0E4C"/>
    <w:rsid w:val="002B1375"/>
    <w:rsid w:val="002B16F7"/>
    <w:rsid w:val="002B1757"/>
    <w:rsid w:val="002B19AD"/>
    <w:rsid w:val="002B21FA"/>
    <w:rsid w:val="002B23D2"/>
    <w:rsid w:val="002B24DA"/>
    <w:rsid w:val="002B263C"/>
    <w:rsid w:val="002B266E"/>
    <w:rsid w:val="002B2691"/>
    <w:rsid w:val="002B2B6B"/>
    <w:rsid w:val="002B2E62"/>
    <w:rsid w:val="002B2F2A"/>
    <w:rsid w:val="002B2FE5"/>
    <w:rsid w:val="002B302F"/>
    <w:rsid w:val="002B308C"/>
    <w:rsid w:val="002B3356"/>
    <w:rsid w:val="002B34CC"/>
    <w:rsid w:val="002B352F"/>
    <w:rsid w:val="002B3ACD"/>
    <w:rsid w:val="002B3B62"/>
    <w:rsid w:val="002B3B9B"/>
    <w:rsid w:val="002B3C5E"/>
    <w:rsid w:val="002B3CE9"/>
    <w:rsid w:val="002B3E4B"/>
    <w:rsid w:val="002B4070"/>
    <w:rsid w:val="002B42D6"/>
    <w:rsid w:val="002B43CD"/>
    <w:rsid w:val="002B45C7"/>
    <w:rsid w:val="002B461F"/>
    <w:rsid w:val="002B4683"/>
    <w:rsid w:val="002B479F"/>
    <w:rsid w:val="002B4A5A"/>
    <w:rsid w:val="002B4A9C"/>
    <w:rsid w:val="002B4C64"/>
    <w:rsid w:val="002B4C6B"/>
    <w:rsid w:val="002B4DC8"/>
    <w:rsid w:val="002B4FE6"/>
    <w:rsid w:val="002B560F"/>
    <w:rsid w:val="002B5841"/>
    <w:rsid w:val="002B5850"/>
    <w:rsid w:val="002B5939"/>
    <w:rsid w:val="002B59D1"/>
    <w:rsid w:val="002B5AB3"/>
    <w:rsid w:val="002B5E10"/>
    <w:rsid w:val="002B5F6E"/>
    <w:rsid w:val="002B5F74"/>
    <w:rsid w:val="002B6347"/>
    <w:rsid w:val="002B63B5"/>
    <w:rsid w:val="002B64F3"/>
    <w:rsid w:val="002B6541"/>
    <w:rsid w:val="002B6652"/>
    <w:rsid w:val="002B66D6"/>
    <w:rsid w:val="002B6959"/>
    <w:rsid w:val="002B6A3B"/>
    <w:rsid w:val="002B6C11"/>
    <w:rsid w:val="002B6C38"/>
    <w:rsid w:val="002B6D15"/>
    <w:rsid w:val="002B6EC3"/>
    <w:rsid w:val="002B6F9B"/>
    <w:rsid w:val="002B74AA"/>
    <w:rsid w:val="002B76FA"/>
    <w:rsid w:val="002B793B"/>
    <w:rsid w:val="002B7A09"/>
    <w:rsid w:val="002B7D5E"/>
    <w:rsid w:val="002C0064"/>
    <w:rsid w:val="002C0218"/>
    <w:rsid w:val="002C0376"/>
    <w:rsid w:val="002C03AB"/>
    <w:rsid w:val="002C05EF"/>
    <w:rsid w:val="002C064D"/>
    <w:rsid w:val="002C0704"/>
    <w:rsid w:val="002C07AB"/>
    <w:rsid w:val="002C08BC"/>
    <w:rsid w:val="002C0C8A"/>
    <w:rsid w:val="002C0E78"/>
    <w:rsid w:val="002C0F2D"/>
    <w:rsid w:val="002C0FC8"/>
    <w:rsid w:val="002C106A"/>
    <w:rsid w:val="002C169F"/>
    <w:rsid w:val="002C175B"/>
    <w:rsid w:val="002C1837"/>
    <w:rsid w:val="002C1B73"/>
    <w:rsid w:val="002C1BE4"/>
    <w:rsid w:val="002C1DF4"/>
    <w:rsid w:val="002C21E3"/>
    <w:rsid w:val="002C2201"/>
    <w:rsid w:val="002C246F"/>
    <w:rsid w:val="002C24AE"/>
    <w:rsid w:val="002C2593"/>
    <w:rsid w:val="002C25E1"/>
    <w:rsid w:val="002C290F"/>
    <w:rsid w:val="002C2BBE"/>
    <w:rsid w:val="002C2D1B"/>
    <w:rsid w:val="002C3035"/>
    <w:rsid w:val="002C3095"/>
    <w:rsid w:val="002C30CA"/>
    <w:rsid w:val="002C339E"/>
    <w:rsid w:val="002C35EB"/>
    <w:rsid w:val="002C375C"/>
    <w:rsid w:val="002C3801"/>
    <w:rsid w:val="002C38DE"/>
    <w:rsid w:val="002C391F"/>
    <w:rsid w:val="002C3978"/>
    <w:rsid w:val="002C3A75"/>
    <w:rsid w:val="002C3A91"/>
    <w:rsid w:val="002C3D39"/>
    <w:rsid w:val="002C3E8D"/>
    <w:rsid w:val="002C3FB9"/>
    <w:rsid w:val="002C40CC"/>
    <w:rsid w:val="002C40FA"/>
    <w:rsid w:val="002C417C"/>
    <w:rsid w:val="002C41C9"/>
    <w:rsid w:val="002C447A"/>
    <w:rsid w:val="002C4600"/>
    <w:rsid w:val="002C4B03"/>
    <w:rsid w:val="002C4B15"/>
    <w:rsid w:val="002C4B3E"/>
    <w:rsid w:val="002C4C80"/>
    <w:rsid w:val="002C4E25"/>
    <w:rsid w:val="002C4E7B"/>
    <w:rsid w:val="002C4F8B"/>
    <w:rsid w:val="002C5200"/>
    <w:rsid w:val="002C53A6"/>
    <w:rsid w:val="002C54CE"/>
    <w:rsid w:val="002C5925"/>
    <w:rsid w:val="002C5AB4"/>
    <w:rsid w:val="002C5B83"/>
    <w:rsid w:val="002C5D99"/>
    <w:rsid w:val="002C5F49"/>
    <w:rsid w:val="002C5FE8"/>
    <w:rsid w:val="002C6018"/>
    <w:rsid w:val="002C62A5"/>
    <w:rsid w:val="002C62FA"/>
    <w:rsid w:val="002C66BA"/>
    <w:rsid w:val="002C66C7"/>
    <w:rsid w:val="002C67DC"/>
    <w:rsid w:val="002C6A33"/>
    <w:rsid w:val="002C6C3E"/>
    <w:rsid w:val="002C6F4F"/>
    <w:rsid w:val="002C70BA"/>
    <w:rsid w:val="002C70C3"/>
    <w:rsid w:val="002C7118"/>
    <w:rsid w:val="002C72BA"/>
    <w:rsid w:val="002C7514"/>
    <w:rsid w:val="002C7662"/>
    <w:rsid w:val="002C7917"/>
    <w:rsid w:val="002C7A6E"/>
    <w:rsid w:val="002C7B88"/>
    <w:rsid w:val="002C7D4C"/>
    <w:rsid w:val="002C7E0E"/>
    <w:rsid w:val="002C7EA6"/>
    <w:rsid w:val="002C7F08"/>
    <w:rsid w:val="002C7FAF"/>
    <w:rsid w:val="002D0642"/>
    <w:rsid w:val="002D0701"/>
    <w:rsid w:val="002D094E"/>
    <w:rsid w:val="002D0A23"/>
    <w:rsid w:val="002D0E00"/>
    <w:rsid w:val="002D0ED8"/>
    <w:rsid w:val="002D1011"/>
    <w:rsid w:val="002D1407"/>
    <w:rsid w:val="002D16FC"/>
    <w:rsid w:val="002D17A6"/>
    <w:rsid w:val="002D17FF"/>
    <w:rsid w:val="002D18BB"/>
    <w:rsid w:val="002D19A9"/>
    <w:rsid w:val="002D1AF2"/>
    <w:rsid w:val="002D1BC8"/>
    <w:rsid w:val="002D202D"/>
    <w:rsid w:val="002D21F0"/>
    <w:rsid w:val="002D225F"/>
    <w:rsid w:val="002D24A5"/>
    <w:rsid w:val="002D24A7"/>
    <w:rsid w:val="002D270F"/>
    <w:rsid w:val="002D28C4"/>
    <w:rsid w:val="002D2986"/>
    <w:rsid w:val="002D2D73"/>
    <w:rsid w:val="002D2E3E"/>
    <w:rsid w:val="002D2F2D"/>
    <w:rsid w:val="002D3150"/>
    <w:rsid w:val="002D32B2"/>
    <w:rsid w:val="002D363E"/>
    <w:rsid w:val="002D367E"/>
    <w:rsid w:val="002D37D2"/>
    <w:rsid w:val="002D3A8E"/>
    <w:rsid w:val="002D3B97"/>
    <w:rsid w:val="002D4115"/>
    <w:rsid w:val="002D413E"/>
    <w:rsid w:val="002D421F"/>
    <w:rsid w:val="002D4612"/>
    <w:rsid w:val="002D46F0"/>
    <w:rsid w:val="002D4CC8"/>
    <w:rsid w:val="002D4DFF"/>
    <w:rsid w:val="002D509F"/>
    <w:rsid w:val="002D56CF"/>
    <w:rsid w:val="002D5796"/>
    <w:rsid w:val="002D5ABF"/>
    <w:rsid w:val="002D5F6A"/>
    <w:rsid w:val="002D6023"/>
    <w:rsid w:val="002D6370"/>
    <w:rsid w:val="002D63C7"/>
    <w:rsid w:val="002D6854"/>
    <w:rsid w:val="002D6CA5"/>
    <w:rsid w:val="002D6D57"/>
    <w:rsid w:val="002D6E40"/>
    <w:rsid w:val="002D6E43"/>
    <w:rsid w:val="002D6FD4"/>
    <w:rsid w:val="002D7208"/>
    <w:rsid w:val="002D744C"/>
    <w:rsid w:val="002D762D"/>
    <w:rsid w:val="002D76BC"/>
    <w:rsid w:val="002D771C"/>
    <w:rsid w:val="002D795F"/>
    <w:rsid w:val="002D7A75"/>
    <w:rsid w:val="002D7B2D"/>
    <w:rsid w:val="002D7B75"/>
    <w:rsid w:val="002E0068"/>
    <w:rsid w:val="002E00D4"/>
    <w:rsid w:val="002E0205"/>
    <w:rsid w:val="002E035A"/>
    <w:rsid w:val="002E043E"/>
    <w:rsid w:val="002E0471"/>
    <w:rsid w:val="002E0599"/>
    <w:rsid w:val="002E072C"/>
    <w:rsid w:val="002E092E"/>
    <w:rsid w:val="002E09E0"/>
    <w:rsid w:val="002E0C6D"/>
    <w:rsid w:val="002E0E5E"/>
    <w:rsid w:val="002E0F3B"/>
    <w:rsid w:val="002E109D"/>
    <w:rsid w:val="002E10A8"/>
    <w:rsid w:val="002E1594"/>
    <w:rsid w:val="002E15D4"/>
    <w:rsid w:val="002E15FB"/>
    <w:rsid w:val="002E18BC"/>
    <w:rsid w:val="002E1978"/>
    <w:rsid w:val="002E1B59"/>
    <w:rsid w:val="002E1DC8"/>
    <w:rsid w:val="002E1EDE"/>
    <w:rsid w:val="002E2091"/>
    <w:rsid w:val="002E21BD"/>
    <w:rsid w:val="002E24F0"/>
    <w:rsid w:val="002E2595"/>
    <w:rsid w:val="002E2710"/>
    <w:rsid w:val="002E276B"/>
    <w:rsid w:val="002E2788"/>
    <w:rsid w:val="002E2900"/>
    <w:rsid w:val="002E290B"/>
    <w:rsid w:val="002E2973"/>
    <w:rsid w:val="002E2B04"/>
    <w:rsid w:val="002E2B1D"/>
    <w:rsid w:val="002E2C34"/>
    <w:rsid w:val="002E2DC4"/>
    <w:rsid w:val="002E3187"/>
    <w:rsid w:val="002E32F1"/>
    <w:rsid w:val="002E3345"/>
    <w:rsid w:val="002E3367"/>
    <w:rsid w:val="002E34EC"/>
    <w:rsid w:val="002E36A3"/>
    <w:rsid w:val="002E372D"/>
    <w:rsid w:val="002E3876"/>
    <w:rsid w:val="002E38BF"/>
    <w:rsid w:val="002E3AAB"/>
    <w:rsid w:val="002E3B9E"/>
    <w:rsid w:val="002E3EEE"/>
    <w:rsid w:val="002E40E3"/>
    <w:rsid w:val="002E41FD"/>
    <w:rsid w:val="002E422E"/>
    <w:rsid w:val="002E456D"/>
    <w:rsid w:val="002E4618"/>
    <w:rsid w:val="002E4A49"/>
    <w:rsid w:val="002E4C71"/>
    <w:rsid w:val="002E4E23"/>
    <w:rsid w:val="002E4E25"/>
    <w:rsid w:val="002E5016"/>
    <w:rsid w:val="002E5019"/>
    <w:rsid w:val="002E5047"/>
    <w:rsid w:val="002E5837"/>
    <w:rsid w:val="002E59A3"/>
    <w:rsid w:val="002E5AAD"/>
    <w:rsid w:val="002E5AFF"/>
    <w:rsid w:val="002E5BA9"/>
    <w:rsid w:val="002E5C16"/>
    <w:rsid w:val="002E5C65"/>
    <w:rsid w:val="002E5E78"/>
    <w:rsid w:val="002E5F30"/>
    <w:rsid w:val="002E60F3"/>
    <w:rsid w:val="002E61E3"/>
    <w:rsid w:val="002E63EF"/>
    <w:rsid w:val="002E6471"/>
    <w:rsid w:val="002E64F1"/>
    <w:rsid w:val="002E6608"/>
    <w:rsid w:val="002E66F9"/>
    <w:rsid w:val="002E69D6"/>
    <w:rsid w:val="002E6C21"/>
    <w:rsid w:val="002E6D5D"/>
    <w:rsid w:val="002E6D64"/>
    <w:rsid w:val="002E6E7A"/>
    <w:rsid w:val="002E6EA7"/>
    <w:rsid w:val="002E712E"/>
    <w:rsid w:val="002E725B"/>
    <w:rsid w:val="002E7458"/>
    <w:rsid w:val="002E76C2"/>
    <w:rsid w:val="002E7729"/>
    <w:rsid w:val="002E785A"/>
    <w:rsid w:val="002E791B"/>
    <w:rsid w:val="002E7948"/>
    <w:rsid w:val="002E796B"/>
    <w:rsid w:val="002E7AA6"/>
    <w:rsid w:val="002E7C76"/>
    <w:rsid w:val="002E7E55"/>
    <w:rsid w:val="002F0512"/>
    <w:rsid w:val="002F0629"/>
    <w:rsid w:val="002F07E1"/>
    <w:rsid w:val="002F095F"/>
    <w:rsid w:val="002F0BCB"/>
    <w:rsid w:val="002F0BDD"/>
    <w:rsid w:val="002F0D18"/>
    <w:rsid w:val="002F11EE"/>
    <w:rsid w:val="002F12EA"/>
    <w:rsid w:val="002F16C0"/>
    <w:rsid w:val="002F17F0"/>
    <w:rsid w:val="002F1814"/>
    <w:rsid w:val="002F1A72"/>
    <w:rsid w:val="002F1EE4"/>
    <w:rsid w:val="002F204D"/>
    <w:rsid w:val="002F211F"/>
    <w:rsid w:val="002F218C"/>
    <w:rsid w:val="002F2241"/>
    <w:rsid w:val="002F2481"/>
    <w:rsid w:val="002F25CF"/>
    <w:rsid w:val="002F2737"/>
    <w:rsid w:val="002F29BF"/>
    <w:rsid w:val="002F29F6"/>
    <w:rsid w:val="002F2AE5"/>
    <w:rsid w:val="002F2B57"/>
    <w:rsid w:val="002F2EC4"/>
    <w:rsid w:val="002F2F57"/>
    <w:rsid w:val="002F2FFF"/>
    <w:rsid w:val="002F3382"/>
    <w:rsid w:val="002F37FF"/>
    <w:rsid w:val="002F380E"/>
    <w:rsid w:val="002F385C"/>
    <w:rsid w:val="002F38B1"/>
    <w:rsid w:val="002F3AB3"/>
    <w:rsid w:val="002F3E9E"/>
    <w:rsid w:val="002F3F5A"/>
    <w:rsid w:val="002F4312"/>
    <w:rsid w:val="002F4769"/>
    <w:rsid w:val="002F4803"/>
    <w:rsid w:val="002F4894"/>
    <w:rsid w:val="002F4B18"/>
    <w:rsid w:val="002F4B46"/>
    <w:rsid w:val="002F4CDD"/>
    <w:rsid w:val="002F4CFA"/>
    <w:rsid w:val="002F4D38"/>
    <w:rsid w:val="002F4DA5"/>
    <w:rsid w:val="002F4EE3"/>
    <w:rsid w:val="002F5396"/>
    <w:rsid w:val="002F53E8"/>
    <w:rsid w:val="002F5453"/>
    <w:rsid w:val="002F56C2"/>
    <w:rsid w:val="002F5709"/>
    <w:rsid w:val="002F5831"/>
    <w:rsid w:val="002F58A8"/>
    <w:rsid w:val="002F5A16"/>
    <w:rsid w:val="002F5C11"/>
    <w:rsid w:val="002F5EBA"/>
    <w:rsid w:val="002F6140"/>
    <w:rsid w:val="002F6386"/>
    <w:rsid w:val="002F64C5"/>
    <w:rsid w:val="002F685F"/>
    <w:rsid w:val="002F687B"/>
    <w:rsid w:val="002F69DD"/>
    <w:rsid w:val="002F6BCD"/>
    <w:rsid w:val="002F6D46"/>
    <w:rsid w:val="002F6EE9"/>
    <w:rsid w:val="002F6FD5"/>
    <w:rsid w:val="002F730C"/>
    <w:rsid w:val="002F7428"/>
    <w:rsid w:val="002F76FC"/>
    <w:rsid w:val="002F78C6"/>
    <w:rsid w:val="002F7CF5"/>
    <w:rsid w:val="002F7ED3"/>
    <w:rsid w:val="002F7FB1"/>
    <w:rsid w:val="003002C4"/>
    <w:rsid w:val="00300344"/>
    <w:rsid w:val="00300671"/>
    <w:rsid w:val="00300AEF"/>
    <w:rsid w:val="00300AFD"/>
    <w:rsid w:val="00300BB8"/>
    <w:rsid w:val="00300BD3"/>
    <w:rsid w:val="00300F2E"/>
    <w:rsid w:val="0030104A"/>
    <w:rsid w:val="00301115"/>
    <w:rsid w:val="003011AE"/>
    <w:rsid w:val="00301263"/>
    <w:rsid w:val="00301367"/>
    <w:rsid w:val="00301509"/>
    <w:rsid w:val="0030162C"/>
    <w:rsid w:val="003016CE"/>
    <w:rsid w:val="0030185C"/>
    <w:rsid w:val="00301CDA"/>
    <w:rsid w:val="00301D7E"/>
    <w:rsid w:val="00301E45"/>
    <w:rsid w:val="00301FF9"/>
    <w:rsid w:val="003020C5"/>
    <w:rsid w:val="0030228C"/>
    <w:rsid w:val="00302438"/>
    <w:rsid w:val="00302637"/>
    <w:rsid w:val="00302653"/>
    <w:rsid w:val="00302894"/>
    <w:rsid w:val="003028A9"/>
    <w:rsid w:val="00302971"/>
    <w:rsid w:val="00302B90"/>
    <w:rsid w:val="00302E18"/>
    <w:rsid w:val="00302EB0"/>
    <w:rsid w:val="0030319E"/>
    <w:rsid w:val="003032FB"/>
    <w:rsid w:val="0030339B"/>
    <w:rsid w:val="003035D0"/>
    <w:rsid w:val="00303730"/>
    <w:rsid w:val="003039C9"/>
    <w:rsid w:val="00303B56"/>
    <w:rsid w:val="00303CCC"/>
    <w:rsid w:val="00303F19"/>
    <w:rsid w:val="00304162"/>
    <w:rsid w:val="003041C4"/>
    <w:rsid w:val="00304207"/>
    <w:rsid w:val="00304300"/>
    <w:rsid w:val="003043CF"/>
    <w:rsid w:val="003045CC"/>
    <w:rsid w:val="00304602"/>
    <w:rsid w:val="00304A65"/>
    <w:rsid w:val="00304B7F"/>
    <w:rsid w:val="00304D85"/>
    <w:rsid w:val="00304E72"/>
    <w:rsid w:val="0030501A"/>
    <w:rsid w:val="003050AE"/>
    <w:rsid w:val="00305357"/>
    <w:rsid w:val="0030541B"/>
    <w:rsid w:val="003054FA"/>
    <w:rsid w:val="00305542"/>
    <w:rsid w:val="00305710"/>
    <w:rsid w:val="0030578F"/>
    <w:rsid w:val="00305830"/>
    <w:rsid w:val="00305A06"/>
    <w:rsid w:val="00305CCA"/>
    <w:rsid w:val="003062E3"/>
    <w:rsid w:val="0030659A"/>
    <w:rsid w:val="003066A1"/>
    <w:rsid w:val="003066BB"/>
    <w:rsid w:val="0030694A"/>
    <w:rsid w:val="00306AC6"/>
    <w:rsid w:val="00306B89"/>
    <w:rsid w:val="00306C3E"/>
    <w:rsid w:val="00306F42"/>
    <w:rsid w:val="00307056"/>
    <w:rsid w:val="00307059"/>
    <w:rsid w:val="00307178"/>
    <w:rsid w:val="0030751F"/>
    <w:rsid w:val="003075CD"/>
    <w:rsid w:val="00307744"/>
    <w:rsid w:val="003078FC"/>
    <w:rsid w:val="0030790B"/>
    <w:rsid w:val="00307AC5"/>
    <w:rsid w:val="00307ACE"/>
    <w:rsid w:val="00307D5B"/>
    <w:rsid w:val="00307EE6"/>
    <w:rsid w:val="003100DE"/>
    <w:rsid w:val="00310792"/>
    <w:rsid w:val="00310896"/>
    <w:rsid w:val="00310923"/>
    <w:rsid w:val="00310A35"/>
    <w:rsid w:val="00310C4F"/>
    <w:rsid w:val="00310D2F"/>
    <w:rsid w:val="00310D5C"/>
    <w:rsid w:val="00311206"/>
    <w:rsid w:val="003114EA"/>
    <w:rsid w:val="003116A5"/>
    <w:rsid w:val="003117BB"/>
    <w:rsid w:val="00311800"/>
    <w:rsid w:val="00311AF9"/>
    <w:rsid w:val="00311C5A"/>
    <w:rsid w:val="00311CE3"/>
    <w:rsid w:val="00311FD8"/>
    <w:rsid w:val="00312069"/>
    <w:rsid w:val="003120AD"/>
    <w:rsid w:val="003121AC"/>
    <w:rsid w:val="0031233E"/>
    <w:rsid w:val="0031246D"/>
    <w:rsid w:val="003124E7"/>
    <w:rsid w:val="00312727"/>
    <w:rsid w:val="00312A2D"/>
    <w:rsid w:val="00312D16"/>
    <w:rsid w:val="00313100"/>
    <w:rsid w:val="0031318C"/>
    <w:rsid w:val="003133D5"/>
    <w:rsid w:val="003137C5"/>
    <w:rsid w:val="00313948"/>
    <w:rsid w:val="00313BE4"/>
    <w:rsid w:val="00313C06"/>
    <w:rsid w:val="003141C9"/>
    <w:rsid w:val="00314408"/>
    <w:rsid w:val="003145DC"/>
    <w:rsid w:val="003146B0"/>
    <w:rsid w:val="0031493C"/>
    <w:rsid w:val="0031494B"/>
    <w:rsid w:val="00314C08"/>
    <w:rsid w:val="00314CAF"/>
    <w:rsid w:val="00314DBE"/>
    <w:rsid w:val="00314F04"/>
    <w:rsid w:val="00315257"/>
    <w:rsid w:val="00315760"/>
    <w:rsid w:val="003157CD"/>
    <w:rsid w:val="0031591E"/>
    <w:rsid w:val="00315AE5"/>
    <w:rsid w:val="00315CE8"/>
    <w:rsid w:val="00315D52"/>
    <w:rsid w:val="00315E35"/>
    <w:rsid w:val="00315E64"/>
    <w:rsid w:val="003160A5"/>
    <w:rsid w:val="0031629C"/>
    <w:rsid w:val="0031657F"/>
    <w:rsid w:val="0031697F"/>
    <w:rsid w:val="00316A30"/>
    <w:rsid w:val="00316BB9"/>
    <w:rsid w:val="00316C25"/>
    <w:rsid w:val="00316DD4"/>
    <w:rsid w:val="00317034"/>
    <w:rsid w:val="0031727D"/>
    <w:rsid w:val="00317360"/>
    <w:rsid w:val="00317523"/>
    <w:rsid w:val="00317AF1"/>
    <w:rsid w:val="00317B20"/>
    <w:rsid w:val="00317C0C"/>
    <w:rsid w:val="00317D1D"/>
    <w:rsid w:val="00317DAE"/>
    <w:rsid w:val="00317FC4"/>
    <w:rsid w:val="00320031"/>
    <w:rsid w:val="003202A9"/>
    <w:rsid w:val="00320460"/>
    <w:rsid w:val="0032060C"/>
    <w:rsid w:val="0032084E"/>
    <w:rsid w:val="00320868"/>
    <w:rsid w:val="0032096B"/>
    <w:rsid w:val="00320AE2"/>
    <w:rsid w:val="00320DB8"/>
    <w:rsid w:val="00321039"/>
    <w:rsid w:val="0032105A"/>
    <w:rsid w:val="0032119E"/>
    <w:rsid w:val="0032131A"/>
    <w:rsid w:val="00321570"/>
    <w:rsid w:val="003217EF"/>
    <w:rsid w:val="00321862"/>
    <w:rsid w:val="00321A21"/>
    <w:rsid w:val="00321AD5"/>
    <w:rsid w:val="00321C97"/>
    <w:rsid w:val="00321EF1"/>
    <w:rsid w:val="00321F80"/>
    <w:rsid w:val="00322047"/>
    <w:rsid w:val="003221EF"/>
    <w:rsid w:val="00322258"/>
    <w:rsid w:val="003222CA"/>
    <w:rsid w:val="003222D3"/>
    <w:rsid w:val="00322412"/>
    <w:rsid w:val="003224DB"/>
    <w:rsid w:val="00322626"/>
    <w:rsid w:val="00322856"/>
    <w:rsid w:val="00322CB6"/>
    <w:rsid w:val="00322D01"/>
    <w:rsid w:val="00323012"/>
    <w:rsid w:val="00323170"/>
    <w:rsid w:val="0032322C"/>
    <w:rsid w:val="00323252"/>
    <w:rsid w:val="00323313"/>
    <w:rsid w:val="003233A7"/>
    <w:rsid w:val="003233F1"/>
    <w:rsid w:val="003235D0"/>
    <w:rsid w:val="003236B9"/>
    <w:rsid w:val="00323AC5"/>
    <w:rsid w:val="00323B9C"/>
    <w:rsid w:val="00323B9E"/>
    <w:rsid w:val="00323C64"/>
    <w:rsid w:val="00323E9C"/>
    <w:rsid w:val="0032400A"/>
    <w:rsid w:val="00324490"/>
    <w:rsid w:val="00324499"/>
    <w:rsid w:val="003244F7"/>
    <w:rsid w:val="00324762"/>
    <w:rsid w:val="003247F5"/>
    <w:rsid w:val="00324891"/>
    <w:rsid w:val="00324E0A"/>
    <w:rsid w:val="00324E3D"/>
    <w:rsid w:val="00324E82"/>
    <w:rsid w:val="00325027"/>
    <w:rsid w:val="00325103"/>
    <w:rsid w:val="00325179"/>
    <w:rsid w:val="0032525D"/>
    <w:rsid w:val="003252FE"/>
    <w:rsid w:val="003255C5"/>
    <w:rsid w:val="003257A1"/>
    <w:rsid w:val="0032592B"/>
    <w:rsid w:val="003259BE"/>
    <w:rsid w:val="00325C1A"/>
    <w:rsid w:val="00325E0C"/>
    <w:rsid w:val="00325E77"/>
    <w:rsid w:val="00325E98"/>
    <w:rsid w:val="003260B4"/>
    <w:rsid w:val="00326271"/>
    <w:rsid w:val="0032643E"/>
    <w:rsid w:val="00326723"/>
    <w:rsid w:val="003269AB"/>
    <w:rsid w:val="00326C29"/>
    <w:rsid w:val="00326C7A"/>
    <w:rsid w:val="00326F06"/>
    <w:rsid w:val="003270E4"/>
    <w:rsid w:val="0032724B"/>
    <w:rsid w:val="003272EE"/>
    <w:rsid w:val="00327498"/>
    <w:rsid w:val="003274FD"/>
    <w:rsid w:val="003275E7"/>
    <w:rsid w:val="0032769C"/>
    <w:rsid w:val="0032771D"/>
    <w:rsid w:val="00327C7C"/>
    <w:rsid w:val="00327FA2"/>
    <w:rsid w:val="003300E2"/>
    <w:rsid w:val="00330172"/>
    <w:rsid w:val="003302D4"/>
    <w:rsid w:val="003303CC"/>
    <w:rsid w:val="003304D3"/>
    <w:rsid w:val="003305AE"/>
    <w:rsid w:val="00330686"/>
    <w:rsid w:val="00330940"/>
    <w:rsid w:val="00330960"/>
    <w:rsid w:val="00330C22"/>
    <w:rsid w:val="00330D47"/>
    <w:rsid w:val="00330D65"/>
    <w:rsid w:val="00330D8B"/>
    <w:rsid w:val="00330E1A"/>
    <w:rsid w:val="00330E85"/>
    <w:rsid w:val="00331045"/>
    <w:rsid w:val="0033113E"/>
    <w:rsid w:val="00331176"/>
    <w:rsid w:val="00331335"/>
    <w:rsid w:val="0033136B"/>
    <w:rsid w:val="00331435"/>
    <w:rsid w:val="00331600"/>
    <w:rsid w:val="003317B4"/>
    <w:rsid w:val="00331B35"/>
    <w:rsid w:val="003322A0"/>
    <w:rsid w:val="003324D8"/>
    <w:rsid w:val="00332B6F"/>
    <w:rsid w:val="00332C64"/>
    <w:rsid w:val="00332E22"/>
    <w:rsid w:val="00332E94"/>
    <w:rsid w:val="00333008"/>
    <w:rsid w:val="003330DC"/>
    <w:rsid w:val="003331C2"/>
    <w:rsid w:val="003333D2"/>
    <w:rsid w:val="003337D2"/>
    <w:rsid w:val="00333958"/>
    <w:rsid w:val="003339CB"/>
    <w:rsid w:val="00333C0F"/>
    <w:rsid w:val="00333C19"/>
    <w:rsid w:val="00333C1A"/>
    <w:rsid w:val="00333CA4"/>
    <w:rsid w:val="00333E1A"/>
    <w:rsid w:val="00333F32"/>
    <w:rsid w:val="00334098"/>
    <w:rsid w:val="003341D2"/>
    <w:rsid w:val="00334244"/>
    <w:rsid w:val="003343D5"/>
    <w:rsid w:val="00334483"/>
    <w:rsid w:val="003345B9"/>
    <w:rsid w:val="00334678"/>
    <w:rsid w:val="003346A0"/>
    <w:rsid w:val="003347F8"/>
    <w:rsid w:val="0033490E"/>
    <w:rsid w:val="00334A29"/>
    <w:rsid w:val="00334A62"/>
    <w:rsid w:val="00334C3F"/>
    <w:rsid w:val="00334C7B"/>
    <w:rsid w:val="00334F69"/>
    <w:rsid w:val="00335112"/>
    <w:rsid w:val="003351ED"/>
    <w:rsid w:val="0033531A"/>
    <w:rsid w:val="00335324"/>
    <w:rsid w:val="003354CD"/>
    <w:rsid w:val="003355A5"/>
    <w:rsid w:val="00335894"/>
    <w:rsid w:val="003358D1"/>
    <w:rsid w:val="00335986"/>
    <w:rsid w:val="00335AE5"/>
    <w:rsid w:val="00335C2F"/>
    <w:rsid w:val="00335C5B"/>
    <w:rsid w:val="00335DE8"/>
    <w:rsid w:val="00335EA1"/>
    <w:rsid w:val="00335EE9"/>
    <w:rsid w:val="00335F17"/>
    <w:rsid w:val="0033602A"/>
    <w:rsid w:val="003361E5"/>
    <w:rsid w:val="003362DA"/>
    <w:rsid w:val="003367CC"/>
    <w:rsid w:val="00336A2B"/>
    <w:rsid w:val="00336B07"/>
    <w:rsid w:val="00336C29"/>
    <w:rsid w:val="00336C97"/>
    <w:rsid w:val="00336D62"/>
    <w:rsid w:val="00336F0B"/>
    <w:rsid w:val="003370DC"/>
    <w:rsid w:val="00337194"/>
    <w:rsid w:val="003371D4"/>
    <w:rsid w:val="0033729B"/>
    <w:rsid w:val="003377FC"/>
    <w:rsid w:val="003378D8"/>
    <w:rsid w:val="00337BE9"/>
    <w:rsid w:val="00337E21"/>
    <w:rsid w:val="00337EA6"/>
    <w:rsid w:val="00340077"/>
    <w:rsid w:val="00340165"/>
    <w:rsid w:val="0034041C"/>
    <w:rsid w:val="00340572"/>
    <w:rsid w:val="003405E8"/>
    <w:rsid w:val="0034079B"/>
    <w:rsid w:val="00340B71"/>
    <w:rsid w:val="00340DE9"/>
    <w:rsid w:val="00340E01"/>
    <w:rsid w:val="00340EAB"/>
    <w:rsid w:val="00340F02"/>
    <w:rsid w:val="00341079"/>
    <w:rsid w:val="0034113E"/>
    <w:rsid w:val="00341151"/>
    <w:rsid w:val="00341631"/>
    <w:rsid w:val="003416FE"/>
    <w:rsid w:val="00341776"/>
    <w:rsid w:val="00341AF2"/>
    <w:rsid w:val="00341BB1"/>
    <w:rsid w:val="00341CCE"/>
    <w:rsid w:val="00341D74"/>
    <w:rsid w:val="00342041"/>
    <w:rsid w:val="003424B9"/>
    <w:rsid w:val="00342592"/>
    <w:rsid w:val="003425F0"/>
    <w:rsid w:val="00342A5E"/>
    <w:rsid w:val="00342A88"/>
    <w:rsid w:val="00343005"/>
    <w:rsid w:val="0034301E"/>
    <w:rsid w:val="0034335D"/>
    <w:rsid w:val="0034338A"/>
    <w:rsid w:val="0034360E"/>
    <w:rsid w:val="0034366B"/>
    <w:rsid w:val="003436A1"/>
    <w:rsid w:val="003437A1"/>
    <w:rsid w:val="00343816"/>
    <w:rsid w:val="00343864"/>
    <w:rsid w:val="0034387A"/>
    <w:rsid w:val="0034389D"/>
    <w:rsid w:val="00343A96"/>
    <w:rsid w:val="00343D6B"/>
    <w:rsid w:val="00343E1D"/>
    <w:rsid w:val="00343F85"/>
    <w:rsid w:val="00343FE5"/>
    <w:rsid w:val="00344275"/>
    <w:rsid w:val="003442B9"/>
    <w:rsid w:val="00344413"/>
    <w:rsid w:val="00344690"/>
    <w:rsid w:val="003447C2"/>
    <w:rsid w:val="00344A7B"/>
    <w:rsid w:val="00344B58"/>
    <w:rsid w:val="00344FE9"/>
    <w:rsid w:val="003451B9"/>
    <w:rsid w:val="003451C9"/>
    <w:rsid w:val="003451CC"/>
    <w:rsid w:val="0034527D"/>
    <w:rsid w:val="003452A7"/>
    <w:rsid w:val="00345526"/>
    <w:rsid w:val="003455A9"/>
    <w:rsid w:val="0034563F"/>
    <w:rsid w:val="00345707"/>
    <w:rsid w:val="00345751"/>
    <w:rsid w:val="0034577E"/>
    <w:rsid w:val="00345942"/>
    <w:rsid w:val="00345DF0"/>
    <w:rsid w:val="00345EE2"/>
    <w:rsid w:val="0034637C"/>
    <w:rsid w:val="003463E3"/>
    <w:rsid w:val="00346463"/>
    <w:rsid w:val="0034662C"/>
    <w:rsid w:val="003466E0"/>
    <w:rsid w:val="00346844"/>
    <w:rsid w:val="00346927"/>
    <w:rsid w:val="00346A80"/>
    <w:rsid w:val="00346BA0"/>
    <w:rsid w:val="00346CFA"/>
    <w:rsid w:val="00346D06"/>
    <w:rsid w:val="00346DBD"/>
    <w:rsid w:val="00346DE2"/>
    <w:rsid w:val="00346E13"/>
    <w:rsid w:val="00347024"/>
    <w:rsid w:val="00347416"/>
    <w:rsid w:val="00347457"/>
    <w:rsid w:val="0034770C"/>
    <w:rsid w:val="00347764"/>
    <w:rsid w:val="00347935"/>
    <w:rsid w:val="0034799A"/>
    <w:rsid w:val="00347AC8"/>
    <w:rsid w:val="00347B0E"/>
    <w:rsid w:val="00347BEF"/>
    <w:rsid w:val="00347C9D"/>
    <w:rsid w:val="00347CFF"/>
    <w:rsid w:val="00347D14"/>
    <w:rsid w:val="00347D3A"/>
    <w:rsid w:val="00350088"/>
    <w:rsid w:val="00350299"/>
    <w:rsid w:val="003506F4"/>
    <w:rsid w:val="0035078B"/>
    <w:rsid w:val="00350790"/>
    <w:rsid w:val="00350BA4"/>
    <w:rsid w:val="0035100E"/>
    <w:rsid w:val="00351196"/>
    <w:rsid w:val="00351295"/>
    <w:rsid w:val="00351317"/>
    <w:rsid w:val="003517D4"/>
    <w:rsid w:val="003519B4"/>
    <w:rsid w:val="00351BF6"/>
    <w:rsid w:val="00351C8E"/>
    <w:rsid w:val="00351CE5"/>
    <w:rsid w:val="00351E13"/>
    <w:rsid w:val="00352178"/>
    <w:rsid w:val="003521DE"/>
    <w:rsid w:val="003522F9"/>
    <w:rsid w:val="00352302"/>
    <w:rsid w:val="00352460"/>
    <w:rsid w:val="003524F2"/>
    <w:rsid w:val="00352599"/>
    <w:rsid w:val="00352660"/>
    <w:rsid w:val="003526C8"/>
    <w:rsid w:val="003528B0"/>
    <w:rsid w:val="00352995"/>
    <w:rsid w:val="00352A0E"/>
    <w:rsid w:val="00352D26"/>
    <w:rsid w:val="00352E00"/>
    <w:rsid w:val="00352EE1"/>
    <w:rsid w:val="00352FE9"/>
    <w:rsid w:val="00353031"/>
    <w:rsid w:val="0035304B"/>
    <w:rsid w:val="0035325B"/>
    <w:rsid w:val="00353484"/>
    <w:rsid w:val="0035390B"/>
    <w:rsid w:val="003539AC"/>
    <w:rsid w:val="00353A99"/>
    <w:rsid w:val="00353AB2"/>
    <w:rsid w:val="00353BC8"/>
    <w:rsid w:val="00353C02"/>
    <w:rsid w:val="00353D41"/>
    <w:rsid w:val="00353F0E"/>
    <w:rsid w:val="00354307"/>
    <w:rsid w:val="00354362"/>
    <w:rsid w:val="00354626"/>
    <w:rsid w:val="0035496B"/>
    <w:rsid w:val="003549C8"/>
    <w:rsid w:val="00354AE5"/>
    <w:rsid w:val="00354CFD"/>
    <w:rsid w:val="00354D24"/>
    <w:rsid w:val="00354E8B"/>
    <w:rsid w:val="00354ECD"/>
    <w:rsid w:val="0035508E"/>
    <w:rsid w:val="003550AD"/>
    <w:rsid w:val="003551E3"/>
    <w:rsid w:val="003552A9"/>
    <w:rsid w:val="003554F6"/>
    <w:rsid w:val="00355733"/>
    <w:rsid w:val="00355801"/>
    <w:rsid w:val="003558F6"/>
    <w:rsid w:val="003558FC"/>
    <w:rsid w:val="0035592C"/>
    <w:rsid w:val="003559CB"/>
    <w:rsid w:val="003559D4"/>
    <w:rsid w:val="00355B72"/>
    <w:rsid w:val="00355F28"/>
    <w:rsid w:val="00355F9E"/>
    <w:rsid w:val="00356041"/>
    <w:rsid w:val="0035614D"/>
    <w:rsid w:val="003561FE"/>
    <w:rsid w:val="0035628B"/>
    <w:rsid w:val="00356461"/>
    <w:rsid w:val="003568B0"/>
    <w:rsid w:val="003568C5"/>
    <w:rsid w:val="003569F4"/>
    <w:rsid w:val="00356A21"/>
    <w:rsid w:val="00356B78"/>
    <w:rsid w:val="00356CDC"/>
    <w:rsid w:val="00356F1B"/>
    <w:rsid w:val="0035718E"/>
    <w:rsid w:val="00357336"/>
    <w:rsid w:val="00357487"/>
    <w:rsid w:val="00357584"/>
    <w:rsid w:val="00357641"/>
    <w:rsid w:val="00357648"/>
    <w:rsid w:val="00357772"/>
    <w:rsid w:val="0035777A"/>
    <w:rsid w:val="00357CB1"/>
    <w:rsid w:val="00357D2E"/>
    <w:rsid w:val="00357D50"/>
    <w:rsid w:val="00357DB0"/>
    <w:rsid w:val="00357DE7"/>
    <w:rsid w:val="00360207"/>
    <w:rsid w:val="00360227"/>
    <w:rsid w:val="00360563"/>
    <w:rsid w:val="003605A3"/>
    <w:rsid w:val="003606F2"/>
    <w:rsid w:val="00360CE7"/>
    <w:rsid w:val="00360DED"/>
    <w:rsid w:val="00361086"/>
    <w:rsid w:val="003611E5"/>
    <w:rsid w:val="003615A9"/>
    <w:rsid w:val="00361763"/>
    <w:rsid w:val="00361ADA"/>
    <w:rsid w:val="00361DA5"/>
    <w:rsid w:val="00361F1B"/>
    <w:rsid w:val="00361F86"/>
    <w:rsid w:val="00362085"/>
    <w:rsid w:val="0036239F"/>
    <w:rsid w:val="003624CB"/>
    <w:rsid w:val="00362668"/>
    <w:rsid w:val="003626A8"/>
    <w:rsid w:val="003628EA"/>
    <w:rsid w:val="003628F2"/>
    <w:rsid w:val="00362CA5"/>
    <w:rsid w:val="00362CB3"/>
    <w:rsid w:val="00362D80"/>
    <w:rsid w:val="00362E7D"/>
    <w:rsid w:val="00362EC3"/>
    <w:rsid w:val="0036302E"/>
    <w:rsid w:val="0036320F"/>
    <w:rsid w:val="003632A3"/>
    <w:rsid w:val="003632E6"/>
    <w:rsid w:val="003634A3"/>
    <w:rsid w:val="00363521"/>
    <w:rsid w:val="003637A4"/>
    <w:rsid w:val="0036389C"/>
    <w:rsid w:val="003638B4"/>
    <w:rsid w:val="00363979"/>
    <w:rsid w:val="0036397B"/>
    <w:rsid w:val="00363B71"/>
    <w:rsid w:val="00363BC3"/>
    <w:rsid w:val="003641E1"/>
    <w:rsid w:val="00364217"/>
    <w:rsid w:val="00364444"/>
    <w:rsid w:val="00364733"/>
    <w:rsid w:val="00364767"/>
    <w:rsid w:val="00364A29"/>
    <w:rsid w:val="00364C56"/>
    <w:rsid w:val="00364C7C"/>
    <w:rsid w:val="00364DF4"/>
    <w:rsid w:val="00364EEF"/>
    <w:rsid w:val="00365111"/>
    <w:rsid w:val="0036511B"/>
    <w:rsid w:val="00365183"/>
    <w:rsid w:val="003651CB"/>
    <w:rsid w:val="0036529E"/>
    <w:rsid w:val="003652B6"/>
    <w:rsid w:val="00365A74"/>
    <w:rsid w:val="00365B15"/>
    <w:rsid w:val="00365B93"/>
    <w:rsid w:val="00365BF1"/>
    <w:rsid w:val="00365EEC"/>
    <w:rsid w:val="003660BA"/>
    <w:rsid w:val="003661F9"/>
    <w:rsid w:val="00366314"/>
    <w:rsid w:val="00366542"/>
    <w:rsid w:val="003665C4"/>
    <w:rsid w:val="00366668"/>
    <w:rsid w:val="003666F3"/>
    <w:rsid w:val="0036675C"/>
    <w:rsid w:val="0036678F"/>
    <w:rsid w:val="00366A9F"/>
    <w:rsid w:val="00366CED"/>
    <w:rsid w:val="00366EA4"/>
    <w:rsid w:val="003676BC"/>
    <w:rsid w:val="0036783A"/>
    <w:rsid w:val="0036795A"/>
    <w:rsid w:val="003679DA"/>
    <w:rsid w:val="00367AB8"/>
    <w:rsid w:val="00367D42"/>
    <w:rsid w:val="00367F24"/>
    <w:rsid w:val="00367F3F"/>
    <w:rsid w:val="0037003A"/>
    <w:rsid w:val="003702BA"/>
    <w:rsid w:val="0037031D"/>
    <w:rsid w:val="003703A5"/>
    <w:rsid w:val="0037049D"/>
    <w:rsid w:val="003704FB"/>
    <w:rsid w:val="00370570"/>
    <w:rsid w:val="00370598"/>
    <w:rsid w:val="003705F0"/>
    <w:rsid w:val="00370621"/>
    <w:rsid w:val="00370751"/>
    <w:rsid w:val="00370860"/>
    <w:rsid w:val="00370BFD"/>
    <w:rsid w:val="00370C3C"/>
    <w:rsid w:val="00370CD8"/>
    <w:rsid w:val="00370E8E"/>
    <w:rsid w:val="0037125C"/>
    <w:rsid w:val="0037126F"/>
    <w:rsid w:val="0037139B"/>
    <w:rsid w:val="003714DB"/>
    <w:rsid w:val="00371504"/>
    <w:rsid w:val="0037154B"/>
    <w:rsid w:val="00371561"/>
    <w:rsid w:val="0037161E"/>
    <w:rsid w:val="00371814"/>
    <w:rsid w:val="00371925"/>
    <w:rsid w:val="00371983"/>
    <w:rsid w:val="00371986"/>
    <w:rsid w:val="003719C5"/>
    <w:rsid w:val="00371A6B"/>
    <w:rsid w:val="00371B94"/>
    <w:rsid w:val="00371B98"/>
    <w:rsid w:val="00371CE6"/>
    <w:rsid w:val="00371DD1"/>
    <w:rsid w:val="00371F69"/>
    <w:rsid w:val="00371FBB"/>
    <w:rsid w:val="0037206D"/>
    <w:rsid w:val="003721AC"/>
    <w:rsid w:val="0037225C"/>
    <w:rsid w:val="00372578"/>
    <w:rsid w:val="00372841"/>
    <w:rsid w:val="00372A28"/>
    <w:rsid w:val="00372C17"/>
    <w:rsid w:val="00372D7E"/>
    <w:rsid w:val="00372EC7"/>
    <w:rsid w:val="00372FBC"/>
    <w:rsid w:val="003732AA"/>
    <w:rsid w:val="003733FA"/>
    <w:rsid w:val="00373463"/>
    <w:rsid w:val="00373659"/>
    <w:rsid w:val="00373709"/>
    <w:rsid w:val="00373742"/>
    <w:rsid w:val="00373C8E"/>
    <w:rsid w:val="00373D47"/>
    <w:rsid w:val="00373D76"/>
    <w:rsid w:val="00373F92"/>
    <w:rsid w:val="00374219"/>
    <w:rsid w:val="003742D2"/>
    <w:rsid w:val="00374833"/>
    <w:rsid w:val="003748B6"/>
    <w:rsid w:val="00374CAA"/>
    <w:rsid w:val="00374CC9"/>
    <w:rsid w:val="00374E8D"/>
    <w:rsid w:val="00374EB7"/>
    <w:rsid w:val="00374EDC"/>
    <w:rsid w:val="003758D8"/>
    <w:rsid w:val="00375A05"/>
    <w:rsid w:val="00375A4C"/>
    <w:rsid w:val="00375B4F"/>
    <w:rsid w:val="00375BDD"/>
    <w:rsid w:val="00375BF8"/>
    <w:rsid w:val="00375C5D"/>
    <w:rsid w:val="0037647D"/>
    <w:rsid w:val="00376562"/>
    <w:rsid w:val="003766F5"/>
    <w:rsid w:val="0037674E"/>
    <w:rsid w:val="00376758"/>
    <w:rsid w:val="003768B8"/>
    <w:rsid w:val="00376B26"/>
    <w:rsid w:val="00376C08"/>
    <w:rsid w:val="00376D7A"/>
    <w:rsid w:val="00376E22"/>
    <w:rsid w:val="003770D1"/>
    <w:rsid w:val="0037716A"/>
    <w:rsid w:val="00377619"/>
    <w:rsid w:val="003776CD"/>
    <w:rsid w:val="00377729"/>
    <w:rsid w:val="003779E5"/>
    <w:rsid w:val="00377AA9"/>
    <w:rsid w:val="00380130"/>
    <w:rsid w:val="003805CD"/>
    <w:rsid w:val="0038060E"/>
    <w:rsid w:val="00380699"/>
    <w:rsid w:val="003808DF"/>
    <w:rsid w:val="00380AD8"/>
    <w:rsid w:val="00380B0E"/>
    <w:rsid w:val="00380C3A"/>
    <w:rsid w:val="00380D8C"/>
    <w:rsid w:val="00380DD2"/>
    <w:rsid w:val="003810F5"/>
    <w:rsid w:val="00381173"/>
    <w:rsid w:val="003813C8"/>
    <w:rsid w:val="003813D4"/>
    <w:rsid w:val="003814C6"/>
    <w:rsid w:val="003815E9"/>
    <w:rsid w:val="00381725"/>
    <w:rsid w:val="003817E6"/>
    <w:rsid w:val="00381A29"/>
    <w:rsid w:val="00381E83"/>
    <w:rsid w:val="00381ED7"/>
    <w:rsid w:val="003822E6"/>
    <w:rsid w:val="0038247F"/>
    <w:rsid w:val="003824D9"/>
    <w:rsid w:val="0038250B"/>
    <w:rsid w:val="0038282E"/>
    <w:rsid w:val="003828CA"/>
    <w:rsid w:val="003829AE"/>
    <w:rsid w:val="00382EB4"/>
    <w:rsid w:val="00382F30"/>
    <w:rsid w:val="0038306D"/>
    <w:rsid w:val="00383078"/>
    <w:rsid w:val="00383109"/>
    <w:rsid w:val="00383354"/>
    <w:rsid w:val="003836DB"/>
    <w:rsid w:val="003837E8"/>
    <w:rsid w:val="00383864"/>
    <w:rsid w:val="003839CD"/>
    <w:rsid w:val="00383A5E"/>
    <w:rsid w:val="00383BD9"/>
    <w:rsid w:val="00383D5C"/>
    <w:rsid w:val="00383DCD"/>
    <w:rsid w:val="00383F9A"/>
    <w:rsid w:val="00384003"/>
    <w:rsid w:val="003841C0"/>
    <w:rsid w:val="00384731"/>
    <w:rsid w:val="00384733"/>
    <w:rsid w:val="0038477E"/>
    <w:rsid w:val="003849EA"/>
    <w:rsid w:val="00384B38"/>
    <w:rsid w:val="00384BEC"/>
    <w:rsid w:val="00384E3F"/>
    <w:rsid w:val="00384F00"/>
    <w:rsid w:val="00385342"/>
    <w:rsid w:val="0038565A"/>
    <w:rsid w:val="00385950"/>
    <w:rsid w:val="00385ECD"/>
    <w:rsid w:val="0038612B"/>
    <w:rsid w:val="003867AC"/>
    <w:rsid w:val="0038681E"/>
    <w:rsid w:val="00386835"/>
    <w:rsid w:val="00386883"/>
    <w:rsid w:val="00386896"/>
    <w:rsid w:val="003868FF"/>
    <w:rsid w:val="003869C2"/>
    <w:rsid w:val="00386BAD"/>
    <w:rsid w:val="00386BE4"/>
    <w:rsid w:val="00386D93"/>
    <w:rsid w:val="00386EB9"/>
    <w:rsid w:val="00387085"/>
    <w:rsid w:val="0038720C"/>
    <w:rsid w:val="00387360"/>
    <w:rsid w:val="00387393"/>
    <w:rsid w:val="00387511"/>
    <w:rsid w:val="003875C8"/>
    <w:rsid w:val="00387663"/>
    <w:rsid w:val="003877D2"/>
    <w:rsid w:val="00387859"/>
    <w:rsid w:val="00387B9B"/>
    <w:rsid w:val="00387C41"/>
    <w:rsid w:val="00387D42"/>
    <w:rsid w:val="00387E0F"/>
    <w:rsid w:val="00387E2F"/>
    <w:rsid w:val="003900B5"/>
    <w:rsid w:val="003907B3"/>
    <w:rsid w:val="00390A6B"/>
    <w:rsid w:val="00390BDF"/>
    <w:rsid w:val="00390D72"/>
    <w:rsid w:val="00390E88"/>
    <w:rsid w:val="00390EC1"/>
    <w:rsid w:val="00390ECC"/>
    <w:rsid w:val="0039107C"/>
    <w:rsid w:val="003910FB"/>
    <w:rsid w:val="00391275"/>
    <w:rsid w:val="003916B0"/>
    <w:rsid w:val="003917A0"/>
    <w:rsid w:val="0039199A"/>
    <w:rsid w:val="00391A11"/>
    <w:rsid w:val="00391D0A"/>
    <w:rsid w:val="00391DC9"/>
    <w:rsid w:val="00391EBF"/>
    <w:rsid w:val="003923E9"/>
    <w:rsid w:val="003924D5"/>
    <w:rsid w:val="00392576"/>
    <w:rsid w:val="00392696"/>
    <w:rsid w:val="00392703"/>
    <w:rsid w:val="003927FD"/>
    <w:rsid w:val="00392B1A"/>
    <w:rsid w:val="00392B1F"/>
    <w:rsid w:val="00392C19"/>
    <w:rsid w:val="00392EAC"/>
    <w:rsid w:val="00392ED7"/>
    <w:rsid w:val="00393084"/>
    <w:rsid w:val="00393368"/>
    <w:rsid w:val="0039344E"/>
    <w:rsid w:val="003934DB"/>
    <w:rsid w:val="003934F0"/>
    <w:rsid w:val="0039353D"/>
    <w:rsid w:val="0039376C"/>
    <w:rsid w:val="00393777"/>
    <w:rsid w:val="00393869"/>
    <w:rsid w:val="00393907"/>
    <w:rsid w:val="003939BD"/>
    <w:rsid w:val="00393B05"/>
    <w:rsid w:val="00393D64"/>
    <w:rsid w:val="00393FA9"/>
    <w:rsid w:val="00393FD1"/>
    <w:rsid w:val="003945A3"/>
    <w:rsid w:val="00394602"/>
    <w:rsid w:val="0039463D"/>
    <w:rsid w:val="00394D5C"/>
    <w:rsid w:val="00395080"/>
    <w:rsid w:val="00395495"/>
    <w:rsid w:val="003954BF"/>
    <w:rsid w:val="003958E9"/>
    <w:rsid w:val="00395A05"/>
    <w:rsid w:val="00395C25"/>
    <w:rsid w:val="00395E3A"/>
    <w:rsid w:val="00395E51"/>
    <w:rsid w:val="003964E1"/>
    <w:rsid w:val="003965B2"/>
    <w:rsid w:val="003965C6"/>
    <w:rsid w:val="00396638"/>
    <w:rsid w:val="003969CF"/>
    <w:rsid w:val="003971F2"/>
    <w:rsid w:val="003972ED"/>
    <w:rsid w:val="003973C8"/>
    <w:rsid w:val="00397545"/>
    <w:rsid w:val="00397896"/>
    <w:rsid w:val="0039796B"/>
    <w:rsid w:val="00397DF2"/>
    <w:rsid w:val="00397FD7"/>
    <w:rsid w:val="003A014D"/>
    <w:rsid w:val="003A01B5"/>
    <w:rsid w:val="003A02E7"/>
    <w:rsid w:val="003A0351"/>
    <w:rsid w:val="003A04D2"/>
    <w:rsid w:val="003A05E3"/>
    <w:rsid w:val="003A066D"/>
    <w:rsid w:val="003A086F"/>
    <w:rsid w:val="003A0A98"/>
    <w:rsid w:val="003A0BA1"/>
    <w:rsid w:val="003A0BE5"/>
    <w:rsid w:val="003A0BF1"/>
    <w:rsid w:val="003A0C30"/>
    <w:rsid w:val="003A0DBE"/>
    <w:rsid w:val="003A0F71"/>
    <w:rsid w:val="003A1036"/>
    <w:rsid w:val="003A1110"/>
    <w:rsid w:val="003A12C4"/>
    <w:rsid w:val="003A140F"/>
    <w:rsid w:val="003A1725"/>
    <w:rsid w:val="003A172D"/>
    <w:rsid w:val="003A18CE"/>
    <w:rsid w:val="003A1A0F"/>
    <w:rsid w:val="003A1A9C"/>
    <w:rsid w:val="003A1B01"/>
    <w:rsid w:val="003A1B34"/>
    <w:rsid w:val="003A1F70"/>
    <w:rsid w:val="003A2016"/>
    <w:rsid w:val="003A2032"/>
    <w:rsid w:val="003A21F5"/>
    <w:rsid w:val="003A23A0"/>
    <w:rsid w:val="003A2408"/>
    <w:rsid w:val="003A2437"/>
    <w:rsid w:val="003A24A1"/>
    <w:rsid w:val="003A2647"/>
    <w:rsid w:val="003A2A46"/>
    <w:rsid w:val="003A2C36"/>
    <w:rsid w:val="003A2C3B"/>
    <w:rsid w:val="003A2D2A"/>
    <w:rsid w:val="003A2E7E"/>
    <w:rsid w:val="003A2EC2"/>
    <w:rsid w:val="003A3002"/>
    <w:rsid w:val="003A3535"/>
    <w:rsid w:val="003A3563"/>
    <w:rsid w:val="003A3653"/>
    <w:rsid w:val="003A36E1"/>
    <w:rsid w:val="003A371C"/>
    <w:rsid w:val="003A38E3"/>
    <w:rsid w:val="003A3A1D"/>
    <w:rsid w:val="003A3BF7"/>
    <w:rsid w:val="003A3E97"/>
    <w:rsid w:val="003A3EE7"/>
    <w:rsid w:val="003A3FF0"/>
    <w:rsid w:val="003A4186"/>
    <w:rsid w:val="003A4541"/>
    <w:rsid w:val="003A457B"/>
    <w:rsid w:val="003A46D6"/>
    <w:rsid w:val="003A4772"/>
    <w:rsid w:val="003A4820"/>
    <w:rsid w:val="003A4D87"/>
    <w:rsid w:val="003A5001"/>
    <w:rsid w:val="003A54D3"/>
    <w:rsid w:val="003A5613"/>
    <w:rsid w:val="003A58D6"/>
    <w:rsid w:val="003A5BF0"/>
    <w:rsid w:val="003A5CA8"/>
    <w:rsid w:val="003A5CDA"/>
    <w:rsid w:val="003A5DF8"/>
    <w:rsid w:val="003A5F26"/>
    <w:rsid w:val="003A60B6"/>
    <w:rsid w:val="003A60DF"/>
    <w:rsid w:val="003A61B4"/>
    <w:rsid w:val="003A62D8"/>
    <w:rsid w:val="003A67FA"/>
    <w:rsid w:val="003A69E2"/>
    <w:rsid w:val="003A6AEA"/>
    <w:rsid w:val="003A6B13"/>
    <w:rsid w:val="003A6EDF"/>
    <w:rsid w:val="003A72E0"/>
    <w:rsid w:val="003A7417"/>
    <w:rsid w:val="003A743C"/>
    <w:rsid w:val="003A7586"/>
    <w:rsid w:val="003A7619"/>
    <w:rsid w:val="003A77C2"/>
    <w:rsid w:val="003A77FA"/>
    <w:rsid w:val="003A7E6A"/>
    <w:rsid w:val="003A7E9F"/>
    <w:rsid w:val="003B021D"/>
    <w:rsid w:val="003B02CE"/>
    <w:rsid w:val="003B0301"/>
    <w:rsid w:val="003B062E"/>
    <w:rsid w:val="003B0678"/>
    <w:rsid w:val="003B06C4"/>
    <w:rsid w:val="003B07E3"/>
    <w:rsid w:val="003B086E"/>
    <w:rsid w:val="003B090E"/>
    <w:rsid w:val="003B091B"/>
    <w:rsid w:val="003B093E"/>
    <w:rsid w:val="003B0B89"/>
    <w:rsid w:val="003B0C20"/>
    <w:rsid w:val="003B0CAA"/>
    <w:rsid w:val="003B0EAC"/>
    <w:rsid w:val="003B11E1"/>
    <w:rsid w:val="003B134F"/>
    <w:rsid w:val="003B14ED"/>
    <w:rsid w:val="003B186D"/>
    <w:rsid w:val="003B1B07"/>
    <w:rsid w:val="003B1C03"/>
    <w:rsid w:val="003B1F86"/>
    <w:rsid w:val="003B20B2"/>
    <w:rsid w:val="003B22EA"/>
    <w:rsid w:val="003B2393"/>
    <w:rsid w:val="003B23A6"/>
    <w:rsid w:val="003B242E"/>
    <w:rsid w:val="003B2570"/>
    <w:rsid w:val="003B26FD"/>
    <w:rsid w:val="003B2FD7"/>
    <w:rsid w:val="003B304C"/>
    <w:rsid w:val="003B309D"/>
    <w:rsid w:val="003B321E"/>
    <w:rsid w:val="003B33E4"/>
    <w:rsid w:val="003B3685"/>
    <w:rsid w:val="003B37B4"/>
    <w:rsid w:val="003B37E7"/>
    <w:rsid w:val="003B37FE"/>
    <w:rsid w:val="003B3854"/>
    <w:rsid w:val="003B3BE2"/>
    <w:rsid w:val="003B3C0B"/>
    <w:rsid w:val="003B3D52"/>
    <w:rsid w:val="003B3DC0"/>
    <w:rsid w:val="003B3E1D"/>
    <w:rsid w:val="003B3F33"/>
    <w:rsid w:val="003B3FDF"/>
    <w:rsid w:val="003B4023"/>
    <w:rsid w:val="003B453A"/>
    <w:rsid w:val="003B46B5"/>
    <w:rsid w:val="003B476D"/>
    <w:rsid w:val="003B4846"/>
    <w:rsid w:val="003B4AC6"/>
    <w:rsid w:val="003B4B74"/>
    <w:rsid w:val="003B4B9B"/>
    <w:rsid w:val="003B4BAD"/>
    <w:rsid w:val="003B4CC8"/>
    <w:rsid w:val="003B4E7F"/>
    <w:rsid w:val="003B4E96"/>
    <w:rsid w:val="003B4F69"/>
    <w:rsid w:val="003B5109"/>
    <w:rsid w:val="003B52CD"/>
    <w:rsid w:val="003B5316"/>
    <w:rsid w:val="003B550F"/>
    <w:rsid w:val="003B5617"/>
    <w:rsid w:val="003B5760"/>
    <w:rsid w:val="003B580C"/>
    <w:rsid w:val="003B5B06"/>
    <w:rsid w:val="003B5C0E"/>
    <w:rsid w:val="003B5C73"/>
    <w:rsid w:val="003B5E25"/>
    <w:rsid w:val="003B5E53"/>
    <w:rsid w:val="003B5E70"/>
    <w:rsid w:val="003B5F16"/>
    <w:rsid w:val="003B61F6"/>
    <w:rsid w:val="003B65F4"/>
    <w:rsid w:val="003B6638"/>
    <w:rsid w:val="003B6938"/>
    <w:rsid w:val="003B69B3"/>
    <w:rsid w:val="003B6B1C"/>
    <w:rsid w:val="003B6B4D"/>
    <w:rsid w:val="003B6DD2"/>
    <w:rsid w:val="003B6EFD"/>
    <w:rsid w:val="003B6F1B"/>
    <w:rsid w:val="003B6F1D"/>
    <w:rsid w:val="003B6F24"/>
    <w:rsid w:val="003B6F40"/>
    <w:rsid w:val="003B6F4F"/>
    <w:rsid w:val="003B6FDC"/>
    <w:rsid w:val="003B7085"/>
    <w:rsid w:val="003B734E"/>
    <w:rsid w:val="003B739C"/>
    <w:rsid w:val="003B743A"/>
    <w:rsid w:val="003B74C5"/>
    <w:rsid w:val="003B75C3"/>
    <w:rsid w:val="003B764E"/>
    <w:rsid w:val="003B7804"/>
    <w:rsid w:val="003B7CFE"/>
    <w:rsid w:val="003B7E4E"/>
    <w:rsid w:val="003B7EC9"/>
    <w:rsid w:val="003C00C9"/>
    <w:rsid w:val="003C02FB"/>
    <w:rsid w:val="003C03AF"/>
    <w:rsid w:val="003C03BF"/>
    <w:rsid w:val="003C03C8"/>
    <w:rsid w:val="003C058B"/>
    <w:rsid w:val="003C05B8"/>
    <w:rsid w:val="003C061B"/>
    <w:rsid w:val="003C067D"/>
    <w:rsid w:val="003C0694"/>
    <w:rsid w:val="003C0B3D"/>
    <w:rsid w:val="003C0D78"/>
    <w:rsid w:val="003C1384"/>
    <w:rsid w:val="003C1392"/>
    <w:rsid w:val="003C13E1"/>
    <w:rsid w:val="003C1633"/>
    <w:rsid w:val="003C197D"/>
    <w:rsid w:val="003C1B4A"/>
    <w:rsid w:val="003C1D0A"/>
    <w:rsid w:val="003C1E8F"/>
    <w:rsid w:val="003C1F02"/>
    <w:rsid w:val="003C206A"/>
    <w:rsid w:val="003C223D"/>
    <w:rsid w:val="003C2240"/>
    <w:rsid w:val="003C22B3"/>
    <w:rsid w:val="003C22F7"/>
    <w:rsid w:val="003C2488"/>
    <w:rsid w:val="003C2494"/>
    <w:rsid w:val="003C253E"/>
    <w:rsid w:val="003C2540"/>
    <w:rsid w:val="003C2588"/>
    <w:rsid w:val="003C28D3"/>
    <w:rsid w:val="003C2A12"/>
    <w:rsid w:val="003C2A7A"/>
    <w:rsid w:val="003C2E86"/>
    <w:rsid w:val="003C2EA1"/>
    <w:rsid w:val="003C3088"/>
    <w:rsid w:val="003C3140"/>
    <w:rsid w:val="003C33FF"/>
    <w:rsid w:val="003C34DC"/>
    <w:rsid w:val="003C34F5"/>
    <w:rsid w:val="003C3862"/>
    <w:rsid w:val="003C3B81"/>
    <w:rsid w:val="003C3C77"/>
    <w:rsid w:val="003C3FEE"/>
    <w:rsid w:val="003C4252"/>
    <w:rsid w:val="003C4272"/>
    <w:rsid w:val="003C4350"/>
    <w:rsid w:val="003C439C"/>
    <w:rsid w:val="003C46AF"/>
    <w:rsid w:val="003C4746"/>
    <w:rsid w:val="003C47A7"/>
    <w:rsid w:val="003C49F1"/>
    <w:rsid w:val="003C4B36"/>
    <w:rsid w:val="003C4C2F"/>
    <w:rsid w:val="003C4CED"/>
    <w:rsid w:val="003C4DE1"/>
    <w:rsid w:val="003C5049"/>
    <w:rsid w:val="003C51EF"/>
    <w:rsid w:val="003C5334"/>
    <w:rsid w:val="003C5881"/>
    <w:rsid w:val="003C5C1A"/>
    <w:rsid w:val="003C5C4D"/>
    <w:rsid w:val="003C5CE4"/>
    <w:rsid w:val="003C5CF4"/>
    <w:rsid w:val="003C5D3E"/>
    <w:rsid w:val="003C5E64"/>
    <w:rsid w:val="003C6025"/>
    <w:rsid w:val="003C62E8"/>
    <w:rsid w:val="003C680F"/>
    <w:rsid w:val="003C691E"/>
    <w:rsid w:val="003C6ABB"/>
    <w:rsid w:val="003C6B56"/>
    <w:rsid w:val="003C6B5B"/>
    <w:rsid w:val="003C6D7C"/>
    <w:rsid w:val="003C7048"/>
    <w:rsid w:val="003C7057"/>
    <w:rsid w:val="003C71F5"/>
    <w:rsid w:val="003C72AF"/>
    <w:rsid w:val="003C7345"/>
    <w:rsid w:val="003C7527"/>
    <w:rsid w:val="003C7615"/>
    <w:rsid w:val="003C7C16"/>
    <w:rsid w:val="003C7D15"/>
    <w:rsid w:val="003C7E34"/>
    <w:rsid w:val="003C7E60"/>
    <w:rsid w:val="003C7F1D"/>
    <w:rsid w:val="003D029A"/>
    <w:rsid w:val="003D0554"/>
    <w:rsid w:val="003D06A8"/>
    <w:rsid w:val="003D07F2"/>
    <w:rsid w:val="003D0A66"/>
    <w:rsid w:val="003D0B87"/>
    <w:rsid w:val="003D0BE0"/>
    <w:rsid w:val="003D0CAB"/>
    <w:rsid w:val="003D0E90"/>
    <w:rsid w:val="003D1055"/>
    <w:rsid w:val="003D117F"/>
    <w:rsid w:val="003D120E"/>
    <w:rsid w:val="003D1558"/>
    <w:rsid w:val="003D16B3"/>
    <w:rsid w:val="003D1816"/>
    <w:rsid w:val="003D18B4"/>
    <w:rsid w:val="003D1CE5"/>
    <w:rsid w:val="003D1F9E"/>
    <w:rsid w:val="003D2238"/>
    <w:rsid w:val="003D233F"/>
    <w:rsid w:val="003D23C4"/>
    <w:rsid w:val="003D28CF"/>
    <w:rsid w:val="003D2A86"/>
    <w:rsid w:val="003D2B2C"/>
    <w:rsid w:val="003D2F17"/>
    <w:rsid w:val="003D300F"/>
    <w:rsid w:val="003D31D6"/>
    <w:rsid w:val="003D3258"/>
    <w:rsid w:val="003D346D"/>
    <w:rsid w:val="003D3599"/>
    <w:rsid w:val="003D3BFF"/>
    <w:rsid w:val="003D3C7F"/>
    <w:rsid w:val="003D3D8B"/>
    <w:rsid w:val="003D40B4"/>
    <w:rsid w:val="003D42D6"/>
    <w:rsid w:val="003D4445"/>
    <w:rsid w:val="003D45E1"/>
    <w:rsid w:val="003D48DA"/>
    <w:rsid w:val="003D494C"/>
    <w:rsid w:val="003D4DF2"/>
    <w:rsid w:val="003D4F9A"/>
    <w:rsid w:val="003D4FF1"/>
    <w:rsid w:val="003D4FFF"/>
    <w:rsid w:val="003D503D"/>
    <w:rsid w:val="003D5123"/>
    <w:rsid w:val="003D5424"/>
    <w:rsid w:val="003D551C"/>
    <w:rsid w:val="003D56B4"/>
    <w:rsid w:val="003D56BC"/>
    <w:rsid w:val="003D56DD"/>
    <w:rsid w:val="003D58DC"/>
    <w:rsid w:val="003D5F04"/>
    <w:rsid w:val="003D5F6E"/>
    <w:rsid w:val="003D5FD3"/>
    <w:rsid w:val="003D6370"/>
    <w:rsid w:val="003D64A8"/>
    <w:rsid w:val="003D64F7"/>
    <w:rsid w:val="003D65DB"/>
    <w:rsid w:val="003D68CE"/>
    <w:rsid w:val="003D692B"/>
    <w:rsid w:val="003D69EB"/>
    <w:rsid w:val="003D6BE5"/>
    <w:rsid w:val="003D6DF7"/>
    <w:rsid w:val="003D6DFC"/>
    <w:rsid w:val="003D6EBC"/>
    <w:rsid w:val="003D7061"/>
    <w:rsid w:val="003D7064"/>
    <w:rsid w:val="003D715F"/>
    <w:rsid w:val="003D7742"/>
    <w:rsid w:val="003D774F"/>
    <w:rsid w:val="003D7837"/>
    <w:rsid w:val="003D7847"/>
    <w:rsid w:val="003D78E6"/>
    <w:rsid w:val="003D7907"/>
    <w:rsid w:val="003D7967"/>
    <w:rsid w:val="003D7AA7"/>
    <w:rsid w:val="003D7C96"/>
    <w:rsid w:val="003D7F1E"/>
    <w:rsid w:val="003E0024"/>
    <w:rsid w:val="003E028B"/>
    <w:rsid w:val="003E0325"/>
    <w:rsid w:val="003E04B5"/>
    <w:rsid w:val="003E0538"/>
    <w:rsid w:val="003E05E8"/>
    <w:rsid w:val="003E079F"/>
    <w:rsid w:val="003E0982"/>
    <w:rsid w:val="003E0A8D"/>
    <w:rsid w:val="003E0D12"/>
    <w:rsid w:val="003E0FB1"/>
    <w:rsid w:val="003E0FCA"/>
    <w:rsid w:val="003E1029"/>
    <w:rsid w:val="003E1062"/>
    <w:rsid w:val="003E1197"/>
    <w:rsid w:val="003E1586"/>
    <w:rsid w:val="003E16F4"/>
    <w:rsid w:val="003E1922"/>
    <w:rsid w:val="003E1B43"/>
    <w:rsid w:val="003E1DFA"/>
    <w:rsid w:val="003E1E55"/>
    <w:rsid w:val="003E1F83"/>
    <w:rsid w:val="003E21D6"/>
    <w:rsid w:val="003E22DB"/>
    <w:rsid w:val="003E2376"/>
    <w:rsid w:val="003E266A"/>
    <w:rsid w:val="003E2875"/>
    <w:rsid w:val="003E28D4"/>
    <w:rsid w:val="003E2CDF"/>
    <w:rsid w:val="003E2DA0"/>
    <w:rsid w:val="003E2FC6"/>
    <w:rsid w:val="003E32F3"/>
    <w:rsid w:val="003E3318"/>
    <w:rsid w:val="003E3504"/>
    <w:rsid w:val="003E36AB"/>
    <w:rsid w:val="003E376A"/>
    <w:rsid w:val="003E397B"/>
    <w:rsid w:val="003E39B6"/>
    <w:rsid w:val="003E39FD"/>
    <w:rsid w:val="003E3A2F"/>
    <w:rsid w:val="003E3BD6"/>
    <w:rsid w:val="003E3BE1"/>
    <w:rsid w:val="003E3D1C"/>
    <w:rsid w:val="003E3D21"/>
    <w:rsid w:val="003E3EA9"/>
    <w:rsid w:val="003E3EE0"/>
    <w:rsid w:val="003E40E7"/>
    <w:rsid w:val="003E410E"/>
    <w:rsid w:val="003E411F"/>
    <w:rsid w:val="003E420A"/>
    <w:rsid w:val="003E43F7"/>
    <w:rsid w:val="003E44DE"/>
    <w:rsid w:val="003E4AFB"/>
    <w:rsid w:val="003E4BD2"/>
    <w:rsid w:val="003E4C63"/>
    <w:rsid w:val="003E4D31"/>
    <w:rsid w:val="003E4D56"/>
    <w:rsid w:val="003E4DBD"/>
    <w:rsid w:val="003E4EB0"/>
    <w:rsid w:val="003E50E5"/>
    <w:rsid w:val="003E5186"/>
    <w:rsid w:val="003E5205"/>
    <w:rsid w:val="003E5477"/>
    <w:rsid w:val="003E5C1E"/>
    <w:rsid w:val="003E5D41"/>
    <w:rsid w:val="003E5F89"/>
    <w:rsid w:val="003E6077"/>
    <w:rsid w:val="003E6152"/>
    <w:rsid w:val="003E6317"/>
    <w:rsid w:val="003E63BF"/>
    <w:rsid w:val="003E64E0"/>
    <w:rsid w:val="003E699A"/>
    <w:rsid w:val="003E6ADB"/>
    <w:rsid w:val="003E6B24"/>
    <w:rsid w:val="003E6EDF"/>
    <w:rsid w:val="003E7187"/>
    <w:rsid w:val="003E7250"/>
    <w:rsid w:val="003E725C"/>
    <w:rsid w:val="003E74BF"/>
    <w:rsid w:val="003E78BD"/>
    <w:rsid w:val="003E7FF8"/>
    <w:rsid w:val="003F0022"/>
    <w:rsid w:val="003F00BF"/>
    <w:rsid w:val="003F01A7"/>
    <w:rsid w:val="003F04D8"/>
    <w:rsid w:val="003F0557"/>
    <w:rsid w:val="003F0752"/>
    <w:rsid w:val="003F0B9A"/>
    <w:rsid w:val="003F0D5B"/>
    <w:rsid w:val="003F0F03"/>
    <w:rsid w:val="003F0F64"/>
    <w:rsid w:val="003F10B9"/>
    <w:rsid w:val="003F122F"/>
    <w:rsid w:val="003F1354"/>
    <w:rsid w:val="003F169B"/>
    <w:rsid w:val="003F1962"/>
    <w:rsid w:val="003F1A59"/>
    <w:rsid w:val="003F1CD3"/>
    <w:rsid w:val="003F1DF5"/>
    <w:rsid w:val="003F1E7D"/>
    <w:rsid w:val="003F20D6"/>
    <w:rsid w:val="003F2340"/>
    <w:rsid w:val="003F2567"/>
    <w:rsid w:val="003F2853"/>
    <w:rsid w:val="003F2A10"/>
    <w:rsid w:val="003F2A20"/>
    <w:rsid w:val="003F2A30"/>
    <w:rsid w:val="003F2B9C"/>
    <w:rsid w:val="003F2BA2"/>
    <w:rsid w:val="003F2BB4"/>
    <w:rsid w:val="003F2D5A"/>
    <w:rsid w:val="003F30AA"/>
    <w:rsid w:val="003F30CC"/>
    <w:rsid w:val="003F3205"/>
    <w:rsid w:val="003F3269"/>
    <w:rsid w:val="003F34AE"/>
    <w:rsid w:val="003F35C0"/>
    <w:rsid w:val="003F3724"/>
    <w:rsid w:val="003F37AB"/>
    <w:rsid w:val="003F38A2"/>
    <w:rsid w:val="003F38D2"/>
    <w:rsid w:val="003F3C90"/>
    <w:rsid w:val="003F3DAE"/>
    <w:rsid w:val="003F3FAA"/>
    <w:rsid w:val="003F40FF"/>
    <w:rsid w:val="003F412B"/>
    <w:rsid w:val="003F42CD"/>
    <w:rsid w:val="003F4B64"/>
    <w:rsid w:val="003F4DA9"/>
    <w:rsid w:val="003F4E1C"/>
    <w:rsid w:val="003F4F1E"/>
    <w:rsid w:val="003F4F4C"/>
    <w:rsid w:val="003F4FA4"/>
    <w:rsid w:val="003F51EA"/>
    <w:rsid w:val="003F5352"/>
    <w:rsid w:val="003F55EB"/>
    <w:rsid w:val="003F587B"/>
    <w:rsid w:val="003F5B20"/>
    <w:rsid w:val="003F5B85"/>
    <w:rsid w:val="003F5BB7"/>
    <w:rsid w:val="003F5C96"/>
    <w:rsid w:val="003F60CB"/>
    <w:rsid w:val="003F61A8"/>
    <w:rsid w:val="003F61C1"/>
    <w:rsid w:val="003F626D"/>
    <w:rsid w:val="003F63E3"/>
    <w:rsid w:val="003F6728"/>
    <w:rsid w:val="003F6784"/>
    <w:rsid w:val="003F693F"/>
    <w:rsid w:val="003F6973"/>
    <w:rsid w:val="003F6A7D"/>
    <w:rsid w:val="003F6C3C"/>
    <w:rsid w:val="003F6C73"/>
    <w:rsid w:val="003F6CF3"/>
    <w:rsid w:val="003F6D20"/>
    <w:rsid w:val="003F6DDB"/>
    <w:rsid w:val="003F6DFD"/>
    <w:rsid w:val="003F6EAA"/>
    <w:rsid w:val="003F6F52"/>
    <w:rsid w:val="003F6FE6"/>
    <w:rsid w:val="003F702A"/>
    <w:rsid w:val="003F7517"/>
    <w:rsid w:val="003F7537"/>
    <w:rsid w:val="003F7588"/>
    <w:rsid w:val="003F77E5"/>
    <w:rsid w:val="003F7981"/>
    <w:rsid w:val="003F79F3"/>
    <w:rsid w:val="003F7A9B"/>
    <w:rsid w:val="003F7B16"/>
    <w:rsid w:val="003F7B5D"/>
    <w:rsid w:val="003F7D3F"/>
    <w:rsid w:val="003F7E2E"/>
    <w:rsid w:val="003F7FDF"/>
    <w:rsid w:val="00400147"/>
    <w:rsid w:val="004001BA"/>
    <w:rsid w:val="0040025F"/>
    <w:rsid w:val="00400383"/>
    <w:rsid w:val="004003E7"/>
    <w:rsid w:val="00400702"/>
    <w:rsid w:val="0040072D"/>
    <w:rsid w:val="0040093F"/>
    <w:rsid w:val="00400967"/>
    <w:rsid w:val="004009CD"/>
    <w:rsid w:val="00400B00"/>
    <w:rsid w:val="00400B7E"/>
    <w:rsid w:val="00400F23"/>
    <w:rsid w:val="00400F42"/>
    <w:rsid w:val="00400FEA"/>
    <w:rsid w:val="00401489"/>
    <w:rsid w:val="004014A6"/>
    <w:rsid w:val="0040152D"/>
    <w:rsid w:val="00401C15"/>
    <w:rsid w:val="00401D24"/>
    <w:rsid w:val="00402207"/>
    <w:rsid w:val="004026BA"/>
    <w:rsid w:val="004026D6"/>
    <w:rsid w:val="00402780"/>
    <w:rsid w:val="00402904"/>
    <w:rsid w:val="00402D19"/>
    <w:rsid w:val="00403096"/>
    <w:rsid w:val="0040320C"/>
    <w:rsid w:val="0040352B"/>
    <w:rsid w:val="00403580"/>
    <w:rsid w:val="004036B6"/>
    <w:rsid w:val="0040399C"/>
    <w:rsid w:val="004039AE"/>
    <w:rsid w:val="004039FE"/>
    <w:rsid w:val="00403B33"/>
    <w:rsid w:val="00403EA3"/>
    <w:rsid w:val="00403EF2"/>
    <w:rsid w:val="00403F72"/>
    <w:rsid w:val="00403FE4"/>
    <w:rsid w:val="004040AE"/>
    <w:rsid w:val="004040B9"/>
    <w:rsid w:val="00404433"/>
    <w:rsid w:val="00404687"/>
    <w:rsid w:val="00404B41"/>
    <w:rsid w:val="00404D27"/>
    <w:rsid w:val="00404D72"/>
    <w:rsid w:val="00404E04"/>
    <w:rsid w:val="00404E5C"/>
    <w:rsid w:val="004050C3"/>
    <w:rsid w:val="00405709"/>
    <w:rsid w:val="004057A9"/>
    <w:rsid w:val="00405A73"/>
    <w:rsid w:val="00405ADC"/>
    <w:rsid w:val="00405B83"/>
    <w:rsid w:val="00406236"/>
    <w:rsid w:val="004063D2"/>
    <w:rsid w:val="004064E6"/>
    <w:rsid w:val="004065F4"/>
    <w:rsid w:val="00406747"/>
    <w:rsid w:val="004067DC"/>
    <w:rsid w:val="00406B4B"/>
    <w:rsid w:val="00406DDF"/>
    <w:rsid w:val="00406F78"/>
    <w:rsid w:val="00406FAE"/>
    <w:rsid w:val="0040777D"/>
    <w:rsid w:val="00407AD2"/>
    <w:rsid w:val="00407AEA"/>
    <w:rsid w:val="00407B5C"/>
    <w:rsid w:val="00407DD6"/>
    <w:rsid w:val="00410413"/>
    <w:rsid w:val="00410499"/>
    <w:rsid w:val="00410502"/>
    <w:rsid w:val="00410C49"/>
    <w:rsid w:val="004110B9"/>
    <w:rsid w:val="004112DB"/>
    <w:rsid w:val="004115A5"/>
    <w:rsid w:val="004115BA"/>
    <w:rsid w:val="00411B00"/>
    <w:rsid w:val="00411C04"/>
    <w:rsid w:val="00411C86"/>
    <w:rsid w:val="00411E3A"/>
    <w:rsid w:val="00411FD7"/>
    <w:rsid w:val="0041219C"/>
    <w:rsid w:val="004122C8"/>
    <w:rsid w:val="00412468"/>
    <w:rsid w:val="004125A4"/>
    <w:rsid w:val="00412606"/>
    <w:rsid w:val="00412673"/>
    <w:rsid w:val="004126B6"/>
    <w:rsid w:val="0041299C"/>
    <w:rsid w:val="00412A43"/>
    <w:rsid w:val="00412A56"/>
    <w:rsid w:val="00412CF2"/>
    <w:rsid w:val="00412D3B"/>
    <w:rsid w:val="00412D42"/>
    <w:rsid w:val="0041305E"/>
    <w:rsid w:val="0041353F"/>
    <w:rsid w:val="004135FC"/>
    <w:rsid w:val="004138E6"/>
    <w:rsid w:val="00413966"/>
    <w:rsid w:val="004139C4"/>
    <w:rsid w:val="004140A2"/>
    <w:rsid w:val="004141C1"/>
    <w:rsid w:val="0041434C"/>
    <w:rsid w:val="0041438E"/>
    <w:rsid w:val="0041439E"/>
    <w:rsid w:val="0041475E"/>
    <w:rsid w:val="004149A5"/>
    <w:rsid w:val="00414D17"/>
    <w:rsid w:val="00414EAF"/>
    <w:rsid w:val="00414F63"/>
    <w:rsid w:val="00414F95"/>
    <w:rsid w:val="00415051"/>
    <w:rsid w:val="00415112"/>
    <w:rsid w:val="00415183"/>
    <w:rsid w:val="004154CA"/>
    <w:rsid w:val="00415634"/>
    <w:rsid w:val="0041591B"/>
    <w:rsid w:val="004159E1"/>
    <w:rsid w:val="00415BF3"/>
    <w:rsid w:val="00415C00"/>
    <w:rsid w:val="00415C7E"/>
    <w:rsid w:val="00415C92"/>
    <w:rsid w:val="00415CAD"/>
    <w:rsid w:val="00415F84"/>
    <w:rsid w:val="00416122"/>
    <w:rsid w:val="00416201"/>
    <w:rsid w:val="0041635E"/>
    <w:rsid w:val="00416385"/>
    <w:rsid w:val="004166B1"/>
    <w:rsid w:val="004169EA"/>
    <w:rsid w:val="00416B10"/>
    <w:rsid w:val="00416E6E"/>
    <w:rsid w:val="004172DD"/>
    <w:rsid w:val="004172FF"/>
    <w:rsid w:val="004173BB"/>
    <w:rsid w:val="00417400"/>
    <w:rsid w:val="00417554"/>
    <w:rsid w:val="00417613"/>
    <w:rsid w:val="004176E2"/>
    <w:rsid w:val="00417701"/>
    <w:rsid w:val="00417759"/>
    <w:rsid w:val="004177A5"/>
    <w:rsid w:val="0041785B"/>
    <w:rsid w:val="00417A54"/>
    <w:rsid w:val="00417AD5"/>
    <w:rsid w:val="00417CD5"/>
    <w:rsid w:val="00417DDE"/>
    <w:rsid w:val="00417F3F"/>
    <w:rsid w:val="0042001A"/>
    <w:rsid w:val="00420052"/>
    <w:rsid w:val="0042006B"/>
    <w:rsid w:val="004200FD"/>
    <w:rsid w:val="004201D3"/>
    <w:rsid w:val="004202BF"/>
    <w:rsid w:val="004203ED"/>
    <w:rsid w:val="00420686"/>
    <w:rsid w:val="00420844"/>
    <w:rsid w:val="00420A75"/>
    <w:rsid w:val="00420B76"/>
    <w:rsid w:val="00420BEF"/>
    <w:rsid w:val="00420F03"/>
    <w:rsid w:val="004210A0"/>
    <w:rsid w:val="00421815"/>
    <w:rsid w:val="00421B68"/>
    <w:rsid w:val="00421DF2"/>
    <w:rsid w:val="0042202A"/>
    <w:rsid w:val="00422338"/>
    <w:rsid w:val="0042251F"/>
    <w:rsid w:val="00422524"/>
    <w:rsid w:val="00422689"/>
    <w:rsid w:val="00422A31"/>
    <w:rsid w:val="00422A55"/>
    <w:rsid w:val="00422DB1"/>
    <w:rsid w:val="00422DC5"/>
    <w:rsid w:val="0042301B"/>
    <w:rsid w:val="0042302B"/>
    <w:rsid w:val="00423168"/>
    <w:rsid w:val="004231B2"/>
    <w:rsid w:val="00423213"/>
    <w:rsid w:val="00423349"/>
    <w:rsid w:val="00423368"/>
    <w:rsid w:val="004235F3"/>
    <w:rsid w:val="0042371B"/>
    <w:rsid w:val="00423968"/>
    <w:rsid w:val="00423BC3"/>
    <w:rsid w:val="00423E40"/>
    <w:rsid w:val="00423FA7"/>
    <w:rsid w:val="0042412B"/>
    <w:rsid w:val="00424216"/>
    <w:rsid w:val="0042427C"/>
    <w:rsid w:val="004243FD"/>
    <w:rsid w:val="004244A2"/>
    <w:rsid w:val="004249BF"/>
    <w:rsid w:val="00424D15"/>
    <w:rsid w:val="00424D49"/>
    <w:rsid w:val="00424DC1"/>
    <w:rsid w:val="00424FD2"/>
    <w:rsid w:val="00425109"/>
    <w:rsid w:val="004251F1"/>
    <w:rsid w:val="004252D2"/>
    <w:rsid w:val="004253B6"/>
    <w:rsid w:val="00425456"/>
    <w:rsid w:val="0042550D"/>
    <w:rsid w:val="00425769"/>
    <w:rsid w:val="0042584C"/>
    <w:rsid w:val="00425892"/>
    <w:rsid w:val="00425EC4"/>
    <w:rsid w:val="00425F9C"/>
    <w:rsid w:val="00425FB7"/>
    <w:rsid w:val="00426025"/>
    <w:rsid w:val="004261F8"/>
    <w:rsid w:val="00426296"/>
    <w:rsid w:val="00426739"/>
    <w:rsid w:val="004268EA"/>
    <w:rsid w:val="00426DC4"/>
    <w:rsid w:val="00426FC4"/>
    <w:rsid w:val="00427209"/>
    <w:rsid w:val="00427259"/>
    <w:rsid w:val="0042726E"/>
    <w:rsid w:val="004272AB"/>
    <w:rsid w:val="0042772E"/>
    <w:rsid w:val="0042787F"/>
    <w:rsid w:val="00427C80"/>
    <w:rsid w:val="00427CB5"/>
    <w:rsid w:val="00427D7E"/>
    <w:rsid w:val="00427F95"/>
    <w:rsid w:val="00427FF6"/>
    <w:rsid w:val="0043026A"/>
    <w:rsid w:val="0043066E"/>
    <w:rsid w:val="00430743"/>
    <w:rsid w:val="004309BC"/>
    <w:rsid w:val="00430A0C"/>
    <w:rsid w:val="00430B6D"/>
    <w:rsid w:val="00430D8F"/>
    <w:rsid w:val="0043150F"/>
    <w:rsid w:val="00431704"/>
    <w:rsid w:val="00431824"/>
    <w:rsid w:val="00431C64"/>
    <w:rsid w:val="00431FF6"/>
    <w:rsid w:val="00432146"/>
    <w:rsid w:val="004324AD"/>
    <w:rsid w:val="004326FD"/>
    <w:rsid w:val="004327DD"/>
    <w:rsid w:val="0043291D"/>
    <w:rsid w:val="004329E4"/>
    <w:rsid w:val="00432A42"/>
    <w:rsid w:val="00432B1B"/>
    <w:rsid w:val="00432B20"/>
    <w:rsid w:val="0043313F"/>
    <w:rsid w:val="004333F8"/>
    <w:rsid w:val="004335F0"/>
    <w:rsid w:val="00433834"/>
    <w:rsid w:val="00433B70"/>
    <w:rsid w:val="00433BF2"/>
    <w:rsid w:val="00433EE6"/>
    <w:rsid w:val="00433FC3"/>
    <w:rsid w:val="00434502"/>
    <w:rsid w:val="0043470B"/>
    <w:rsid w:val="004347BA"/>
    <w:rsid w:val="0043491F"/>
    <w:rsid w:val="0043493B"/>
    <w:rsid w:val="00434AB3"/>
    <w:rsid w:val="00434D58"/>
    <w:rsid w:val="00434E9D"/>
    <w:rsid w:val="00434F44"/>
    <w:rsid w:val="00435002"/>
    <w:rsid w:val="004350AA"/>
    <w:rsid w:val="0043548E"/>
    <w:rsid w:val="004358DD"/>
    <w:rsid w:val="00435C57"/>
    <w:rsid w:val="00435D5E"/>
    <w:rsid w:val="0043601D"/>
    <w:rsid w:val="0043614E"/>
    <w:rsid w:val="0043621D"/>
    <w:rsid w:val="004362E3"/>
    <w:rsid w:val="004363DE"/>
    <w:rsid w:val="004363F3"/>
    <w:rsid w:val="004366CB"/>
    <w:rsid w:val="0043676F"/>
    <w:rsid w:val="004369F4"/>
    <w:rsid w:val="00436A2E"/>
    <w:rsid w:val="00436A9A"/>
    <w:rsid w:val="00436AB2"/>
    <w:rsid w:val="00436B30"/>
    <w:rsid w:val="00436C99"/>
    <w:rsid w:val="00436E0E"/>
    <w:rsid w:val="00436E33"/>
    <w:rsid w:val="00436ECC"/>
    <w:rsid w:val="00436FC6"/>
    <w:rsid w:val="00436FD9"/>
    <w:rsid w:val="0043703B"/>
    <w:rsid w:val="0043735F"/>
    <w:rsid w:val="0043776D"/>
    <w:rsid w:val="004377BA"/>
    <w:rsid w:val="00437BC9"/>
    <w:rsid w:val="00437D6E"/>
    <w:rsid w:val="00437FA5"/>
    <w:rsid w:val="004400D1"/>
    <w:rsid w:val="0044019B"/>
    <w:rsid w:val="004402E4"/>
    <w:rsid w:val="004403C5"/>
    <w:rsid w:val="00440938"/>
    <w:rsid w:val="0044098A"/>
    <w:rsid w:val="00440A6A"/>
    <w:rsid w:val="00440CCE"/>
    <w:rsid w:val="00440D88"/>
    <w:rsid w:val="00440E3B"/>
    <w:rsid w:val="004411A0"/>
    <w:rsid w:val="0044128F"/>
    <w:rsid w:val="00441336"/>
    <w:rsid w:val="0044140F"/>
    <w:rsid w:val="004415D9"/>
    <w:rsid w:val="00441B75"/>
    <w:rsid w:val="00441B88"/>
    <w:rsid w:val="00441EC2"/>
    <w:rsid w:val="00441FB4"/>
    <w:rsid w:val="0044208E"/>
    <w:rsid w:val="00442778"/>
    <w:rsid w:val="004427E2"/>
    <w:rsid w:val="00442820"/>
    <w:rsid w:val="00442875"/>
    <w:rsid w:val="00442943"/>
    <w:rsid w:val="00442A54"/>
    <w:rsid w:val="00442BB7"/>
    <w:rsid w:val="00442BBE"/>
    <w:rsid w:val="00442BC0"/>
    <w:rsid w:val="00443188"/>
    <w:rsid w:val="00443409"/>
    <w:rsid w:val="00443494"/>
    <w:rsid w:val="004434D9"/>
    <w:rsid w:val="00443536"/>
    <w:rsid w:val="004438CD"/>
    <w:rsid w:val="00443A8D"/>
    <w:rsid w:val="00443BFF"/>
    <w:rsid w:val="00443D59"/>
    <w:rsid w:val="00443D7B"/>
    <w:rsid w:val="00444053"/>
    <w:rsid w:val="00444108"/>
    <w:rsid w:val="0044447A"/>
    <w:rsid w:val="00444509"/>
    <w:rsid w:val="004446B5"/>
    <w:rsid w:val="0044481B"/>
    <w:rsid w:val="0044494A"/>
    <w:rsid w:val="0044497F"/>
    <w:rsid w:val="004449A4"/>
    <w:rsid w:val="00445266"/>
    <w:rsid w:val="004453BA"/>
    <w:rsid w:val="00445509"/>
    <w:rsid w:val="004457BE"/>
    <w:rsid w:val="00445AF1"/>
    <w:rsid w:val="00445BA3"/>
    <w:rsid w:val="00445C02"/>
    <w:rsid w:val="00445CA0"/>
    <w:rsid w:val="00445F12"/>
    <w:rsid w:val="00445F24"/>
    <w:rsid w:val="0044610C"/>
    <w:rsid w:val="00446403"/>
    <w:rsid w:val="0044646D"/>
    <w:rsid w:val="004465D4"/>
    <w:rsid w:val="004467DF"/>
    <w:rsid w:val="004468AC"/>
    <w:rsid w:val="0044691D"/>
    <w:rsid w:val="00446B6B"/>
    <w:rsid w:val="00446C34"/>
    <w:rsid w:val="00446CCA"/>
    <w:rsid w:val="00446FEB"/>
    <w:rsid w:val="0044707D"/>
    <w:rsid w:val="004470C2"/>
    <w:rsid w:val="004471CC"/>
    <w:rsid w:val="00447292"/>
    <w:rsid w:val="0044736A"/>
    <w:rsid w:val="004473CE"/>
    <w:rsid w:val="00447493"/>
    <w:rsid w:val="004477E9"/>
    <w:rsid w:val="00447D2C"/>
    <w:rsid w:val="00447D2E"/>
    <w:rsid w:val="00447DBF"/>
    <w:rsid w:val="00447E4F"/>
    <w:rsid w:val="00447E5B"/>
    <w:rsid w:val="0045056C"/>
    <w:rsid w:val="004505DB"/>
    <w:rsid w:val="0045080A"/>
    <w:rsid w:val="00450894"/>
    <w:rsid w:val="00450B57"/>
    <w:rsid w:val="00450C23"/>
    <w:rsid w:val="00450D40"/>
    <w:rsid w:val="00450E3D"/>
    <w:rsid w:val="00450E8B"/>
    <w:rsid w:val="004510A5"/>
    <w:rsid w:val="00451123"/>
    <w:rsid w:val="004512F4"/>
    <w:rsid w:val="00451558"/>
    <w:rsid w:val="00451781"/>
    <w:rsid w:val="004517E2"/>
    <w:rsid w:val="004517FE"/>
    <w:rsid w:val="00451845"/>
    <w:rsid w:val="0045187D"/>
    <w:rsid w:val="0045188E"/>
    <w:rsid w:val="004519E6"/>
    <w:rsid w:val="00451B24"/>
    <w:rsid w:val="00451C5B"/>
    <w:rsid w:val="00451C62"/>
    <w:rsid w:val="00451D0F"/>
    <w:rsid w:val="00452125"/>
    <w:rsid w:val="00452454"/>
    <w:rsid w:val="00452551"/>
    <w:rsid w:val="0045259B"/>
    <w:rsid w:val="004525D4"/>
    <w:rsid w:val="004526A2"/>
    <w:rsid w:val="00452851"/>
    <w:rsid w:val="00452B21"/>
    <w:rsid w:val="00452B2A"/>
    <w:rsid w:val="00452ED5"/>
    <w:rsid w:val="0045341C"/>
    <w:rsid w:val="004534ED"/>
    <w:rsid w:val="004534EE"/>
    <w:rsid w:val="004539C2"/>
    <w:rsid w:val="00453CD5"/>
    <w:rsid w:val="00453E34"/>
    <w:rsid w:val="00453EED"/>
    <w:rsid w:val="0045400E"/>
    <w:rsid w:val="00454093"/>
    <w:rsid w:val="004540FD"/>
    <w:rsid w:val="00454120"/>
    <w:rsid w:val="004542C0"/>
    <w:rsid w:val="0045439F"/>
    <w:rsid w:val="004543B7"/>
    <w:rsid w:val="0045446F"/>
    <w:rsid w:val="00454819"/>
    <w:rsid w:val="0045484C"/>
    <w:rsid w:val="00454916"/>
    <w:rsid w:val="00454A08"/>
    <w:rsid w:val="00454A49"/>
    <w:rsid w:val="00454BBF"/>
    <w:rsid w:val="00454C41"/>
    <w:rsid w:val="00454DB0"/>
    <w:rsid w:val="00454FCB"/>
    <w:rsid w:val="004551D9"/>
    <w:rsid w:val="00455321"/>
    <w:rsid w:val="004555DC"/>
    <w:rsid w:val="00455623"/>
    <w:rsid w:val="00455D41"/>
    <w:rsid w:val="00455DDC"/>
    <w:rsid w:val="00455FC0"/>
    <w:rsid w:val="004563C7"/>
    <w:rsid w:val="004565EF"/>
    <w:rsid w:val="0045665C"/>
    <w:rsid w:val="0045691F"/>
    <w:rsid w:val="00456B98"/>
    <w:rsid w:val="00457251"/>
    <w:rsid w:val="00457675"/>
    <w:rsid w:val="00457789"/>
    <w:rsid w:val="004578B2"/>
    <w:rsid w:val="00457937"/>
    <w:rsid w:val="004579A3"/>
    <w:rsid w:val="00457C9C"/>
    <w:rsid w:val="00457E36"/>
    <w:rsid w:val="0046004E"/>
    <w:rsid w:val="00460084"/>
    <w:rsid w:val="00460229"/>
    <w:rsid w:val="00460281"/>
    <w:rsid w:val="004602A4"/>
    <w:rsid w:val="004605C7"/>
    <w:rsid w:val="00460A66"/>
    <w:rsid w:val="00460A94"/>
    <w:rsid w:val="00460CE1"/>
    <w:rsid w:val="00460E1F"/>
    <w:rsid w:val="00460E5E"/>
    <w:rsid w:val="00460E8A"/>
    <w:rsid w:val="0046100B"/>
    <w:rsid w:val="00461021"/>
    <w:rsid w:val="0046112D"/>
    <w:rsid w:val="0046125A"/>
    <w:rsid w:val="00461356"/>
    <w:rsid w:val="00461371"/>
    <w:rsid w:val="00461378"/>
    <w:rsid w:val="004614B4"/>
    <w:rsid w:val="00461678"/>
    <w:rsid w:val="0046188A"/>
    <w:rsid w:val="00461A3E"/>
    <w:rsid w:val="00461CD5"/>
    <w:rsid w:val="00462100"/>
    <w:rsid w:val="0046218D"/>
    <w:rsid w:val="004623C0"/>
    <w:rsid w:val="00462BDC"/>
    <w:rsid w:val="00462DC0"/>
    <w:rsid w:val="004630DC"/>
    <w:rsid w:val="00463274"/>
    <w:rsid w:val="0046361A"/>
    <w:rsid w:val="00463692"/>
    <w:rsid w:val="00463845"/>
    <w:rsid w:val="00463C49"/>
    <w:rsid w:val="004644D4"/>
    <w:rsid w:val="00464611"/>
    <w:rsid w:val="00464686"/>
    <w:rsid w:val="004647FB"/>
    <w:rsid w:val="0046498C"/>
    <w:rsid w:val="00464A56"/>
    <w:rsid w:val="00464E73"/>
    <w:rsid w:val="00464F78"/>
    <w:rsid w:val="00465138"/>
    <w:rsid w:val="00465146"/>
    <w:rsid w:val="004652DD"/>
    <w:rsid w:val="00465370"/>
    <w:rsid w:val="004655B6"/>
    <w:rsid w:val="0046562D"/>
    <w:rsid w:val="004657F1"/>
    <w:rsid w:val="00465B2D"/>
    <w:rsid w:val="00465B8F"/>
    <w:rsid w:val="00465C52"/>
    <w:rsid w:val="00465D06"/>
    <w:rsid w:val="00465F3D"/>
    <w:rsid w:val="00466046"/>
    <w:rsid w:val="004661D7"/>
    <w:rsid w:val="00466381"/>
    <w:rsid w:val="00466476"/>
    <w:rsid w:val="00466690"/>
    <w:rsid w:val="004666CA"/>
    <w:rsid w:val="00466A7D"/>
    <w:rsid w:val="00466CC2"/>
    <w:rsid w:val="0046710D"/>
    <w:rsid w:val="00467195"/>
    <w:rsid w:val="00467458"/>
    <w:rsid w:val="00467469"/>
    <w:rsid w:val="004675CB"/>
    <w:rsid w:val="004677C3"/>
    <w:rsid w:val="00467811"/>
    <w:rsid w:val="00467931"/>
    <w:rsid w:val="004679B1"/>
    <w:rsid w:val="00467AE2"/>
    <w:rsid w:val="00467CB3"/>
    <w:rsid w:val="00467FFB"/>
    <w:rsid w:val="00470170"/>
    <w:rsid w:val="00470231"/>
    <w:rsid w:val="00470378"/>
    <w:rsid w:val="00470600"/>
    <w:rsid w:val="004707F2"/>
    <w:rsid w:val="004709D9"/>
    <w:rsid w:val="00470AC6"/>
    <w:rsid w:val="00470F08"/>
    <w:rsid w:val="00470FAB"/>
    <w:rsid w:val="0047101D"/>
    <w:rsid w:val="00471146"/>
    <w:rsid w:val="00471279"/>
    <w:rsid w:val="004712E6"/>
    <w:rsid w:val="00471392"/>
    <w:rsid w:val="004715DB"/>
    <w:rsid w:val="004716E3"/>
    <w:rsid w:val="004717F0"/>
    <w:rsid w:val="00471DEE"/>
    <w:rsid w:val="00471EE4"/>
    <w:rsid w:val="00471EF2"/>
    <w:rsid w:val="00472009"/>
    <w:rsid w:val="004720E1"/>
    <w:rsid w:val="00472277"/>
    <w:rsid w:val="00472534"/>
    <w:rsid w:val="004725C6"/>
    <w:rsid w:val="00472765"/>
    <w:rsid w:val="004727A0"/>
    <w:rsid w:val="004727E8"/>
    <w:rsid w:val="004729C0"/>
    <w:rsid w:val="00472B5F"/>
    <w:rsid w:val="0047304E"/>
    <w:rsid w:val="004731CB"/>
    <w:rsid w:val="004731D1"/>
    <w:rsid w:val="00473248"/>
    <w:rsid w:val="004732AA"/>
    <w:rsid w:val="00473749"/>
    <w:rsid w:val="00473864"/>
    <w:rsid w:val="00473927"/>
    <w:rsid w:val="00473ACF"/>
    <w:rsid w:val="00473BD3"/>
    <w:rsid w:val="00473E37"/>
    <w:rsid w:val="00474109"/>
    <w:rsid w:val="004743BA"/>
    <w:rsid w:val="00474416"/>
    <w:rsid w:val="00474475"/>
    <w:rsid w:val="0047459C"/>
    <w:rsid w:val="00474662"/>
    <w:rsid w:val="0047467E"/>
    <w:rsid w:val="004746D9"/>
    <w:rsid w:val="0047491E"/>
    <w:rsid w:val="00474A5E"/>
    <w:rsid w:val="00474B83"/>
    <w:rsid w:val="00474C52"/>
    <w:rsid w:val="00474C6D"/>
    <w:rsid w:val="00474C92"/>
    <w:rsid w:val="00474FA5"/>
    <w:rsid w:val="004750BA"/>
    <w:rsid w:val="00475152"/>
    <w:rsid w:val="00475253"/>
    <w:rsid w:val="00475682"/>
    <w:rsid w:val="00475687"/>
    <w:rsid w:val="004757C7"/>
    <w:rsid w:val="004759F4"/>
    <w:rsid w:val="00475AF8"/>
    <w:rsid w:val="0047601F"/>
    <w:rsid w:val="0047632A"/>
    <w:rsid w:val="0047640F"/>
    <w:rsid w:val="0047645B"/>
    <w:rsid w:val="00476634"/>
    <w:rsid w:val="00476A29"/>
    <w:rsid w:val="00476E66"/>
    <w:rsid w:val="00477188"/>
    <w:rsid w:val="004772C7"/>
    <w:rsid w:val="00477538"/>
    <w:rsid w:val="0047788A"/>
    <w:rsid w:val="00477A1B"/>
    <w:rsid w:val="00477A4F"/>
    <w:rsid w:val="00477BF6"/>
    <w:rsid w:val="00477D26"/>
    <w:rsid w:val="00477E5D"/>
    <w:rsid w:val="00480079"/>
    <w:rsid w:val="0048013C"/>
    <w:rsid w:val="0048041F"/>
    <w:rsid w:val="0048051C"/>
    <w:rsid w:val="004807F7"/>
    <w:rsid w:val="004807F8"/>
    <w:rsid w:val="00480945"/>
    <w:rsid w:val="00480A12"/>
    <w:rsid w:val="00480DBD"/>
    <w:rsid w:val="0048108A"/>
    <w:rsid w:val="004810E5"/>
    <w:rsid w:val="004814A3"/>
    <w:rsid w:val="00481806"/>
    <w:rsid w:val="004819BB"/>
    <w:rsid w:val="00481A66"/>
    <w:rsid w:val="00481ACA"/>
    <w:rsid w:val="00481B1D"/>
    <w:rsid w:val="00481D98"/>
    <w:rsid w:val="00481DDC"/>
    <w:rsid w:val="00481FB0"/>
    <w:rsid w:val="004821EB"/>
    <w:rsid w:val="0048247F"/>
    <w:rsid w:val="00482494"/>
    <w:rsid w:val="004826B2"/>
    <w:rsid w:val="00482903"/>
    <w:rsid w:val="00482AB4"/>
    <w:rsid w:val="00482C96"/>
    <w:rsid w:val="00482CA9"/>
    <w:rsid w:val="00482E69"/>
    <w:rsid w:val="00482EF7"/>
    <w:rsid w:val="00483231"/>
    <w:rsid w:val="004836EA"/>
    <w:rsid w:val="0048373F"/>
    <w:rsid w:val="004837FC"/>
    <w:rsid w:val="00483961"/>
    <w:rsid w:val="00483AEC"/>
    <w:rsid w:val="00483B28"/>
    <w:rsid w:val="00483E6B"/>
    <w:rsid w:val="00483F70"/>
    <w:rsid w:val="0048407C"/>
    <w:rsid w:val="004841A4"/>
    <w:rsid w:val="004842B1"/>
    <w:rsid w:val="004842D3"/>
    <w:rsid w:val="004843C7"/>
    <w:rsid w:val="0048442F"/>
    <w:rsid w:val="004845C5"/>
    <w:rsid w:val="004845DD"/>
    <w:rsid w:val="0048460F"/>
    <w:rsid w:val="004849CE"/>
    <w:rsid w:val="004849E1"/>
    <w:rsid w:val="00484C12"/>
    <w:rsid w:val="00484D91"/>
    <w:rsid w:val="00484E0B"/>
    <w:rsid w:val="00484EBE"/>
    <w:rsid w:val="00484EC5"/>
    <w:rsid w:val="004854D2"/>
    <w:rsid w:val="0048594B"/>
    <w:rsid w:val="004859DD"/>
    <w:rsid w:val="00485BC4"/>
    <w:rsid w:val="00485BE8"/>
    <w:rsid w:val="00485C4D"/>
    <w:rsid w:val="00485C52"/>
    <w:rsid w:val="00485D78"/>
    <w:rsid w:val="00485D93"/>
    <w:rsid w:val="00485D9A"/>
    <w:rsid w:val="00485FF3"/>
    <w:rsid w:val="0048624B"/>
    <w:rsid w:val="004865A2"/>
    <w:rsid w:val="00486629"/>
    <w:rsid w:val="00486D00"/>
    <w:rsid w:val="00486E00"/>
    <w:rsid w:val="00486EB4"/>
    <w:rsid w:val="004872F9"/>
    <w:rsid w:val="0048732B"/>
    <w:rsid w:val="0048751D"/>
    <w:rsid w:val="0048760E"/>
    <w:rsid w:val="0048772A"/>
    <w:rsid w:val="004877DB"/>
    <w:rsid w:val="004878F4"/>
    <w:rsid w:val="00487A51"/>
    <w:rsid w:val="00487D40"/>
    <w:rsid w:val="00490169"/>
    <w:rsid w:val="0049017D"/>
    <w:rsid w:val="004903FA"/>
    <w:rsid w:val="00490474"/>
    <w:rsid w:val="00490508"/>
    <w:rsid w:val="0049065D"/>
    <w:rsid w:val="004906B1"/>
    <w:rsid w:val="004907D7"/>
    <w:rsid w:val="0049080A"/>
    <w:rsid w:val="0049081F"/>
    <w:rsid w:val="00490934"/>
    <w:rsid w:val="00490A9B"/>
    <w:rsid w:val="00490BBE"/>
    <w:rsid w:val="00490C1C"/>
    <w:rsid w:val="00491038"/>
    <w:rsid w:val="004911CE"/>
    <w:rsid w:val="0049136E"/>
    <w:rsid w:val="00491450"/>
    <w:rsid w:val="004919BA"/>
    <w:rsid w:val="00491B8E"/>
    <w:rsid w:val="00491B97"/>
    <w:rsid w:val="00491C46"/>
    <w:rsid w:val="00491C58"/>
    <w:rsid w:val="00491E9B"/>
    <w:rsid w:val="00491F4A"/>
    <w:rsid w:val="00491F54"/>
    <w:rsid w:val="00491FEF"/>
    <w:rsid w:val="004920E5"/>
    <w:rsid w:val="004922FC"/>
    <w:rsid w:val="0049230E"/>
    <w:rsid w:val="004923D4"/>
    <w:rsid w:val="00492BC9"/>
    <w:rsid w:val="00492F05"/>
    <w:rsid w:val="00492FAF"/>
    <w:rsid w:val="00493058"/>
    <w:rsid w:val="004931A0"/>
    <w:rsid w:val="00493313"/>
    <w:rsid w:val="0049332E"/>
    <w:rsid w:val="004934A3"/>
    <w:rsid w:val="004938D3"/>
    <w:rsid w:val="004939FE"/>
    <w:rsid w:val="00493B6D"/>
    <w:rsid w:val="00493B85"/>
    <w:rsid w:val="00493BB5"/>
    <w:rsid w:val="00493E4C"/>
    <w:rsid w:val="00493E92"/>
    <w:rsid w:val="00494195"/>
    <w:rsid w:val="004941EC"/>
    <w:rsid w:val="00494677"/>
    <w:rsid w:val="00494860"/>
    <w:rsid w:val="0049486E"/>
    <w:rsid w:val="00494CF0"/>
    <w:rsid w:val="00494D7A"/>
    <w:rsid w:val="00494F44"/>
    <w:rsid w:val="004950F9"/>
    <w:rsid w:val="00495197"/>
    <w:rsid w:val="004953BA"/>
    <w:rsid w:val="004956A7"/>
    <w:rsid w:val="00495760"/>
    <w:rsid w:val="00495C03"/>
    <w:rsid w:val="00495CE9"/>
    <w:rsid w:val="00495DCE"/>
    <w:rsid w:val="004960E2"/>
    <w:rsid w:val="004962C3"/>
    <w:rsid w:val="00496530"/>
    <w:rsid w:val="00496A2B"/>
    <w:rsid w:val="00496B35"/>
    <w:rsid w:val="00496C6B"/>
    <w:rsid w:val="00496CDD"/>
    <w:rsid w:val="00496D24"/>
    <w:rsid w:val="004970E5"/>
    <w:rsid w:val="0049720C"/>
    <w:rsid w:val="00497285"/>
    <w:rsid w:val="004972B8"/>
    <w:rsid w:val="004972FF"/>
    <w:rsid w:val="004974A4"/>
    <w:rsid w:val="004974C7"/>
    <w:rsid w:val="0049774F"/>
    <w:rsid w:val="00497887"/>
    <w:rsid w:val="004979DC"/>
    <w:rsid w:val="00497AFC"/>
    <w:rsid w:val="00497D55"/>
    <w:rsid w:val="00497D6E"/>
    <w:rsid w:val="00497DAE"/>
    <w:rsid w:val="00497F9C"/>
    <w:rsid w:val="004A0151"/>
    <w:rsid w:val="004A02BC"/>
    <w:rsid w:val="004A0548"/>
    <w:rsid w:val="004A05C3"/>
    <w:rsid w:val="004A0676"/>
    <w:rsid w:val="004A06DC"/>
    <w:rsid w:val="004A08C3"/>
    <w:rsid w:val="004A0995"/>
    <w:rsid w:val="004A0A1E"/>
    <w:rsid w:val="004A0A57"/>
    <w:rsid w:val="004A0A5A"/>
    <w:rsid w:val="004A0CC8"/>
    <w:rsid w:val="004A0DF2"/>
    <w:rsid w:val="004A0E83"/>
    <w:rsid w:val="004A0F51"/>
    <w:rsid w:val="004A0FD8"/>
    <w:rsid w:val="004A1182"/>
    <w:rsid w:val="004A11F0"/>
    <w:rsid w:val="004A13E5"/>
    <w:rsid w:val="004A142D"/>
    <w:rsid w:val="004A1646"/>
    <w:rsid w:val="004A170B"/>
    <w:rsid w:val="004A1829"/>
    <w:rsid w:val="004A1D0E"/>
    <w:rsid w:val="004A1D42"/>
    <w:rsid w:val="004A1F23"/>
    <w:rsid w:val="004A1F74"/>
    <w:rsid w:val="004A215F"/>
    <w:rsid w:val="004A23F8"/>
    <w:rsid w:val="004A2405"/>
    <w:rsid w:val="004A24CC"/>
    <w:rsid w:val="004A278E"/>
    <w:rsid w:val="004A27A6"/>
    <w:rsid w:val="004A2AFD"/>
    <w:rsid w:val="004A2BD9"/>
    <w:rsid w:val="004A2D47"/>
    <w:rsid w:val="004A2EEA"/>
    <w:rsid w:val="004A3283"/>
    <w:rsid w:val="004A35D8"/>
    <w:rsid w:val="004A3702"/>
    <w:rsid w:val="004A3892"/>
    <w:rsid w:val="004A3898"/>
    <w:rsid w:val="004A3BA1"/>
    <w:rsid w:val="004A3FE8"/>
    <w:rsid w:val="004A40C5"/>
    <w:rsid w:val="004A4112"/>
    <w:rsid w:val="004A42D3"/>
    <w:rsid w:val="004A4591"/>
    <w:rsid w:val="004A461F"/>
    <w:rsid w:val="004A46D1"/>
    <w:rsid w:val="004A4730"/>
    <w:rsid w:val="004A486E"/>
    <w:rsid w:val="004A4AD2"/>
    <w:rsid w:val="004A4DE8"/>
    <w:rsid w:val="004A4E85"/>
    <w:rsid w:val="004A55A0"/>
    <w:rsid w:val="004A561C"/>
    <w:rsid w:val="004A574D"/>
    <w:rsid w:val="004A596C"/>
    <w:rsid w:val="004A5BC4"/>
    <w:rsid w:val="004A5E75"/>
    <w:rsid w:val="004A6139"/>
    <w:rsid w:val="004A61DF"/>
    <w:rsid w:val="004A665B"/>
    <w:rsid w:val="004A6861"/>
    <w:rsid w:val="004A6A64"/>
    <w:rsid w:val="004A6B27"/>
    <w:rsid w:val="004A7011"/>
    <w:rsid w:val="004A75B7"/>
    <w:rsid w:val="004A778B"/>
    <w:rsid w:val="004A77DF"/>
    <w:rsid w:val="004A7AF5"/>
    <w:rsid w:val="004A7D01"/>
    <w:rsid w:val="004A7D8B"/>
    <w:rsid w:val="004A7D9C"/>
    <w:rsid w:val="004A7F78"/>
    <w:rsid w:val="004B009C"/>
    <w:rsid w:val="004B01CA"/>
    <w:rsid w:val="004B01F9"/>
    <w:rsid w:val="004B0320"/>
    <w:rsid w:val="004B0447"/>
    <w:rsid w:val="004B06EF"/>
    <w:rsid w:val="004B076A"/>
    <w:rsid w:val="004B0784"/>
    <w:rsid w:val="004B0796"/>
    <w:rsid w:val="004B0921"/>
    <w:rsid w:val="004B0962"/>
    <w:rsid w:val="004B0A6A"/>
    <w:rsid w:val="004B0AA6"/>
    <w:rsid w:val="004B0B4A"/>
    <w:rsid w:val="004B0C56"/>
    <w:rsid w:val="004B0C6C"/>
    <w:rsid w:val="004B0D02"/>
    <w:rsid w:val="004B0EA3"/>
    <w:rsid w:val="004B0F95"/>
    <w:rsid w:val="004B1051"/>
    <w:rsid w:val="004B1284"/>
    <w:rsid w:val="004B129F"/>
    <w:rsid w:val="004B12E2"/>
    <w:rsid w:val="004B156D"/>
    <w:rsid w:val="004B1A63"/>
    <w:rsid w:val="004B200E"/>
    <w:rsid w:val="004B20B8"/>
    <w:rsid w:val="004B2262"/>
    <w:rsid w:val="004B256F"/>
    <w:rsid w:val="004B29C2"/>
    <w:rsid w:val="004B29F2"/>
    <w:rsid w:val="004B2D54"/>
    <w:rsid w:val="004B2E0A"/>
    <w:rsid w:val="004B2E79"/>
    <w:rsid w:val="004B2E80"/>
    <w:rsid w:val="004B2F65"/>
    <w:rsid w:val="004B325B"/>
    <w:rsid w:val="004B328F"/>
    <w:rsid w:val="004B32F1"/>
    <w:rsid w:val="004B332E"/>
    <w:rsid w:val="004B33EC"/>
    <w:rsid w:val="004B364F"/>
    <w:rsid w:val="004B386C"/>
    <w:rsid w:val="004B3CEC"/>
    <w:rsid w:val="004B3EE7"/>
    <w:rsid w:val="004B3FB3"/>
    <w:rsid w:val="004B3FB8"/>
    <w:rsid w:val="004B3FCC"/>
    <w:rsid w:val="004B40B8"/>
    <w:rsid w:val="004B43FC"/>
    <w:rsid w:val="004B493D"/>
    <w:rsid w:val="004B49FD"/>
    <w:rsid w:val="004B4D8F"/>
    <w:rsid w:val="004B4EFD"/>
    <w:rsid w:val="004B5248"/>
    <w:rsid w:val="004B5347"/>
    <w:rsid w:val="004B5413"/>
    <w:rsid w:val="004B565E"/>
    <w:rsid w:val="004B58A5"/>
    <w:rsid w:val="004B5AC3"/>
    <w:rsid w:val="004B5C0D"/>
    <w:rsid w:val="004B5D26"/>
    <w:rsid w:val="004B5F3C"/>
    <w:rsid w:val="004B5FA7"/>
    <w:rsid w:val="004B61FA"/>
    <w:rsid w:val="004B6273"/>
    <w:rsid w:val="004B6396"/>
    <w:rsid w:val="004B647B"/>
    <w:rsid w:val="004B6691"/>
    <w:rsid w:val="004B6761"/>
    <w:rsid w:val="004B696F"/>
    <w:rsid w:val="004B6AA0"/>
    <w:rsid w:val="004B6C75"/>
    <w:rsid w:val="004B6CD3"/>
    <w:rsid w:val="004B6CEC"/>
    <w:rsid w:val="004B714D"/>
    <w:rsid w:val="004B7295"/>
    <w:rsid w:val="004B74AB"/>
    <w:rsid w:val="004B7549"/>
    <w:rsid w:val="004B7670"/>
    <w:rsid w:val="004B77D6"/>
    <w:rsid w:val="004B7936"/>
    <w:rsid w:val="004B7B17"/>
    <w:rsid w:val="004B7E9E"/>
    <w:rsid w:val="004B7EAF"/>
    <w:rsid w:val="004B7F5A"/>
    <w:rsid w:val="004C0086"/>
    <w:rsid w:val="004C0196"/>
    <w:rsid w:val="004C0199"/>
    <w:rsid w:val="004C05A2"/>
    <w:rsid w:val="004C090B"/>
    <w:rsid w:val="004C0A4E"/>
    <w:rsid w:val="004C0AE7"/>
    <w:rsid w:val="004C0B63"/>
    <w:rsid w:val="004C0D3A"/>
    <w:rsid w:val="004C0F84"/>
    <w:rsid w:val="004C0FAB"/>
    <w:rsid w:val="004C10CC"/>
    <w:rsid w:val="004C1255"/>
    <w:rsid w:val="004C13EE"/>
    <w:rsid w:val="004C1424"/>
    <w:rsid w:val="004C15C3"/>
    <w:rsid w:val="004C179C"/>
    <w:rsid w:val="004C17F1"/>
    <w:rsid w:val="004C1A24"/>
    <w:rsid w:val="004C1AF9"/>
    <w:rsid w:val="004C1CB1"/>
    <w:rsid w:val="004C1CFD"/>
    <w:rsid w:val="004C1E46"/>
    <w:rsid w:val="004C1E80"/>
    <w:rsid w:val="004C1EA5"/>
    <w:rsid w:val="004C1FF6"/>
    <w:rsid w:val="004C2447"/>
    <w:rsid w:val="004C2476"/>
    <w:rsid w:val="004C2671"/>
    <w:rsid w:val="004C285C"/>
    <w:rsid w:val="004C2945"/>
    <w:rsid w:val="004C2C7A"/>
    <w:rsid w:val="004C2DDC"/>
    <w:rsid w:val="004C2EEC"/>
    <w:rsid w:val="004C2F67"/>
    <w:rsid w:val="004C2FEB"/>
    <w:rsid w:val="004C301D"/>
    <w:rsid w:val="004C322D"/>
    <w:rsid w:val="004C3274"/>
    <w:rsid w:val="004C338F"/>
    <w:rsid w:val="004C33D8"/>
    <w:rsid w:val="004C3526"/>
    <w:rsid w:val="004C35EB"/>
    <w:rsid w:val="004C3D7D"/>
    <w:rsid w:val="004C430A"/>
    <w:rsid w:val="004C45A2"/>
    <w:rsid w:val="004C46B1"/>
    <w:rsid w:val="004C470E"/>
    <w:rsid w:val="004C4A6C"/>
    <w:rsid w:val="004C4C0B"/>
    <w:rsid w:val="004C4C1B"/>
    <w:rsid w:val="004C4CA8"/>
    <w:rsid w:val="004C4CEB"/>
    <w:rsid w:val="004C4CF9"/>
    <w:rsid w:val="004C4DB2"/>
    <w:rsid w:val="004C4F85"/>
    <w:rsid w:val="004C5016"/>
    <w:rsid w:val="004C5133"/>
    <w:rsid w:val="004C54C4"/>
    <w:rsid w:val="004C5622"/>
    <w:rsid w:val="004C5834"/>
    <w:rsid w:val="004C58E9"/>
    <w:rsid w:val="004C58F2"/>
    <w:rsid w:val="004C58F9"/>
    <w:rsid w:val="004C5947"/>
    <w:rsid w:val="004C5AFB"/>
    <w:rsid w:val="004C5B9F"/>
    <w:rsid w:val="004C5E4A"/>
    <w:rsid w:val="004C62A1"/>
    <w:rsid w:val="004C64E8"/>
    <w:rsid w:val="004C6509"/>
    <w:rsid w:val="004C657C"/>
    <w:rsid w:val="004C658F"/>
    <w:rsid w:val="004C6656"/>
    <w:rsid w:val="004C66C1"/>
    <w:rsid w:val="004C6781"/>
    <w:rsid w:val="004C6843"/>
    <w:rsid w:val="004C68EB"/>
    <w:rsid w:val="004C698F"/>
    <w:rsid w:val="004C6BE5"/>
    <w:rsid w:val="004C6BFC"/>
    <w:rsid w:val="004C6C02"/>
    <w:rsid w:val="004C6C1B"/>
    <w:rsid w:val="004C6D03"/>
    <w:rsid w:val="004C6E9F"/>
    <w:rsid w:val="004C6FB9"/>
    <w:rsid w:val="004C7002"/>
    <w:rsid w:val="004C7607"/>
    <w:rsid w:val="004C763A"/>
    <w:rsid w:val="004C76BC"/>
    <w:rsid w:val="004C7734"/>
    <w:rsid w:val="004C7ADC"/>
    <w:rsid w:val="004C7B25"/>
    <w:rsid w:val="004C7B30"/>
    <w:rsid w:val="004C7BA4"/>
    <w:rsid w:val="004C7C05"/>
    <w:rsid w:val="004C7C68"/>
    <w:rsid w:val="004D0234"/>
    <w:rsid w:val="004D03FF"/>
    <w:rsid w:val="004D0477"/>
    <w:rsid w:val="004D06F0"/>
    <w:rsid w:val="004D07D5"/>
    <w:rsid w:val="004D086A"/>
    <w:rsid w:val="004D08B1"/>
    <w:rsid w:val="004D096B"/>
    <w:rsid w:val="004D097E"/>
    <w:rsid w:val="004D09EA"/>
    <w:rsid w:val="004D0E6D"/>
    <w:rsid w:val="004D0EFC"/>
    <w:rsid w:val="004D0F4F"/>
    <w:rsid w:val="004D0FC4"/>
    <w:rsid w:val="004D107F"/>
    <w:rsid w:val="004D127E"/>
    <w:rsid w:val="004D1327"/>
    <w:rsid w:val="004D14D0"/>
    <w:rsid w:val="004D1534"/>
    <w:rsid w:val="004D1C23"/>
    <w:rsid w:val="004D1E83"/>
    <w:rsid w:val="004D20CE"/>
    <w:rsid w:val="004D22C0"/>
    <w:rsid w:val="004D22C6"/>
    <w:rsid w:val="004D230C"/>
    <w:rsid w:val="004D2328"/>
    <w:rsid w:val="004D280B"/>
    <w:rsid w:val="004D281E"/>
    <w:rsid w:val="004D2B2F"/>
    <w:rsid w:val="004D2E33"/>
    <w:rsid w:val="004D2FE4"/>
    <w:rsid w:val="004D33BA"/>
    <w:rsid w:val="004D3485"/>
    <w:rsid w:val="004D35B4"/>
    <w:rsid w:val="004D35B6"/>
    <w:rsid w:val="004D3903"/>
    <w:rsid w:val="004D3960"/>
    <w:rsid w:val="004D3AA5"/>
    <w:rsid w:val="004D3CD1"/>
    <w:rsid w:val="004D4037"/>
    <w:rsid w:val="004D4217"/>
    <w:rsid w:val="004D43C1"/>
    <w:rsid w:val="004D43FD"/>
    <w:rsid w:val="004D4C89"/>
    <w:rsid w:val="004D4E5A"/>
    <w:rsid w:val="004D4F4D"/>
    <w:rsid w:val="004D5192"/>
    <w:rsid w:val="004D52A5"/>
    <w:rsid w:val="004D5411"/>
    <w:rsid w:val="004D5AE7"/>
    <w:rsid w:val="004D5BC0"/>
    <w:rsid w:val="004D5CA9"/>
    <w:rsid w:val="004D5D97"/>
    <w:rsid w:val="004D5DF5"/>
    <w:rsid w:val="004D5E31"/>
    <w:rsid w:val="004D5E5A"/>
    <w:rsid w:val="004D5E76"/>
    <w:rsid w:val="004D5ED7"/>
    <w:rsid w:val="004D5F7B"/>
    <w:rsid w:val="004D645C"/>
    <w:rsid w:val="004D6C2B"/>
    <w:rsid w:val="004D6D52"/>
    <w:rsid w:val="004D6F2A"/>
    <w:rsid w:val="004D71EC"/>
    <w:rsid w:val="004D7537"/>
    <w:rsid w:val="004D75E7"/>
    <w:rsid w:val="004D7712"/>
    <w:rsid w:val="004D78FB"/>
    <w:rsid w:val="004D7943"/>
    <w:rsid w:val="004D7AB7"/>
    <w:rsid w:val="004D7D5D"/>
    <w:rsid w:val="004E0422"/>
    <w:rsid w:val="004E0596"/>
    <w:rsid w:val="004E05DE"/>
    <w:rsid w:val="004E0831"/>
    <w:rsid w:val="004E0C70"/>
    <w:rsid w:val="004E0D05"/>
    <w:rsid w:val="004E0D10"/>
    <w:rsid w:val="004E11DB"/>
    <w:rsid w:val="004E1235"/>
    <w:rsid w:val="004E123E"/>
    <w:rsid w:val="004E14DC"/>
    <w:rsid w:val="004E1639"/>
    <w:rsid w:val="004E16F4"/>
    <w:rsid w:val="004E19FC"/>
    <w:rsid w:val="004E1DB9"/>
    <w:rsid w:val="004E22CC"/>
    <w:rsid w:val="004E2324"/>
    <w:rsid w:val="004E237C"/>
    <w:rsid w:val="004E2386"/>
    <w:rsid w:val="004E2393"/>
    <w:rsid w:val="004E262D"/>
    <w:rsid w:val="004E2AE4"/>
    <w:rsid w:val="004E2BF6"/>
    <w:rsid w:val="004E2DDF"/>
    <w:rsid w:val="004E2E2A"/>
    <w:rsid w:val="004E2ECD"/>
    <w:rsid w:val="004E34A7"/>
    <w:rsid w:val="004E35E5"/>
    <w:rsid w:val="004E3650"/>
    <w:rsid w:val="004E3681"/>
    <w:rsid w:val="004E3914"/>
    <w:rsid w:val="004E39C5"/>
    <w:rsid w:val="004E3A12"/>
    <w:rsid w:val="004E3A8F"/>
    <w:rsid w:val="004E3CE4"/>
    <w:rsid w:val="004E3ED2"/>
    <w:rsid w:val="004E3F6E"/>
    <w:rsid w:val="004E40C7"/>
    <w:rsid w:val="004E40D4"/>
    <w:rsid w:val="004E4140"/>
    <w:rsid w:val="004E446C"/>
    <w:rsid w:val="004E44E0"/>
    <w:rsid w:val="004E45F8"/>
    <w:rsid w:val="004E4744"/>
    <w:rsid w:val="004E47E3"/>
    <w:rsid w:val="004E4ADA"/>
    <w:rsid w:val="004E4B66"/>
    <w:rsid w:val="004E4BBC"/>
    <w:rsid w:val="004E4BE3"/>
    <w:rsid w:val="004E4C53"/>
    <w:rsid w:val="004E4E6A"/>
    <w:rsid w:val="004E4E8D"/>
    <w:rsid w:val="004E4EE4"/>
    <w:rsid w:val="004E500D"/>
    <w:rsid w:val="004E5012"/>
    <w:rsid w:val="004E51FC"/>
    <w:rsid w:val="004E57AF"/>
    <w:rsid w:val="004E5875"/>
    <w:rsid w:val="004E58D6"/>
    <w:rsid w:val="004E598D"/>
    <w:rsid w:val="004E5C04"/>
    <w:rsid w:val="004E5D99"/>
    <w:rsid w:val="004E5DFE"/>
    <w:rsid w:val="004E6077"/>
    <w:rsid w:val="004E6095"/>
    <w:rsid w:val="004E61BF"/>
    <w:rsid w:val="004E61E0"/>
    <w:rsid w:val="004E61E8"/>
    <w:rsid w:val="004E6396"/>
    <w:rsid w:val="004E6551"/>
    <w:rsid w:val="004E673A"/>
    <w:rsid w:val="004E67DD"/>
    <w:rsid w:val="004E6A6C"/>
    <w:rsid w:val="004E6C51"/>
    <w:rsid w:val="004E7094"/>
    <w:rsid w:val="004E70AC"/>
    <w:rsid w:val="004E71CB"/>
    <w:rsid w:val="004E724A"/>
    <w:rsid w:val="004E73C7"/>
    <w:rsid w:val="004E73EB"/>
    <w:rsid w:val="004E7637"/>
    <w:rsid w:val="004E7775"/>
    <w:rsid w:val="004E7AF5"/>
    <w:rsid w:val="004E7C26"/>
    <w:rsid w:val="004E7D3B"/>
    <w:rsid w:val="004E7EC6"/>
    <w:rsid w:val="004F0288"/>
    <w:rsid w:val="004F02AF"/>
    <w:rsid w:val="004F03D8"/>
    <w:rsid w:val="004F0416"/>
    <w:rsid w:val="004F076A"/>
    <w:rsid w:val="004F0A4B"/>
    <w:rsid w:val="004F0B80"/>
    <w:rsid w:val="004F0DB2"/>
    <w:rsid w:val="004F0ECA"/>
    <w:rsid w:val="004F0F91"/>
    <w:rsid w:val="004F10E9"/>
    <w:rsid w:val="004F1185"/>
    <w:rsid w:val="004F122E"/>
    <w:rsid w:val="004F1251"/>
    <w:rsid w:val="004F1253"/>
    <w:rsid w:val="004F1270"/>
    <w:rsid w:val="004F12B5"/>
    <w:rsid w:val="004F12D7"/>
    <w:rsid w:val="004F1991"/>
    <w:rsid w:val="004F19E6"/>
    <w:rsid w:val="004F19FA"/>
    <w:rsid w:val="004F1D2A"/>
    <w:rsid w:val="004F1DDD"/>
    <w:rsid w:val="004F2276"/>
    <w:rsid w:val="004F22B3"/>
    <w:rsid w:val="004F2462"/>
    <w:rsid w:val="004F2561"/>
    <w:rsid w:val="004F2596"/>
    <w:rsid w:val="004F2760"/>
    <w:rsid w:val="004F282F"/>
    <w:rsid w:val="004F2C30"/>
    <w:rsid w:val="004F2D0B"/>
    <w:rsid w:val="004F3227"/>
    <w:rsid w:val="004F350B"/>
    <w:rsid w:val="004F3691"/>
    <w:rsid w:val="004F3852"/>
    <w:rsid w:val="004F38C6"/>
    <w:rsid w:val="004F39FC"/>
    <w:rsid w:val="004F3C50"/>
    <w:rsid w:val="004F3D71"/>
    <w:rsid w:val="004F3E0B"/>
    <w:rsid w:val="004F3FCE"/>
    <w:rsid w:val="004F4122"/>
    <w:rsid w:val="004F47EC"/>
    <w:rsid w:val="004F488E"/>
    <w:rsid w:val="004F4932"/>
    <w:rsid w:val="004F4990"/>
    <w:rsid w:val="004F4A2D"/>
    <w:rsid w:val="004F4AD9"/>
    <w:rsid w:val="004F4BA3"/>
    <w:rsid w:val="004F4BFF"/>
    <w:rsid w:val="004F4D88"/>
    <w:rsid w:val="004F4E33"/>
    <w:rsid w:val="004F4ED6"/>
    <w:rsid w:val="004F5301"/>
    <w:rsid w:val="004F55DF"/>
    <w:rsid w:val="004F57FC"/>
    <w:rsid w:val="004F5809"/>
    <w:rsid w:val="004F597B"/>
    <w:rsid w:val="004F5BE8"/>
    <w:rsid w:val="004F5C65"/>
    <w:rsid w:val="004F5CA6"/>
    <w:rsid w:val="004F6024"/>
    <w:rsid w:val="004F60B1"/>
    <w:rsid w:val="004F6160"/>
    <w:rsid w:val="004F639C"/>
    <w:rsid w:val="004F6556"/>
    <w:rsid w:val="004F6707"/>
    <w:rsid w:val="004F6AC8"/>
    <w:rsid w:val="004F6AD7"/>
    <w:rsid w:val="004F6DCC"/>
    <w:rsid w:val="004F6FA3"/>
    <w:rsid w:val="004F6FDA"/>
    <w:rsid w:val="004F71D1"/>
    <w:rsid w:val="004F7232"/>
    <w:rsid w:val="004F7312"/>
    <w:rsid w:val="004F746D"/>
    <w:rsid w:val="004F749B"/>
    <w:rsid w:val="004F76A9"/>
    <w:rsid w:val="004F76E7"/>
    <w:rsid w:val="004F7A96"/>
    <w:rsid w:val="004F7B34"/>
    <w:rsid w:val="004F7D13"/>
    <w:rsid w:val="004F7E63"/>
    <w:rsid w:val="004F7F42"/>
    <w:rsid w:val="005000F6"/>
    <w:rsid w:val="00500125"/>
    <w:rsid w:val="00500301"/>
    <w:rsid w:val="00500469"/>
    <w:rsid w:val="005005D4"/>
    <w:rsid w:val="00500612"/>
    <w:rsid w:val="005006A9"/>
    <w:rsid w:val="005006B3"/>
    <w:rsid w:val="00500923"/>
    <w:rsid w:val="00500A08"/>
    <w:rsid w:val="00500A61"/>
    <w:rsid w:val="00500B2E"/>
    <w:rsid w:val="00500B58"/>
    <w:rsid w:val="00500B7E"/>
    <w:rsid w:val="00500DFE"/>
    <w:rsid w:val="0050100B"/>
    <w:rsid w:val="005011EF"/>
    <w:rsid w:val="0050170F"/>
    <w:rsid w:val="00501842"/>
    <w:rsid w:val="00501B23"/>
    <w:rsid w:val="00501CCE"/>
    <w:rsid w:val="00501FC5"/>
    <w:rsid w:val="00502070"/>
    <w:rsid w:val="00502263"/>
    <w:rsid w:val="005023B8"/>
    <w:rsid w:val="0050257F"/>
    <w:rsid w:val="005025EB"/>
    <w:rsid w:val="00502780"/>
    <w:rsid w:val="00502A2F"/>
    <w:rsid w:val="00502AA9"/>
    <w:rsid w:val="00502D3C"/>
    <w:rsid w:val="00502ECA"/>
    <w:rsid w:val="00502F06"/>
    <w:rsid w:val="0050300D"/>
    <w:rsid w:val="00503056"/>
    <w:rsid w:val="0050309C"/>
    <w:rsid w:val="00503172"/>
    <w:rsid w:val="005031E1"/>
    <w:rsid w:val="00503267"/>
    <w:rsid w:val="005033FC"/>
    <w:rsid w:val="00503553"/>
    <w:rsid w:val="00503615"/>
    <w:rsid w:val="00503625"/>
    <w:rsid w:val="00503837"/>
    <w:rsid w:val="0050389B"/>
    <w:rsid w:val="0050395C"/>
    <w:rsid w:val="00503AA8"/>
    <w:rsid w:val="00503AD6"/>
    <w:rsid w:val="00503D61"/>
    <w:rsid w:val="00503FBF"/>
    <w:rsid w:val="00504081"/>
    <w:rsid w:val="005043A7"/>
    <w:rsid w:val="00504416"/>
    <w:rsid w:val="00504453"/>
    <w:rsid w:val="0050449C"/>
    <w:rsid w:val="005049DE"/>
    <w:rsid w:val="00504A20"/>
    <w:rsid w:val="00504B72"/>
    <w:rsid w:val="00504C1A"/>
    <w:rsid w:val="00504DC3"/>
    <w:rsid w:val="00504EAA"/>
    <w:rsid w:val="005050B6"/>
    <w:rsid w:val="0050519E"/>
    <w:rsid w:val="005052CF"/>
    <w:rsid w:val="0050541B"/>
    <w:rsid w:val="0050559D"/>
    <w:rsid w:val="005055FF"/>
    <w:rsid w:val="005056A0"/>
    <w:rsid w:val="00505736"/>
    <w:rsid w:val="00505741"/>
    <w:rsid w:val="0050582F"/>
    <w:rsid w:val="00505A0B"/>
    <w:rsid w:val="00505C67"/>
    <w:rsid w:val="00505CF5"/>
    <w:rsid w:val="00505E3C"/>
    <w:rsid w:val="005060DF"/>
    <w:rsid w:val="00506295"/>
    <w:rsid w:val="0050631B"/>
    <w:rsid w:val="005063C1"/>
    <w:rsid w:val="0050665C"/>
    <w:rsid w:val="005067DE"/>
    <w:rsid w:val="00506827"/>
    <w:rsid w:val="00506898"/>
    <w:rsid w:val="00506DCC"/>
    <w:rsid w:val="00506E4F"/>
    <w:rsid w:val="00506ED0"/>
    <w:rsid w:val="00506FA0"/>
    <w:rsid w:val="00507079"/>
    <w:rsid w:val="00507140"/>
    <w:rsid w:val="0050751D"/>
    <w:rsid w:val="00507581"/>
    <w:rsid w:val="0050765E"/>
    <w:rsid w:val="005076D8"/>
    <w:rsid w:val="005078BC"/>
    <w:rsid w:val="005078C9"/>
    <w:rsid w:val="005079B4"/>
    <w:rsid w:val="005079DD"/>
    <w:rsid w:val="00507D72"/>
    <w:rsid w:val="00510263"/>
    <w:rsid w:val="005102AE"/>
    <w:rsid w:val="005102D9"/>
    <w:rsid w:val="0051069F"/>
    <w:rsid w:val="0051075B"/>
    <w:rsid w:val="00510864"/>
    <w:rsid w:val="00510A41"/>
    <w:rsid w:val="00510A5D"/>
    <w:rsid w:val="00510B1B"/>
    <w:rsid w:val="00510BD1"/>
    <w:rsid w:val="00510EE9"/>
    <w:rsid w:val="00510F5E"/>
    <w:rsid w:val="00510F94"/>
    <w:rsid w:val="00510FAB"/>
    <w:rsid w:val="005110C9"/>
    <w:rsid w:val="0051118E"/>
    <w:rsid w:val="00511289"/>
    <w:rsid w:val="005112B8"/>
    <w:rsid w:val="0051137A"/>
    <w:rsid w:val="0051150F"/>
    <w:rsid w:val="005115A6"/>
    <w:rsid w:val="00511684"/>
    <w:rsid w:val="00511A7C"/>
    <w:rsid w:val="00511ACA"/>
    <w:rsid w:val="00511B0C"/>
    <w:rsid w:val="00511BC5"/>
    <w:rsid w:val="00511BD6"/>
    <w:rsid w:val="00511C8A"/>
    <w:rsid w:val="00511D3A"/>
    <w:rsid w:val="0051201E"/>
    <w:rsid w:val="005122EF"/>
    <w:rsid w:val="005123D1"/>
    <w:rsid w:val="005124B5"/>
    <w:rsid w:val="005124F7"/>
    <w:rsid w:val="005126F3"/>
    <w:rsid w:val="00512832"/>
    <w:rsid w:val="00512889"/>
    <w:rsid w:val="00512A7F"/>
    <w:rsid w:val="00512AA4"/>
    <w:rsid w:val="00512C70"/>
    <w:rsid w:val="00512E45"/>
    <w:rsid w:val="00512EA2"/>
    <w:rsid w:val="00513358"/>
    <w:rsid w:val="005134CF"/>
    <w:rsid w:val="005136F1"/>
    <w:rsid w:val="0051371F"/>
    <w:rsid w:val="005137BA"/>
    <w:rsid w:val="005138A2"/>
    <w:rsid w:val="00513972"/>
    <w:rsid w:val="00513995"/>
    <w:rsid w:val="005139BB"/>
    <w:rsid w:val="00513A13"/>
    <w:rsid w:val="00513C3D"/>
    <w:rsid w:val="00514046"/>
    <w:rsid w:val="00514058"/>
    <w:rsid w:val="00514279"/>
    <w:rsid w:val="00514299"/>
    <w:rsid w:val="005142A7"/>
    <w:rsid w:val="00514336"/>
    <w:rsid w:val="00514410"/>
    <w:rsid w:val="0051442D"/>
    <w:rsid w:val="005146C5"/>
    <w:rsid w:val="00514727"/>
    <w:rsid w:val="00514B93"/>
    <w:rsid w:val="00514D8C"/>
    <w:rsid w:val="00514E11"/>
    <w:rsid w:val="00514F0A"/>
    <w:rsid w:val="005151C8"/>
    <w:rsid w:val="0051525E"/>
    <w:rsid w:val="00515491"/>
    <w:rsid w:val="00515778"/>
    <w:rsid w:val="005159F7"/>
    <w:rsid w:val="005159F8"/>
    <w:rsid w:val="00515A1A"/>
    <w:rsid w:val="00515B5B"/>
    <w:rsid w:val="00515B6A"/>
    <w:rsid w:val="00515BE2"/>
    <w:rsid w:val="00515D63"/>
    <w:rsid w:val="00515DCA"/>
    <w:rsid w:val="00515EC2"/>
    <w:rsid w:val="00515FA2"/>
    <w:rsid w:val="00515FAA"/>
    <w:rsid w:val="00516058"/>
    <w:rsid w:val="005160BB"/>
    <w:rsid w:val="005161F9"/>
    <w:rsid w:val="00516299"/>
    <w:rsid w:val="00516557"/>
    <w:rsid w:val="00516573"/>
    <w:rsid w:val="00516959"/>
    <w:rsid w:val="00516A65"/>
    <w:rsid w:val="00516C84"/>
    <w:rsid w:val="00516D36"/>
    <w:rsid w:val="00516E32"/>
    <w:rsid w:val="00516EDD"/>
    <w:rsid w:val="00516FCC"/>
    <w:rsid w:val="00516FE0"/>
    <w:rsid w:val="0051703D"/>
    <w:rsid w:val="005171BF"/>
    <w:rsid w:val="005172FC"/>
    <w:rsid w:val="00517509"/>
    <w:rsid w:val="005176AD"/>
    <w:rsid w:val="00517999"/>
    <w:rsid w:val="00517A6A"/>
    <w:rsid w:val="00517B15"/>
    <w:rsid w:val="00517FDA"/>
    <w:rsid w:val="005204C7"/>
    <w:rsid w:val="0052052C"/>
    <w:rsid w:val="00520712"/>
    <w:rsid w:val="0052094C"/>
    <w:rsid w:val="00520DBF"/>
    <w:rsid w:val="00520F42"/>
    <w:rsid w:val="00521121"/>
    <w:rsid w:val="00521392"/>
    <w:rsid w:val="00521517"/>
    <w:rsid w:val="0052170A"/>
    <w:rsid w:val="005218AF"/>
    <w:rsid w:val="00521A93"/>
    <w:rsid w:val="00521D90"/>
    <w:rsid w:val="00521E5B"/>
    <w:rsid w:val="00521F03"/>
    <w:rsid w:val="0052206D"/>
    <w:rsid w:val="005221A2"/>
    <w:rsid w:val="005221C0"/>
    <w:rsid w:val="0052225E"/>
    <w:rsid w:val="0052229D"/>
    <w:rsid w:val="005222DE"/>
    <w:rsid w:val="00522433"/>
    <w:rsid w:val="0052244F"/>
    <w:rsid w:val="005224B3"/>
    <w:rsid w:val="0052260D"/>
    <w:rsid w:val="00522689"/>
    <w:rsid w:val="005227A6"/>
    <w:rsid w:val="00522AA5"/>
    <w:rsid w:val="00522E67"/>
    <w:rsid w:val="00522F6A"/>
    <w:rsid w:val="00523087"/>
    <w:rsid w:val="005233D1"/>
    <w:rsid w:val="00523423"/>
    <w:rsid w:val="0052347D"/>
    <w:rsid w:val="005235CB"/>
    <w:rsid w:val="005238AC"/>
    <w:rsid w:val="00523A14"/>
    <w:rsid w:val="00524768"/>
    <w:rsid w:val="0052499F"/>
    <w:rsid w:val="005249F2"/>
    <w:rsid w:val="00524A34"/>
    <w:rsid w:val="00524A87"/>
    <w:rsid w:val="00524F0F"/>
    <w:rsid w:val="00524F59"/>
    <w:rsid w:val="0052531F"/>
    <w:rsid w:val="005259E3"/>
    <w:rsid w:val="00525A7F"/>
    <w:rsid w:val="00525E0D"/>
    <w:rsid w:val="005261E8"/>
    <w:rsid w:val="005261F4"/>
    <w:rsid w:val="00526343"/>
    <w:rsid w:val="00526384"/>
    <w:rsid w:val="005263BC"/>
    <w:rsid w:val="00526542"/>
    <w:rsid w:val="0052665A"/>
    <w:rsid w:val="00526669"/>
    <w:rsid w:val="00526A45"/>
    <w:rsid w:val="00526BB4"/>
    <w:rsid w:val="00526BC7"/>
    <w:rsid w:val="00526D2B"/>
    <w:rsid w:val="00526D94"/>
    <w:rsid w:val="00526DA0"/>
    <w:rsid w:val="00526E5A"/>
    <w:rsid w:val="00526EA4"/>
    <w:rsid w:val="00527030"/>
    <w:rsid w:val="0052711B"/>
    <w:rsid w:val="00527349"/>
    <w:rsid w:val="0052746D"/>
    <w:rsid w:val="005274CD"/>
    <w:rsid w:val="00527574"/>
    <w:rsid w:val="0052784E"/>
    <w:rsid w:val="00527860"/>
    <w:rsid w:val="00527898"/>
    <w:rsid w:val="00527D75"/>
    <w:rsid w:val="00527E82"/>
    <w:rsid w:val="00530158"/>
    <w:rsid w:val="00530452"/>
    <w:rsid w:val="005304E7"/>
    <w:rsid w:val="00530581"/>
    <w:rsid w:val="00530741"/>
    <w:rsid w:val="00530921"/>
    <w:rsid w:val="005309AC"/>
    <w:rsid w:val="005309E2"/>
    <w:rsid w:val="00530FC4"/>
    <w:rsid w:val="00531019"/>
    <w:rsid w:val="00531028"/>
    <w:rsid w:val="00531154"/>
    <w:rsid w:val="005312CB"/>
    <w:rsid w:val="005312D0"/>
    <w:rsid w:val="005316D8"/>
    <w:rsid w:val="005317DE"/>
    <w:rsid w:val="00531978"/>
    <w:rsid w:val="00531DBD"/>
    <w:rsid w:val="00531E3C"/>
    <w:rsid w:val="00531F6A"/>
    <w:rsid w:val="00531FE7"/>
    <w:rsid w:val="0053202F"/>
    <w:rsid w:val="0053203A"/>
    <w:rsid w:val="00532048"/>
    <w:rsid w:val="00532156"/>
    <w:rsid w:val="0053222E"/>
    <w:rsid w:val="00532289"/>
    <w:rsid w:val="0053239F"/>
    <w:rsid w:val="005327BD"/>
    <w:rsid w:val="0053299F"/>
    <w:rsid w:val="00532A24"/>
    <w:rsid w:val="00532AA4"/>
    <w:rsid w:val="00532AD6"/>
    <w:rsid w:val="00532ED5"/>
    <w:rsid w:val="005330BD"/>
    <w:rsid w:val="00533132"/>
    <w:rsid w:val="0053328F"/>
    <w:rsid w:val="005333EC"/>
    <w:rsid w:val="00533504"/>
    <w:rsid w:val="00533566"/>
    <w:rsid w:val="00533821"/>
    <w:rsid w:val="00533B0F"/>
    <w:rsid w:val="00533C9E"/>
    <w:rsid w:val="00533DB3"/>
    <w:rsid w:val="00533E4B"/>
    <w:rsid w:val="00534122"/>
    <w:rsid w:val="005343B7"/>
    <w:rsid w:val="00534521"/>
    <w:rsid w:val="00534681"/>
    <w:rsid w:val="00534705"/>
    <w:rsid w:val="005349BE"/>
    <w:rsid w:val="00534C7D"/>
    <w:rsid w:val="00534CAF"/>
    <w:rsid w:val="00534D7C"/>
    <w:rsid w:val="0053504E"/>
    <w:rsid w:val="0053509E"/>
    <w:rsid w:val="00535172"/>
    <w:rsid w:val="005351AA"/>
    <w:rsid w:val="005354B5"/>
    <w:rsid w:val="005357FF"/>
    <w:rsid w:val="00535A48"/>
    <w:rsid w:val="00535A53"/>
    <w:rsid w:val="00535B4A"/>
    <w:rsid w:val="00535B90"/>
    <w:rsid w:val="00535F57"/>
    <w:rsid w:val="00535F77"/>
    <w:rsid w:val="00536085"/>
    <w:rsid w:val="005361E6"/>
    <w:rsid w:val="005362FD"/>
    <w:rsid w:val="005363EF"/>
    <w:rsid w:val="00536406"/>
    <w:rsid w:val="00536518"/>
    <w:rsid w:val="005366C6"/>
    <w:rsid w:val="005369D1"/>
    <w:rsid w:val="00536A7B"/>
    <w:rsid w:val="00536CBD"/>
    <w:rsid w:val="00536D33"/>
    <w:rsid w:val="00536DFE"/>
    <w:rsid w:val="00536E8F"/>
    <w:rsid w:val="00536F29"/>
    <w:rsid w:val="00536FE2"/>
    <w:rsid w:val="00537246"/>
    <w:rsid w:val="005377C3"/>
    <w:rsid w:val="00537A2F"/>
    <w:rsid w:val="00537A67"/>
    <w:rsid w:val="00537D38"/>
    <w:rsid w:val="00537DBA"/>
    <w:rsid w:val="00537F8A"/>
    <w:rsid w:val="00537FA8"/>
    <w:rsid w:val="00537FAE"/>
    <w:rsid w:val="005401FF"/>
    <w:rsid w:val="005403DC"/>
    <w:rsid w:val="00540674"/>
    <w:rsid w:val="00540AD3"/>
    <w:rsid w:val="00540B4E"/>
    <w:rsid w:val="00540BC5"/>
    <w:rsid w:val="00540C67"/>
    <w:rsid w:val="0054102F"/>
    <w:rsid w:val="005410D5"/>
    <w:rsid w:val="00541104"/>
    <w:rsid w:val="00541133"/>
    <w:rsid w:val="005412B2"/>
    <w:rsid w:val="005412E2"/>
    <w:rsid w:val="00541780"/>
    <w:rsid w:val="005418E8"/>
    <w:rsid w:val="00541A6D"/>
    <w:rsid w:val="00541B7F"/>
    <w:rsid w:val="00541BD9"/>
    <w:rsid w:val="00541C01"/>
    <w:rsid w:val="00541D5C"/>
    <w:rsid w:val="00541D7A"/>
    <w:rsid w:val="00541F0C"/>
    <w:rsid w:val="00541F79"/>
    <w:rsid w:val="005421C4"/>
    <w:rsid w:val="005421CE"/>
    <w:rsid w:val="005425EE"/>
    <w:rsid w:val="0054260B"/>
    <w:rsid w:val="005426D1"/>
    <w:rsid w:val="00542A0B"/>
    <w:rsid w:val="00542B2A"/>
    <w:rsid w:val="00542B50"/>
    <w:rsid w:val="00542FF4"/>
    <w:rsid w:val="00543242"/>
    <w:rsid w:val="005434F4"/>
    <w:rsid w:val="0054366B"/>
    <w:rsid w:val="005437AF"/>
    <w:rsid w:val="0054396B"/>
    <w:rsid w:val="00543AA7"/>
    <w:rsid w:val="00543B5E"/>
    <w:rsid w:val="00543C3F"/>
    <w:rsid w:val="00543D7B"/>
    <w:rsid w:val="00543EDC"/>
    <w:rsid w:val="0054429A"/>
    <w:rsid w:val="005445FA"/>
    <w:rsid w:val="0054474E"/>
    <w:rsid w:val="0054479D"/>
    <w:rsid w:val="005448B9"/>
    <w:rsid w:val="00544A8F"/>
    <w:rsid w:val="00544AC0"/>
    <w:rsid w:val="00544B54"/>
    <w:rsid w:val="00544B7B"/>
    <w:rsid w:val="00544C0A"/>
    <w:rsid w:val="00544CE3"/>
    <w:rsid w:val="00545380"/>
    <w:rsid w:val="005457F6"/>
    <w:rsid w:val="00545910"/>
    <w:rsid w:val="0054596F"/>
    <w:rsid w:val="005459D3"/>
    <w:rsid w:val="00545AD5"/>
    <w:rsid w:val="00545CEA"/>
    <w:rsid w:val="00546007"/>
    <w:rsid w:val="00546607"/>
    <w:rsid w:val="005469D3"/>
    <w:rsid w:val="00546AA1"/>
    <w:rsid w:val="00546BA0"/>
    <w:rsid w:val="00546D49"/>
    <w:rsid w:val="00546E28"/>
    <w:rsid w:val="00546F66"/>
    <w:rsid w:val="00546FE4"/>
    <w:rsid w:val="0054707C"/>
    <w:rsid w:val="0054716E"/>
    <w:rsid w:val="005471A9"/>
    <w:rsid w:val="00547398"/>
    <w:rsid w:val="00547596"/>
    <w:rsid w:val="0054770B"/>
    <w:rsid w:val="00547835"/>
    <w:rsid w:val="00547898"/>
    <w:rsid w:val="00547A8C"/>
    <w:rsid w:val="00547B5F"/>
    <w:rsid w:val="00547B93"/>
    <w:rsid w:val="00547D00"/>
    <w:rsid w:val="00547D22"/>
    <w:rsid w:val="00547EE0"/>
    <w:rsid w:val="0055007D"/>
    <w:rsid w:val="005500E2"/>
    <w:rsid w:val="0055029C"/>
    <w:rsid w:val="005502E8"/>
    <w:rsid w:val="005503A1"/>
    <w:rsid w:val="005503DA"/>
    <w:rsid w:val="00550433"/>
    <w:rsid w:val="00550756"/>
    <w:rsid w:val="00550799"/>
    <w:rsid w:val="00550842"/>
    <w:rsid w:val="005508D1"/>
    <w:rsid w:val="005509D1"/>
    <w:rsid w:val="00550A9F"/>
    <w:rsid w:val="00550ABF"/>
    <w:rsid w:val="00550D0B"/>
    <w:rsid w:val="00550E04"/>
    <w:rsid w:val="00550EFC"/>
    <w:rsid w:val="0055101C"/>
    <w:rsid w:val="00551217"/>
    <w:rsid w:val="00551237"/>
    <w:rsid w:val="0055124B"/>
    <w:rsid w:val="00551475"/>
    <w:rsid w:val="005514C2"/>
    <w:rsid w:val="005516B7"/>
    <w:rsid w:val="0055176B"/>
    <w:rsid w:val="00551D14"/>
    <w:rsid w:val="00551E26"/>
    <w:rsid w:val="00552128"/>
    <w:rsid w:val="00552152"/>
    <w:rsid w:val="00552315"/>
    <w:rsid w:val="00552508"/>
    <w:rsid w:val="0055259F"/>
    <w:rsid w:val="005528EF"/>
    <w:rsid w:val="0055296C"/>
    <w:rsid w:val="005529E1"/>
    <w:rsid w:val="005529EE"/>
    <w:rsid w:val="00552C8B"/>
    <w:rsid w:val="00552E8B"/>
    <w:rsid w:val="00552FD4"/>
    <w:rsid w:val="005531A7"/>
    <w:rsid w:val="00553267"/>
    <w:rsid w:val="00553362"/>
    <w:rsid w:val="00553392"/>
    <w:rsid w:val="0055343B"/>
    <w:rsid w:val="00553474"/>
    <w:rsid w:val="005536BB"/>
    <w:rsid w:val="005537FE"/>
    <w:rsid w:val="00553AA1"/>
    <w:rsid w:val="00553BEF"/>
    <w:rsid w:val="00553D40"/>
    <w:rsid w:val="005540A1"/>
    <w:rsid w:val="005541D2"/>
    <w:rsid w:val="00554425"/>
    <w:rsid w:val="0055447F"/>
    <w:rsid w:val="00554494"/>
    <w:rsid w:val="005544C8"/>
    <w:rsid w:val="005544CD"/>
    <w:rsid w:val="0055480F"/>
    <w:rsid w:val="0055487E"/>
    <w:rsid w:val="0055494E"/>
    <w:rsid w:val="00554971"/>
    <w:rsid w:val="00554B4D"/>
    <w:rsid w:val="00554EEE"/>
    <w:rsid w:val="00554F2C"/>
    <w:rsid w:val="00554F98"/>
    <w:rsid w:val="00554FF8"/>
    <w:rsid w:val="0055519E"/>
    <w:rsid w:val="005552F4"/>
    <w:rsid w:val="00555315"/>
    <w:rsid w:val="005554DC"/>
    <w:rsid w:val="00555774"/>
    <w:rsid w:val="00555781"/>
    <w:rsid w:val="005557DB"/>
    <w:rsid w:val="0055589E"/>
    <w:rsid w:val="00555B1B"/>
    <w:rsid w:val="00555B7E"/>
    <w:rsid w:val="00555C0E"/>
    <w:rsid w:val="00555CB0"/>
    <w:rsid w:val="00555D81"/>
    <w:rsid w:val="00555FAD"/>
    <w:rsid w:val="00555FE0"/>
    <w:rsid w:val="00556098"/>
    <w:rsid w:val="00556546"/>
    <w:rsid w:val="00556751"/>
    <w:rsid w:val="00556972"/>
    <w:rsid w:val="00556B29"/>
    <w:rsid w:val="00556B5F"/>
    <w:rsid w:val="00556CB4"/>
    <w:rsid w:val="00556E89"/>
    <w:rsid w:val="00556F2C"/>
    <w:rsid w:val="0055702B"/>
    <w:rsid w:val="00557186"/>
    <w:rsid w:val="005572DA"/>
    <w:rsid w:val="0055736A"/>
    <w:rsid w:val="005576AD"/>
    <w:rsid w:val="005576C3"/>
    <w:rsid w:val="00557763"/>
    <w:rsid w:val="0055779C"/>
    <w:rsid w:val="00557839"/>
    <w:rsid w:val="0055793A"/>
    <w:rsid w:val="00557A57"/>
    <w:rsid w:val="00557ECE"/>
    <w:rsid w:val="00557F36"/>
    <w:rsid w:val="00560288"/>
    <w:rsid w:val="00560310"/>
    <w:rsid w:val="00560312"/>
    <w:rsid w:val="005604F5"/>
    <w:rsid w:val="00560960"/>
    <w:rsid w:val="00560B87"/>
    <w:rsid w:val="00561259"/>
    <w:rsid w:val="005612E8"/>
    <w:rsid w:val="00561362"/>
    <w:rsid w:val="00561873"/>
    <w:rsid w:val="00561A65"/>
    <w:rsid w:val="00561E73"/>
    <w:rsid w:val="00561FE9"/>
    <w:rsid w:val="005620F5"/>
    <w:rsid w:val="005621F1"/>
    <w:rsid w:val="00562260"/>
    <w:rsid w:val="0056230A"/>
    <w:rsid w:val="0056242B"/>
    <w:rsid w:val="0056271A"/>
    <w:rsid w:val="005627F0"/>
    <w:rsid w:val="0056302A"/>
    <w:rsid w:val="00563089"/>
    <w:rsid w:val="00563165"/>
    <w:rsid w:val="00563562"/>
    <w:rsid w:val="005638E9"/>
    <w:rsid w:val="00563967"/>
    <w:rsid w:val="00563ABC"/>
    <w:rsid w:val="005640DF"/>
    <w:rsid w:val="005642EC"/>
    <w:rsid w:val="00564545"/>
    <w:rsid w:val="00564753"/>
    <w:rsid w:val="00564866"/>
    <w:rsid w:val="005649B6"/>
    <w:rsid w:val="00564D24"/>
    <w:rsid w:val="00564EAA"/>
    <w:rsid w:val="00564F4F"/>
    <w:rsid w:val="0056509E"/>
    <w:rsid w:val="0056537E"/>
    <w:rsid w:val="00565440"/>
    <w:rsid w:val="005656EF"/>
    <w:rsid w:val="005657BD"/>
    <w:rsid w:val="00565906"/>
    <w:rsid w:val="00565A69"/>
    <w:rsid w:val="00565C10"/>
    <w:rsid w:val="00565DE9"/>
    <w:rsid w:val="00566070"/>
    <w:rsid w:val="00566084"/>
    <w:rsid w:val="00566489"/>
    <w:rsid w:val="0056665D"/>
    <w:rsid w:val="0056680A"/>
    <w:rsid w:val="00566815"/>
    <w:rsid w:val="00566879"/>
    <w:rsid w:val="0056693F"/>
    <w:rsid w:val="00566C60"/>
    <w:rsid w:val="00566CAB"/>
    <w:rsid w:val="00566E12"/>
    <w:rsid w:val="00566E65"/>
    <w:rsid w:val="00566FC0"/>
    <w:rsid w:val="00567003"/>
    <w:rsid w:val="005671DD"/>
    <w:rsid w:val="00567230"/>
    <w:rsid w:val="0056734C"/>
    <w:rsid w:val="00567369"/>
    <w:rsid w:val="00567CB1"/>
    <w:rsid w:val="00567E07"/>
    <w:rsid w:val="00567EF5"/>
    <w:rsid w:val="00567F7D"/>
    <w:rsid w:val="00570321"/>
    <w:rsid w:val="00570356"/>
    <w:rsid w:val="00570430"/>
    <w:rsid w:val="0057059E"/>
    <w:rsid w:val="0057088D"/>
    <w:rsid w:val="0057093A"/>
    <w:rsid w:val="005709A6"/>
    <w:rsid w:val="00570AAA"/>
    <w:rsid w:val="00570B6B"/>
    <w:rsid w:val="005711FC"/>
    <w:rsid w:val="005712B6"/>
    <w:rsid w:val="00571399"/>
    <w:rsid w:val="005714FD"/>
    <w:rsid w:val="0057159A"/>
    <w:rsid w:val="005716A7"/>
    <w:rsid w:val="005717FD"/>
    <w:rsid w:val="005718CE"/>
    <w:rsid w:val="005718EC"/>
    <w:rsid w:val="0057194D"/>
    <w:rsid w:val="00571A58"/>
    <w:rsid w:val="00571C9B"/>
    <w:rsid w:val="00572320"/>
    <w:rsid w:val="00572351"/>
    <w:rsid w:val="005723D2"/>
    <w:rsid w:val="0057255E"/>
    <w:rsid w:val="00572A1D"/>
    <w:rsid w:val="00572AAC"/>
    <w:rsid w:val="00572C9C"/>
    <w:rsid w:val="00572D17"/>
    <w:rsid w:val="00572E8D"/>
    <w:rsid w:val="0057313C"/>
    <w:rsid w:val="005731D9"/>
    <w:rsid w:val="0057320F"/>
    <w:rsid w:val="0057322D"/>
    <w:rsid w:val="00573323"/>
    <w:rsid w:val="005733F9"/>
    <w:rsid w:val="005735B1"/>
    <w:rsid w:val="005735CB"/>
    <w:rsid w:val="0057366F"/>
    <w:rsid w:val="00573760"/>
    <w:rsid w:val="005737C5"/>
    <w:rsid w:val="0057393A"/>
    <w:rsid w:val="005739BE"/>
    <w:rsid w:val="00573C7D"/>
    <w:rsid w:val="00574029"/>
    <w:rsid w:val="00574132"/>
    <w:rsid w:val="0057422D"/>
    <w:rsid w:val="0057471B"/>
    <w:rsid w:val="00574799"/>
    <w:rsid w:val="0057486F"/>
    <w:rsid w:val="005748A2"/>
    <w:rsid w:val="00574A69"/>
    <w:rsid w:val="00574C0B"/>
    <w:rsid w:val="00574DC1"/>
    <w:rsid w:val="00574E10"/>
    <w:rsid w:val="00575022"/>
    <w:rsid w:val="0057517C"/>
    <w:rsid w:val="005753D2"/>
    <w:rsid w:val="0057546B"/>
    <w:rsid w:val="00575560"/>
    <w:rsid w:val="0057559C"/>
    <w:rsid w:val="00575636"/>
    <w:rsid w:val="005757DC"/>
    <w:rsid w:val="00575820"/>
    <w:rsid w:val="005758B3"/>
    <w:rsid w:val="00575B54"/>
    <w:rsid w:val="00575B7A"/>
    <w:rsid w:val="00575B9A"/>
    <w:rsid w:val="00575E54"/>
    <w:rsid w:val="00575E6C"/>
    <w:rsid w:val="00575FE6"/>
    <w:rsid w:val="00576025"/>
    <w:rsid w:val="005761F5"/>
    <w:rsid w:val="00576343"/>
    <w:rsid w:val="005765BF"/>
    <w:rsid w:val="00576859"/>
    <w:rsid w:val="005768EB"/>
    <w:rsid w:val="005769C6"/>
    <w:rsid w:val="00576C07"/>
    <w:rsid w:val="00576F55"/>
    <w:rsid w:val="00576F7B"/>
    <w:rsid w:val="00576FAC"/>
    <w:rsid w:val="00577039"/>
    <w:rsid w:val="00577042"/>
    <w:rsid w:val="00577071"/>
    <w:rsid w:val="0057734B"/>
    <w:rsid w:val="00577DD6"/>
    <w:rsid w:val="00577F0A"/>
    <w:rsid w:val="00577F86"/>
    <w:rsid w:val="00577FA6"/>
    <w:rsid w:val="00580370"/>
    <w:rsid w:val="00580393"/>
    <w:rsid w:val="005805F1"/>
    <w:rsid w:val="00580854"/>
    <w:rsid w:val="005809CA"/>
    <w:rsid w:val="00580C33"/>
    <w:rsid w:val="00580D3D"/>
    <w:rsid w:val="00580DE5"/>
    <w:rsid w:val="00580F0D"/>
    <w:rsid w:val="00581071"/>
    <w:rsid w:val="0058118C"/>
    <w:rsid w:val="005811E6"/>
    <w:rsid w:val="005811FB"/>
    <w:rsid w:val="00581479"/>
    <w:rsid w:val="00581517"/>
    <w:rsid w:val="00581640"/>
    <w:rsid w:val="00581641"/>
    <w:rsid w:val="005816B2"/>
    <w:rsid w:val="0058194B"/>
    <w:rsid w:val="00581A63"/>
    <w:rsid w:val="00581C52"/>
    <w:rsid w:val="00581DFB"/>
    <w:rsid w:val="00581E2C"/>
    <w:rsid w:val="005820D3"/>
    <w:rsid w:val="005820D7"/>
    <w:rsid w:val="005821A3"/>
    <w:rsid w:val="005824BD"/>
    <w:rsid w:val="00582653"/>
    <w:rsid w:val="00582936"/>
    <w:rsid w:val="005829D3"/>
    <w:rsid w:val="00582B42"/>
    <w:rsid w:val="0058302F"/>
    <w:rsid w:val="005831E9"/>
    <w:rsid w:val="0058337D"/>
    <w:rsid w:val="005833BF"/>
    <w:rsid w:val="0058343A"/>
    <w:rsid w:val="005837BF"/>
    <w:rsid w:val="00583820"/>
    <w:rsid w:val="00583828"/>
    <w:rsid w:val="0058398E"/>
    <w:rsid w:val="00583D8B"/>
    <w:rsid w:val="00583DA1"/>
    <w:rsid w:val="0058408C"/>
    <w:rsid w:val="00584426"/>
    <w:rsid w:val="005844AB"/>
    <w:rsid w:val="0058458A"/>
    <w:rsid w:val="00584662"/>
    <w:rsid w:val="00584831"/>
    <w:rsid w:val="0058497A"/>
    <w:rsid w:val="005849C5"/>
    <w:rsid w:val="00584A36"/>
    <w:rsid w:val="00584C67"/>
    <w:rsid w:val="00584E80"/>
    <w:rsid w:val="00584EDB"/>
    <w:rsid w:val="0058500D"/>
    <w:rsid w:val="0058519B"/>
    <w:rsid w:val="005851C5"/>
    <w:rsid w:val="0058567F"/>
    <w:rsid w:val="005857CB"/>
    <w:rsid w:val="00585888"/>
    <w:rsid w:val="005859CA"/>
    <w:rsid w:val="00585B57"/>
    <w:rsid w:val="00585D6D"/>
    <w:rsid w:val="00585D84"/>
    <w:rsid w:val="0058646E"/>
    <w:rsid w:val="005864D4"/>
    <w:rsid w:val="0058655A"/>
    <w:rsid w:val="005868CF"/>
    <w:rsid w:val="00586C8C"/>
    <w:rsid w:val="00586CE5"/>
    <w:rsid w:val="00586D69"/>
    <w:rsid w:val="00587049"/>
    <w:rsid w:val="0058719D"/>
    <w:rsid w:val="005871DB"/>
    <w:rsid w:val="00587260"/>
    <w:rsid w:val="0058737A"/>
    <w:rsid w:val="00587466"/>
    <w:rsid w:val="005877C3"/>
    <w:rsid w:val="0058787D"/>
    <w:rsid w:val="0058790F"/>
    <w:rsid w:val="00587957"/>
    <w:rsid w:val="00587AA4"/>
    <w:rsid w:val="00587B54"/>
    <w:rsid w:val="00587BAC"/>
    <w:rsid w:val="00587BED"/>
    <w:rsid w:val="00587C68"/>
    <w:rsid w:val="00587C82"/>
    <w:rsid w:val="00587E2E"/>
    <w:rsid w:val="00587F2D"/>
    <w:rsid w:val="00590419"/>
    <w:rsid w:val="00590687"/>
    <w:rsid w:val="00590907"/>
    <w:rsid w:val="00590F62"/>
    <w:rsid w:val="00590F6D"/>
    <w:rsid w:val="005911E2"/>
    <w:rsid w:val="00591357"/>
    <w:rsid w:val="005915FF"/>
    <w:rsid w:val="00591906"/>
    <w:rsid w:val="0059191A"/>
    <w:rsid w:val="00591995"/>
    <w:rsid w:val="00591C30"/>
    <w:rsid w:val="00591DD7"/>
    <w:rsid w:val="00591F8A"/>
    <w:rsid w:val="0059202E"/>
    <w:rsid w:val="005920AF"/>
    <w:rsid w:val="0059214B"/>
    <w:rsid w:val="005921D5"/>
    <w:rsid w:val="005923CC"/>
    <w:rsid w:val="0059246E"/>
    <w:rsid w:val="005924CE"/>
    <w:rsid w:val="00592904"/>
    <w:rsid w:val="00592CB9"/>
    <w:rsid w:val="00592D13"/>
    <w:rsid w:val="00592F58"/>
    <w:rsid w:val="00592F8C"/>
    <w:rsid w:val="0059314E"/>
    <w:rsid w:val="00593605"/>
    <w:rsid w:val="00593763"/>
    <w:rsid w:val="0059386E"/>
    <w:rsid w:val="00593886"/>
    <w:rsid w:val="00593891"/>
    <w:rsid w:val="00593C0D"/>
    <w:rsid w:val="00593C85"/>
    <w:rsid w:val="00593CD7"/>
    <w:rsid w:val="00593E2A"/>
    <w:rsid w:val="00593E4C"/>
    <w:rsid w:val="005942CE"/>
    <w:rsid w:val="005944D4"/>
    <w:rsid w:val="005947CD"/>
    <w:rsid w:val="0059485D"/>
    <w:rsid w:val="00594893"/>
    <w:rsid w:val="00594932"/>
    <w:rsid w:val="00594BD2"/>
    <w:rsid w:val="00594F0F"/>
    <w:rsid w:val="00594F17"/>
    <w:rsid w:val="00595098"/>
    <w:rsid w:val="005955FF"/>
    <w:rsid w:val="00595743"/>
    <w:rsid w:val="00595982"/>
    <w:rsid w:val="00595B0A"/>
    <w:rsid w:val="00595B2E"/>
    <w:rsid w:val="0059618B"/>
    <w:rsid w:val="0059677A"/>
    <w:rsid w:val="0059687E"/>
    <w:rsid w:val="00596987"/>
    <w:rsid w:val="00596F92"/>
    <w:rsid w:val="00597095"/>
    <w:rsid w:val="005970AE"/>
    <w:rsid w:val="005971E3"/>
    <w:rsid w:val="0059727C"/>
    <w:rsid w:val="005972BB"/>
    <w:rsid w:val="005972E0"/>
    <w:rsid w:val="00597304"/>
    <w:rsid w:val="0059741C"/>
    <w:rsid w:val="00597764"/>
    <w:rsid w:val="005979E1"/>
    <w:rsid w:val="00597ADC"/>
    <w:rsid w:val="00597AEF"/>
    <w:rsid w:val="00597BCE"/>
    <w:rsid w:val="00597DDB"/>
    <w:rsid w:val="005A001C"/>
    <w:rsid w:val="005A025E"/>
    <w:rsid w:val="005A0293"/>
    <w:rsid w:val="005A04A1"/>
    <w:rsid w:val="005A0586"/>
    <w:rsid w:val="005A0627"/>
    <w:rsid w:val="005A0846"/>
    <w:rsid w:val="005A0980"/>
    <w:rsid w:val="005A0AA6"/>
    <w:rsid w:val="005A0B66"/>
    <w:rsid w:val="005A0E02"/>
    <w:rsid w:val="005A0E3D"/>
    <w:rsid w:val="005A0E85"/>
    <w:rsid w:val="005A0F11"/>
    <w:rsid w:val="005A0F54"/>
    <w:rsid w:val="005A1053"/>
    <w:rsid w:val="005A10B3"/>
    <w:rsid w:val="005A12D7"/>
    <w:rsid w:val="005A13FC"/>
    <w:rsid w:val="005A1491"/>
    <w:rsid w:val="005A14B9"/>
    <w:rsid w:val="005A14EE"/>
    <w:rsid w:val="005A15DF"/>
    <w:rsid w:val="005A17FD"/>
    <w:rsid w:val="005A1DAD"/>
    <w:rsid w:val="005A1DD4"/>
    <w:rsid w:val="005A2015"/>
    <w:rsid w:val="005A20DB"/>
    <w:rsid w:val="005A2297"/>
    <w:rsid w:val="005A244C"/>
    <w:rsid w:val="005A2469"/>
    <w:rsid w:val="005A25F4"/>
    <w:rsid w:val="005A2A88"/>
    <w:rsid w:val="005A2BCD"/>
    <w:rsid w:val="005A2E30"/>
    <w:rsid w:val="005A310B"/>
    <w:rsid w:val="005A314C"/>
    <w:rsid w:val="005A3259"/>
    <w:rsid w:val="005A334A"/>
    <w:rsid w:val="005A346D"/>
    <w:rsid w:val="005A34B9"/>
    <w:rsid w:val="005A354E"/>
    <w:rsid w:val="005A3996"/>
    <w:rsid w:val="005A3ABD"/>
    <w:rsid w:val="005A3B0F"/>
    <w:rsid w:val="005A3DF9"/>
    <w:rsid w:val="005A3E20"/>
    <w:rsid w:val="005A412A"/>
    <w:rsid w:val="005A417A"/>
    <w:rsid w:val="005A427D"/>
    <w:rsid w:val="005A446F"/>
    <w:rsid w:val="005A482C"/>
    <w:rsid w:val="005A4D06"/>
    <w:rsid w:val="005A4ED8"/>
    <w:rsid w:val="005A4F22"/>
    <w:rsid w:val="005A5042"/>
    <w:rsid w:val="005A5089"/>
    <w:rsid w:val="005A5339"/>
    <w:rsid w:val="005A54F7"/>
    <w:rsid w:val="005A5907"/>
    <w:rsid w:val="005A5AB8"/>
    <w:rsid w:val="005A5D01"/>
    <w:rsid w:val="005A5E23"/>
    <w:rsid w:val="005A618E"/>
    <w:rsid w:val="005A6221"/>
    <w:rsid w:val="005A6262"/>
    <w:rsid w:val="005A6270"/>
    <w:rsid w:val="005A62F8"/>
    <w:rsid w:val="005A62FC"/>
    <w:rsid w:val="005A6639"/>
    <w:rsid w:val="005A6731"/>
    <w:rsid w:val="005A69D1"/>
    <w:rsid w:val="005A6C25"/>
    <w:rsid w:val="005A6DB4"/>
    <w:rsid w:val="005A6F36"/>
    <w:rsid w:val="005A6F8C"/>
    <w:rsid w:val="005A7477"/>
    <w:rsid w:val="005A760A"/>
    <w:rsid w:val="005A77DC"/>
    <w:rsid w:val="005A7A93"/>
    <w:rsid w:val="005A7B82"/>
    <w:rsid w:val="005A7EF7"/>
    <w:rsid w:val="005A7F41"/>
    <w:rsid w:val="005B027C"/>
    <w:rsid w:val="005B02F2"/>
    <w:rsid w:val="005B0603"/>
    <w:rsid w:val="005B0668"/>
    <w:rsid w:val="005B0ADB"/>
    <w:rsid w:val="005B0BAF"/>
    <w:rsid w:val="005B0C16"/>
    <w:rsid w:val="005B0C36"/>
    <w:rsid w:val="005B0D61"/>
    <w:rsid w:val="005B0D97"/>
    <w:rsid w:val="005B1039"/>
    <w:rsid w:val="005B14FF"/>
    <w:rsid w:val="005B1B16"/>
    <w:rsid w:val="005B1B30"/>
    <w:rsid w:val="005B1BA5"/>
    <w:rsid w:val="005B1F52"/>
    <w:rsid w:val="005B1FD1"/>
    <w:rsid w:val="005B1FD5"/>
    <w:rsid w:val="005B207C"/>
    <w:rsid w:val="005B2105"/>
    <w:rsid w:val="005B2390"/>
    <w:rsid w:val="005B2627"/>
    <w:rsid w:val="005B2885"/>
    <w:rsid w:val="005B28AA"/>
    <w:rsid w:val="005B2975"/>
    <w:rsid w:val="005B2A77"/>
    <w:rsid w:val="005B2AA4"/>
    <w:rsid w:val="005B2B0B"/>
    <w:rsid w:val="005B2DBE"/>
    <w:rsid w:val="005B30C1"/>
    <w:rsid w:val="005B3302"/>
    <w:rsid w:val="005B33A7"/>
    <w:rsid w:val="005B33D0"/>
    <w:rsid w:val="005B355D"/>
    <w:rsid w:val="005B38F3"/>
    <w:rsid w:val="005B3927"/>
    <w:rsid w:val="005B3F36"/>
    <w:rsid w:val="005B3FF4"/>
    <w:rsid w:val="005B41B0"/>
    <w:rsid w:val="005B4246"/>
    <w:rsid w:val="005B42A3"/>
    <w:rsid w:val="005B434C"/>
    <w:rsid w:val="005B467B"/>
    <w:rsid w:val="005B4699"/>
    <w:rsid w:val="005B4756"/>
    <w:rsid w:val="005B4853"/>
    <w:rsid w:val="005B48CD"/>
    <w:rsid w:val="005B4B40"/>
    <w:rsid w:val="005B4F38"/>
    <w:rsid w:val="005B50FF"/>
    <w:rsid w:val="005B512E"/>
    <w:rsid w:val="005B53B4"/>
    <w:rsid w:val="005B5578"/>
    <w:rsid w:val="005B55E3"/>
    <w:rsid w:val="005B5617"/>
    <w:rsid w:val="005B56DE"/>
    <w:rsid w:val="005B56FF"/>
    <w:rsid w:val="005B5793"/>
    <w:rsid w:val="005B5970"/>
    <w:rsid w:val="005B5D62"/>
    <w:rsid w:val="005B5E3F"/>
    <w:rsid w:val="005B5EFD"/>
    <w:rsid w:val="005B5F4D"/>
    <w:rsid w:val="005B60B5"/>
    <w:rsid w:val="005B633D"/>
    <w:rsid w:val="005B63DA"/>
    <w:rsid w:val="005B64DF"/>
    <w:rsid w:val="005B6837"/>
    <w:rsid w:val="005B6B44"/>
    <w:rsid w:val="005B6D42"/>
    <w:rsid w:val="005B7018"/>
    <w:rsid w:val="005B720A"/>
    <w:rsid w:val="005B729D"/>
    <w:rsid w:val="005B73ED"/>
    <w:rsid w:val="005B7488"/>
    <w:rsid w:val="005B7582"/>
    <w:rsid w:val="005B77FD"/>
    <w:rsid w:val="005B7856"/>
    <w:rsid w:val="005B7943"/>
    <w:rsid w:val="005B7A39"/>
    <w:rsid w:val="005B7A73"/>
    <w:rsid w:val="005B7E0E"/>
    <w:rsid w:val="005B7EE0"/>
    <w:rsid w:val="005B7F55"/>
    <w:rsid w:val="005C00F8"/>
    <w:rsid w:val="005C024B"/>
    <w:rsid w:val="005C0251"/>
    <w:rsid w:val="005C0333"/>
    <w:rsid w:val="005C050A"/>
    <w:rsid w:val="005C0640"/>
    <w:rsid w:val="005C06BB"/>
    <w:rsid w:val="005C084A"/>
    <w:rsid w:val="005C08BA"/>
    <w:rsid w:val="005C0A4E"/>
    <w:rsid w:val="005C0A6F"/>
    <w:rsid w:val="005C0B65"/>
    <w:rsid w:val="005C0B82"/>
    <w:rsid w:val="005C0BA6"/>
    <w:rsid w:val="005C0F8D"/>
    <w:rsid w:val="005C0FDE"/>
    <w:rsid w:val="005C1082"/>
    <w:rsid w:val="005C1402"/>
    <w:rsid w:val="005C143C"/>
    <w:rsid w:val="005C145E"/>
    <w:rsid w:val="005C1489"/>
    <w:rsid w:val="005C1562"/>
    <w:rsid w:val="005C15E7"/>
    <w:rsid w:val="005C17CC"/>
    <w:rsid w:val="005C1859"/>
    <w:rsid w:val="005C196E"/>
    <w:rsid w:val="005C1ABC"/>
    <w:rsid w:val="005C1E57"/>
    <w:rsid w:val="005C240E"/>
    <w:rsid w:val="005C2433"/>
    <w:rsid w:val="005C248D"/>
    <w:rsid w:val="005C2552"/>
    <w:rsid w:val="005C25B0"/>
    <w:rsid w:val="005C26A6"/>
    <w:rsid w:val="005C27F6"/>
    <w:rsid w:val="005C27FB"/>
    <w:rsid w:val="005C2BE8"/>
    <w:rsid w:val="005C2EC7"/>
    <w:rsid w:val="005C3173"/>
    <w:rsid w:val="005C3220"/>
    <w:rsid w:val="005C356F"/>
    <w:rsid w:val="005C3757"/>
    <w:rsid w:val="005C37F2"/>
    <w:rsid w:val="005C39A5"/>
    <w:rsid w:val="005C3D90"/>
    <w:rsid w:val="005C3F28"/>
    <w:rsid w:val="005C42DB"/>
    <w:rsid w:val="005C4341"/>
    <w:rsid w:val="005C44F2"/>
    <w:rsid w:val="005C4570"/>
    <w:rsid w:val="005C463A"/>
    <w:rsid w:val="005C46D4"/>
    <w:rsid w:val="005C4865"/>
    <w:rsid w:val="005C4967"/>
    <w:rsid w:val="005C4C9A"/>
    <w:rsid w:val="005C4E32"/>
    <w:rsid w:val="005C4EFA"/>
    <w:rsid w:val="005C4F70"/>
    <w:rsid w:val="005C523F"/>
    <w:rsid w:val="005C532B"/>
    <w:rsid w:val="005C53E6"/>
    <w:rsid w:val="005C5535"/>
    <w:rsid w:val="005C5AF5"/>
    <w:rsid w:val="005C5B50"/>
    <w:rsid w:val="005C5CE2"/>
    <w:rsid w:val="005C5DF8"/>
    <w:rsid w:val="005C5E25"/>
    <w:rsid w:val="005C62BB"/>
    <w:rsid w:val="005C6467"/>
    <w:rsid w:val="005C647E"/>
    <w:rsid w:val="005C649D"/>
    <w:rsid w:val="005C6529"/>
    <w:rsid w:val="005C6579"/>
    <w:rsid w:val="005C673B"/>
    <w:rsid w:val="005C69C8"/>
    <w:rsid w:val="005C6A1D"/>
    <w:rsid w:val="005C6BB6"/>
    <w:rsid w:val="005C6D36"/>
    <w:rsid w:val="005C6DA2"/>
    <w:rsid w:val="005C6DE1"/>
    <w:rsid w:val="005C6E36"/>
    <w:rsid w:val="005C6E5B"/>
    <w:rsid w:val="005C6F49"/>
    <w:rsid w:val="005C6F8E"/>
    <w:rsid w:val="005C70E0"/>
    <w:rsid w:val="005C715C"/>
    <w:rsid w:val="005C72FC"/>
    <w:rsid w:val="005C75B1"/>
    <w:rsid w:val="005C78A8"/>
    <w:rsid w:val="005C78B1"/>
    <w:rsid w:val="005C7960"/>
    <w:rsid w:val="005C7B34"/>
    <w:rsid w:val="005C7BA7"/>
    <w:rsid w:val="005C7BF1"/>
    <w:rsid w:val="005C7DAC"/>
    <w:rsid w:val="005C7E3F"/>
    <w:rsid w:val="005C7EEE"/>
    <w:rsid w:val="005C7F12"/>
    <w:rsid w:val="005C7F6E"/>
    <w:rsid w:val="005D020A"/>
    <w:rsid w:val="005D0562"/>
    <w:rsid w:val="005D05F4"/>
    <w:rsid w:val="005D0799"/>
    <w:rsid w:val="005D07B8"/>
    <w:rsid w:val="005D08FE"/>
    <w:rsid w:val="005D0916"/>
    <w:rsid w:val="005D0D59"/>
    <w:rsid w:val="005D0F3E"/>
    <w:rsid w:val="005D119E"/>
    <w:rsid w:val="005D166B"/>
    <w:rsid w:val="005D16DE"/>
    <w:rsid w:val="005D171E"/>
    <w:rsid w:val="005D178C"/>
    <w:rsid w:val="005D1828"/>
    <w:rsid w:val="005D1854"/>
    <w:rsid w:val="005D1861"/>
    <w:rsid w:val="005D1E4B"/>
    <w:rsid w:val="005D231A"/>
    <w:rsid w:val="005D279B"/>
    <w:rsid w:val="005D28E6"/>
    <w:rsid w:val="005D2907"/>
    <w:rsid w:val="005D2A25"/>
    <w:rsid w:val="005D2A99"/>
    <w:rsid w:val="005D2BBE"/>
    <w:rsid w:val="005D2BCC"/>
    <w:rsid w:val="005D2DA3"/>
    <w:rsid w:val="005D2F90"/>
    <w:rsid w:val="005D31F6"/>
    <w:rsid w:val="005D32B9"/>
    <w:rsid w:val="005D33BC"/>
    <w:rsid w:val="005D345A"/>
    <w:rsid w:val="005D38E3"/>
    <w:rsid w:val="005D39AF"/>
    <w:rsid w:val="005D3A87"/>
    <w:rsid w:val="005D3B0E"/>
    <w:rsid w:val="005D3C5D"/>
    <w:rsid w:val="005D3E04"/>
    <w:rsid w:val="005D3E17"/>
    <w:rsid w:val="005D3F9B"/>
    <w:rsid w:val="005D3FCD"/>
    <w:rsid w:val="005D403F"/>
    <w:rsid w:val="005D4177"/>
    <w:rsid w:val="005D4327"/>
    <w:rsid w:val="005D4658"/>
    <w:rsid w:val="005D46D3"/>
    <w:rsid w:val="005D476C"/>
    <w:rsid w:val="005D4882"/>
    <w:rsid w:val="005D48B8"/>
    <w:rsid w:val="005D4999"/>
    <w:rsid w:val="005D4A11"/>
    <w:rsid w:val="005D4A5E"/>
    <w:rsid w:val="005D4EC8"/>
    <w:rsid w:val="005D5110"/>
    <w:rsid w:val="005D536C"/>
    <w:rsid w:val="005D537E"/>
    <w:rsid w:val="005D5380"/>
    <w:rsid w:val="005D5585"/>
    <w:rsid w:val="005D56B0"/>
    <w:rsid w:val="005D5907"/>
    <w:rsid w:val="005D591B"/>
    <w:rsid w:val="005D5976"/>
    <w:rsid w:val="005D597A"/>
    <w:rsid w:val="005D5A9B"/>
    <w:rsid w:val="005D5C8D"/>
    <w:rsid w:val="005D5EE9"/>
    <w:rsid w:val="005D5FEE"/>
    <w:rsid w:val="005D6135"/>
    <w:rsid w:val="005D6163"/>
    <w:rsid w:val="005D6200"/>
    <w:rsid w:val="005D63B5"/>
    <w:rsid w:val="005D67D1"/>
    <w:rsid w:val="005D68DA"/>
    <w:rsid w:val="005D692D"/>
    <w:rsid w:val="005D6A8F"/>
    <w:rsid w:val="005D6AC4"/>
    <w:rsid w:val="005D6AE1"/>
    <w:rsid w:val="005D6B6B"/>
    <w:rsid w:val="005D6C52"/>
    <w:rsid w:val="005D719B"/>
    <w:rsid w:val="005D7232"/>
    <w:rsid w:val="005D7533"/>
    <w:rsid w:val="005D75F2"/>
    <w:rsid w:val="005D76D3"/>
    <w:rsid w:val="005D789A"/>
    <w:rsid w:val="005D7913"/>
    <w:rsid w:val="005D7C5B"/>
    <w:rsid w:val="005D7E42"/>
    <w:rsid w:val="005D7FFC"/>
    <w:rsid w:val="005E024A"/>
    <w:rsid w:val="005E0341"/>
    <w:rsid w:val="005E057F"/>
    <w:rsid w:val="005E076C"/>
    <w:rsid w:val="005E083C"/>
    <w:rsid w:val="005E090C"/>
    <w:rsid w:val="005E096A"/>
    <w:rsid w:val="005E0C4E"/>
    <w:rsid w:val="005E0E08"/>
    <w:rsid w:val="005E0E26"/>
    <w:rsid w:val="005E10A3"/>
    <w:rsid w:val="005E129D"/>
    <w:rsid w:val="005E1377"/>
    <w:rsid w:val="005E137C"/>
    <w:rsid w:val="005E1396"/>
    <w:rsid w:val="005E1490"/>
    <w:rsid w:val="005E1502"/>
    <w:rsid w:val="005E1798"/>
    <w:rsid w:val="005E1B71"/>
    <w:rsid w:val="005E1BDC"/>
    <w:rsid w:val="005E1CCB"/>
    <w:rsid w:val="005E1E17"/>
    <w:rsid w:val="005E1F19"/>
    <w:rsid w:val="005E2094"/>
    <w:rsid w:val="005E215D"/>
    <w:rsid w:val="005E242A"/>
    <w:rsid w:val="005E2452"/>
    <w:rsid w:val="005E254A"/>
    <w:rsid w:val="005E27A7"/>
    <w:rsid w:val="005E27DF"/>
    <w:rsid w:val="005E2939"/>
    <w:rsid w:val="005E2967"/>
    <w:rsid w:val="005E2A7B"/>
    <w:rsid w:val="005E2CBC"/>
    <w:rsid w:val="005E2DEB"/>
    <w:rsid w:val="005E2F49"/>
    <w:rsid w:val="005E2FEE"/>
    <w:rsid w:val="005E318A"/>
    <w:rsid w:val="005E3308"/>
    <w:rsid w:val="005E348B"/>
    <w:rsid w:val="005E378A"/>
    <w:rsid w:val="005E37D3"/>
    <w:rsid w:val="005E3A21"/>
    <w:rsid w:val="005E3B70"/>
    <w:rsid w:val="005E3DB6"/>
    <w:rsid w:val="005E3E94"/>
    <w:rsid w:val="005E3EEC"/>
    <w:rsid w:val="005E3F85"/>
    <w:rsid w:val="005E4064"/>
    <w:rsid w:val="005E40C7"/>
    <w:rsid w:val="005E4170"/>
    <w:rsid w:val="005E4396"/>
    <w:rsid w:val="005E4452"/>
    <w:rsid w:val="005E446F"/>
    <w:rsid w:val="005E44C3"/>
    <w:rsid w:val="005E4533"/>
    <w:rsid w:val="005E45DF"/>
    <w:rsid w:val="005E46AE"/>
    <w:rsid w:val="005E4765"/>
    <w:rsid w:val="005E4901"/>
    <w:rsid w:val="005E4A4A"/>
    <w:rsid w:val="005E4A55"/>
    <w:rsid w:val="005E4A61"/>
    <w:rsid w:val="005E4DC7"/>
    <w:rsid w:val="005E4E7A"/>
    <w:rsid w:val="005E4EA7"/>
    <w:rsid w:val="005E4FAB"/>
    <w:rsid w:val="005E4FF5"/>
    <w:rsid w:val="005E511D"/>
    <w:rsid w:val="005E512D"/>
    <w:rsid w:val="005E5192"/>
    <w:rsid w:val="005E52AE"/>
    <w:rsid w:val="005E52E2"/>
    <w:rsid w:val="005E53BC"/>
    <w:rsid w:val="005E56C9"/>
    <w:rsid w:val="005E57D5"/>
    <w:rsid w:val="005E58FA"/>
    <w:rsid w:val="005E592E"/>
    <w:rsid w:val="005E59CC"/>
    <w:rsid w:val="005E5A30"/>
    <w:rsid w:val="005E5A76"/>
    <w:rsid w:val="005E5A7D"/>
    <w:rsid w:val="005E5A88"/>
    <w:rsid w:val="005E5B73"/>
    <w:rsid w:val="005E645F"/>
    <w:rsid w:val="005E661A"/>
    <w:rsid w:val="005E686B"/>
    <w:rsid w:val="005E6B52"/>
    <w:rsid w:val="005E6BEC"/>
    <w:rsid w:val="005E6BF1"/>
    <w:rsid w:val="005E725B"/>
    <w:rsid w:val="005E72C8"/>
    <w:rsid w:val="005E7E90"/>
    <w:rsid w:val="005F0206"/>
    <w:rsid w:val="005F0262"/>
    <w:rsid w:val="005F0350"/>
    <w:rsid w:val="005F0453"/>
    <w:rsid w:val="005F05FA"/>
    <w:rsid w:val="005F0777"/>
    <w:rsid w:val="005F07B7"/>
    <w:rsid w:val="005F07DA"/>
    <w:rsid w:val="005F0A2E"/>
    <w:rsid w:val="005F0CE6"/>
    <w:rsid w:val="005F1542"/>
    <w:rsid w:val="005F1585"/>
    <w:rsid w:val="005F15DB"/>
    <w:rsid w:val="005F15DC"/>
    <w:rsid w:val="005F1772"/>
    <w:rsid w:val="005F17C5"/>
    <w:rsid w:val="005F1806"/>
    <w:rsid w:val="005F181C"/>
    <w:rsid w:val="005F1935"/>
    <w:rsid w:val="005F1B95"/>
    <w:rsid w:val="005F1C63"/>
    <w:rsid w:val="005F1D24"/>
    <w:rsid w:val="005F1E45"/>
    <w:rsid w:val="005F1EF8"/>
    <w:rsid w:val="005F1F4D"/>
    <w:rsid w:val="005F2613"/>
    <w:rsid w:val="005F2890"/>
    <w:rsid w:val="005F29FE"/>
    <w:rsid w:val="005F2A51"/>
    <w:rsid w:val="005F2AE5"/>
    <w:rsid w:val="005F2BC5"/>
    <w:rsid w:val="005F2BFA"/>
    <w:rsid w:val="005F2CE7"/>
    <w:rsid w:val="005F2E5D"/>
    <w:rsid w:val="005F2E70"/>
    <w:rsid w:val="005F2F54"/>
    <w:rsid w:val="005F3033"/>
    <w:rsid w:val="005F342F"/>
    <w:rsid w:val="005F34AC"/>
    <w:rsid w:val="005F35DD"/>
    <w:rsid w:val="005F36EE"/>
    <w:rsid w:val="005F384C"/>
    <w:rsid w:val="005F3907"/>
    <w:rsid w:val="005F3A28"/>
    <w:rsid w:val="005F3B37"/>
    <w:rsid w:val="005F3B6D"/>
    <w:rsid w:val="005F3FC1"/>
    <w:rsid w:val="005F4077"/>
    <w:rsid w:val="005F40AD"/>
    <w:rsid w:val="005F41C6"/>
    <w:rsid w:val="005F4201"/>
    <w:rsid w:val="005F452A"/>
    <w:rsid w:val="005F4585"/>
    <w:rsid w:val="005F4853"/>
    <w:rsid w:val="005F4865"/>
    <w:rsid w:val="005F49CA"/>
    <w:rsid w:val="005F4C76"/>
    <w:rsid w:val="005F4CF4"/>
    <w:rsid w:val="005F4F2E"/>
    <w:rsid w:val="005F4F31"/>
    <w:rsid w:val="005F4FD4"/>
    <w:rsid w:val="005F5383"/>
    <w:rsid w:val="005F591E"/>
    <w:rsid w:val="005F5983"/>
    <w:rsid w:val="005F5A2E"/>
    <w:rsid w:val="005F5A5D"/>
    <w:rsid w:val="005F5AE2"/>
    <w:rsid w:val="005F5C6D"/>
    <w:rsid w:val="005F5FDF"/>
    <w:rsid w:val="005F5FF5"/>
    <w:rsid w:val="005F60AE"/>
    <w:rsid w:val="005F60DF"/>
    <w:rsid w:val="005F60E8"/>
    <w:rsid w:val="005F639B"/>
    <w:rsid w:val="005F6617"/>
    <w:rsid w:val="005F6658"/>
    <w:rsid w:val="005F6743"/>
    <w:rsid w:val="005F68AF"/>
    <w:rsid w:val="005F68F9"/>
    <w:rsid w:val="005F6919"/>
    <w:rsid w:val="005F6BBC"/>
    <w:rsid w:val="005F6CB8"/>
    <w:rsid w:val="005F6FC3"/>
    <w:rsid w:val="005F7419"/>
    <w:rsid w:val="005F7425"/>
    <w:rsid w:val="005F78F3"/>
    <w:rsid w:val="005F78FA"/>
    <w:rsid w:val="005F7D85"/>
    <w:rsid w:val="0060000F"/>
    <w:rsid w:val="006003E0"/>
    <w:rsid w:val="006003F6"/>
    <w:rsid w:val="0060043E"/>
    <w:rsid w:val="006005FA"/>
    <w:rsid w:val="00600A34"/>
    <w:rsid w:val="00600DA0"/>
    <w:rsid w:val="00600EA9"/>
    <w:rsid w:val="006010BE"/>
    <w:rsid w:val="006011E0"/>
    <w:rsid w:val="00601292"/>
    <w:rsid w:val="006012E2"/>
    <w:rsid w:val="00601469"/>
    <w:rsid w:val="006016EF"/>
    <w:rsid w:val="006016FC"/>
    <w:rsid w:val="00601A3D"/>
    <w:rsid w:val="00601B32"/>
    <w:rsid w:val="00601BA0"/>
    <w:rsid w:val="00601D4D"/>
    <w:rsid w:val="00601D7F"/>
    <w:rsid w:val="00601F3F"/>
    <w:rsid w:val="0060215A"/>
    <w:rsid w:val="006022D0"/>
    <w:rsid w:val="00602481"/>
    <w:rsid w:val="006025D1"/>
    <w:rsid w:val="006025EA"/>
    <w:rsid w:val="006025FD"/>
    <w:rsid w:val="00602802"/>
    <w:rsid w:val="0060288D"/>
    <w:rsid w:val="00602900"/>
    <w:rsid w:val="00602BD6"/>
    <w:rsid w:val="00602FB0"/>
    <w:rsid w:val="006031DE"/>
    <w:rsid w:val="00603344"/>
    <w:rsid w:val="0060336F"/>
    <w:rsid w:val="006034F7"/>
    <w:rsid w:val="0060351D"/>
    <w:rsid w:val="006036E7"/>
    <w:rsid w:val="006037C1"/>
    <w:rsid w:val="006038D6"/>
    <w:rsid w:val="00603B0F"/>
    <w:rsid w:val="00603CB9"/>
    <w:rsid w:val="00603D66"/>
    <w:rsid w:val="00603DA8"/>
    <w:rsid w:val="00603E12"/>
    <w:rsid w:val="006041B9"/>
    <w:rsid w:val="006043D6"/>
    <w:rsid w:val="00604457"/>
    <w:rsid w:val="006044CA"/>
    <w:rsid w:val="006048C4"/>
    <w:rsid w:val="00604906"/>
    <w:rsid w:val="00604AC1"/>
    <w:rsid w:val="00604B19"/>
    <w:rsid w:val="00604D2B"/>
    <w:rsid w:val="00604D71"/>
    <w:rsid w:val="00604DE3"/>
    <w:rsid w:val="00604E50"/>
    <w:rsid w:val="00604EE2"/>
    <w:rsid w:val="00604F62"/>
    <w:rsid w:val="00604F76"/>
    <w:rsid w:val="00604FC4"/>
    <w:rsid w:val="00604FD2"/>
    <w:rsid w:val="00605508"/>
    <w:rsid w:val="00605619"/>
    <w:rsid w:val="006056CE"/>
    <w:rsid w:val="006057B5"/>
    <w:rsid w:val="00605843"/>
    <w:rsid w:val="00605A79"/>
    <w:rsid w:val="00605BC7"/>
    <w:rsid w:val="00605BF6"/>
    <w:rsid w:val="00605C36"/>
    <w:rsid w:val="00606105"/>
    <w:rsid w:val="00606431"/>
    <w:rsid w:val="0060652F"/>
    <w:rsid w:val="00606765"/>
    <w:rsid w:val="00606815"/>
    <w:rsid w:val="006069C1"/>
    <w:rsid w:val="00606AB9"/>
    <w:rsid w:val="00606BE2"/>
    <w:rsid w:val="00606C13"/>
    <w:rsid w:val="00606CD7"/>
    <w:rsid w:val="00606CDE"/>
    <w:rsid w:val="00606E4E"/>
    <w:rsid w:val="00607111"/>
    <w:rsid w:val="006073C9"/>
    <w:rsid w:val="006074BE"/>
    <w:rsid w:val="00607558"/>
    <w:rsid w:val="006076A7"/>
    <w:rsid w:val="0060785D"/>
    <w:rsid w:val="006078E5"/>
    <w:rsid w:val="0060791E"/>
    <w:rsid w:val="00607927"/>
    <w:rsid w:val="0060796B"/>
    <w:rsid w:val="00607A81"/>
    <w:rsid w:val="00607BA5"/>
    <w:rsid w:val="00607E46"/>
    <w:rsid w:val="0061009C"/>
    <w:rsid w:val="006101EE"/>
    <w:rsid w:val="00610357"/>
    <w:rsid w:val="00610BE1"/>
    <w:rsid w:val="00611100"/>
    <w:rsid w:val="00611214"/>
    <w:rsid w:val="0061127B"/>
    <w:rsid w:val="006114D5"/>
    <w:rsid w:val="00611553"/>
    <w:rsid w:val="006116EE"/>
    <w:rsid w:val="00611939"/>
    <w:rsid w:val="00611AD5"/>
    <w:rsid w:val="00611BF5"/>
    <w:rsid w:val="00611DC5"/>
    <w:rsid w:val="00611E2C"/>
    <w:rsid w:val="00611E6D"/>
    <w:rsid w:val="00611E8C"/>
    <w:rsid w:val="00611F7F"/>
    <w:rsid w:val="0061205C"/>
    <w:rsid w:val="00612197"/>
    <w:rsid w:val="006122B1"/>
    <w:rsid w:val="00612388"/>
    <w:rsid w:val="00612493"/>
    <w:rsid w:val="006124D4"/>
    <w:rsid w:val="00612797"/>
    <w:rsid w:val="006127B7"/>
    <w:rsid w:val="006129F2"/>
    <w:rsid w:val="00612EB7"/>
    <w:rsid w:val="00613052"/>
    <w:rsid w:val="006130EE"/>
    <w:rsid w:val="006131EA"/>
    <w:rsid w:val="006131EC"/>
    <w:rsid w:val="006133B3"/>
    <w:rsid w:val="006134E6"/>
    <w:rsid w:val="00613775"/>
    <w:rsid w:val="00613A65"/>
    <w:rsid w:val="00613CBC"/>
    <w:rsid w:val="00614043"/>
    <w:rsid w:val="006140B4"/>
    <w:rsid w:val="00614217"/>
    <w:rsid w:val="006142A0"/>
    <w:rsid w:val="006142C4"/>
    <w:rsid w:val="00614410"/>
    <w:rsid w:val="0061453A"/>
    <w:rsid w:val="00614676"/>
    <w:rsid w:val="00614729"/>
    <w:rsid w:val="00614822"/>
    <w:rsid w:val="00614894"/>
    <w:rsid w:val="00614944"/>
    <w:rsid w:val="00614F5E"/>
    <w:rsid w:val="00615051"/>
    <w:rsid w:val="006151B9"/>
    <w:rsid w:val="0061538C"/>
    <w:rsid w:val="00615652"/>
    <w:rsid w:val="0061571E"/>
    <w:rsid w:val="00615A8F"/>
    <w:rsid w:val="00615D94"/>
    <w:rsid w:val="00616159"/>
    <w:rsid w:val="0061665C"/>
    <w:rsid w:val="006166EB"/>
    <w:rsid w:val="00616984"/>
    <w:rsid w:val="00616A0E"/>
    <w:rsid w:val="00616BA3"/>
    <w:rsid w:val="00616D97"/>
    <w:rsid w:val="00616E2E"/>
    <w:rsid w:val="00616E54"/>
    <w:rsid w:val="00616FC9"/>
    <w:rsid w:val="00617513"/>
    <w:rsid w:val="0061794A"/>
    <w:rsid w:val="00617B94"/>
    <w:rsid w:val="00617BD0"/>
    <w:rsid w:val="00617E13"/>
    <w:rsid w:val="00617F82"/>
    <w:rsid w:val="006203F7"/>
    <w:rsid w:val="00620596"/>
    <w:rsid w:val="00620821"/>
    <w:rsid w:val="00620B17"/>
    <w:rsid w:val="00620E96"/>
    <w:rsid w:val="00620FAC"/>
    <w:rsid w:val="00621095"/>
    <w:rsid w:val="00621131"/>
    <w:rsid w:val="00621528"/>
    <w:rsid w:val="006216A9"/>
    <w:rsid w:val="006216DC"/>
    <w:rsid w:val="006217FE"/>
    <w:rsid w:val="0062185C"/>
    <w:rsid w:val="0062189E"/>
    <w:rsid w:val="00621A49"/>
    <w:rsid w:val="00621A5A"/>
    <w:rsid w:val="00621E17"/>
    <w:rsid w:val="00621F7D"/>
    <w:rsid w:val="00622015"/>
    <w:rsid w:val="006221D0"/>
    <w:rsid w:val="006226C3"/>
    <w:rsid w:val="0062294D"/>
    <w:rsid w:val="006229E9"/>
    <w:rsid w:val="00622CC8"/>
    <w:rsid w:val="00622CEB"/>
    <w:rsid w:val="00622E1D"/>
    <w:rsid w:val="00622E97"/>
    <w:rsid w:val="00622EC6"/>
    <w:rsid w:val="0062303C"/>
    <w:rsid w:val="00623536"/>
    <w:rsid w:val="006238B8"/>
    <w:rsid w:val="00623B61"/>
    <w:rsid w:val="00623C0F"/>
    <w:rsid w:val="00623ECC"/>
    <w:rsid w:val="0062402E"/>
    <w:rsid w:val="00624181"/>
    <w:rsid w:val="00624580"/>
    <w:rsid w:val="006245E8"/>
    <w:rsid w:val="00624BBC"/>
    <w:rsid w:val="00624CAD"/>
    <w:rsid w:val="00624CE3"/>
    <w:rsid w:val="00624FF4"/>
    <w:rsid w:val="0062517A"/>
    <w:rsid w:val="00625407"/>
    <w:rsid w:val="006255FE"/>
    <w:rsid w:val="006256B8"/>
    <w:rsid w:val="00625797"/>
    <w:rsid w:val="006259DE"/>
    <w:rsid w:val="00625A78"/>
    <w:rsid w:val="00625AF5"/>
    <w:rsid w:val="00625B60"/>
    <w:rsid w:val="00625B89"/>
    <w:rsid w:val="00625BD7"/>
    <w:rsid w:val="00625C46"/>
    <w:rsid w:val="00625C66"/>
    <w:rsid w:val="00625E7B"/>
    <w:rsid w:val="00625EA7"/>
    <w:rsid w:val="0062609C"/>
    <w:rsid w:val="006261EF"/>
    <w:rsid w:val="00626468"/>
    <w:rsid w:val="00626677"/>
    <w:rsid w:val="00626736"/>
    <w:rsid w:val="0062686B"/>
    <w:rsid w:val="00626C4F"/>
    <w:rsid w:val="00626CAC"/>
    <w:rsid w:val="00626D6A"/>
    <w:rsid w:val="0062710B"/>
    <w:rsid w:val="00627470"/>
    <w:rsid w:val="0062776B"/>
    <w:rsid w:val="006277C1"/>
    <w:rsid w:val="00627862"/>
    <w:rsid w:val="00627942"/>
    <w:rsid w:val="00627A1A"/>
    <w:rsid w:val="00627ADD"/>
    <w:rsid w:val="00627BF9"/>
    <w:rsid w:val="00627D09"/>
    <w:rsid w:val="00627E69"/>
    <w:rsid w:val="00630179"/>
    <w:rsid w:val="006303D8"/>
    <w:rsid w:val="006305E7"/>
    <w:rsid w:val="006305F7"/>
    <w:rsid w:val="00630883"/>
    <w:rsid w:val="00630895"/>
    <w:rsid w:val="006308A2"/>
    <w:rsid w:val="006309A7"/>
    <w:rsid w:val="006309F0"/>
    <w:rsid w:val="00630C40"/>
    <w:rsid w:val="00630C5B"/>
    <w:rsid w:val="00631167"/>
    <w:rsid w:val="00631276"/>
    <w:rsid w:val="006312AA"/>
    <w:rsid w:val="006315BC"/>
    <w:rsid w:val="006317BB"/>
    <w:rsid w:val="0063180A"/>
    <w:rsid w:val="0063198C"/>
    <w:rsid w:val="00631BF1"/>
    <w:rsid w:val="00631D06"/>
    <w:rsid w:val="00631D69"/>
    <w:rsid w:val="00631E62"/>
    <w:rsid w:val="00631FA8"/>
    <w:rsid w:val="00632077"/>
    <w:rsid w:val="006321BD"/>
    <w:rsid w:val="006322C4"/>
    <w:rsid w:val="006323E2"/>
    <w:rsid w:val="00632D8C"/>
    <w:rsid w:val="00632DB6"/>
    <w:rsid w:val="00632F13"/>
    <w:rsid w:val="00632FF7"/>
    <w:rsid w:val="006331C1"/>
    <w:rsid w:val="0063335F"/>
    <w:rsid w:val="006335AB"/>
    <w:rsid w:val="006335BA"/>
    <w:rsid w:val="00633613"/>
    <w:rsid w:val="006336A7"/>
    <w:rsid w:val="006339E8"/>
    <w:rsid w:val="00633C12"/>
    <w:rsid w:val="00634036"/>
    <w:rsid w:val="006343FE"/>
    <w:rsid w:val="00634777"/>
    <w:rsid w:val="00634837"/>
    <w:rsid w:val="00634D41"/>
    <w:rsid w:val="00635168"/>
    <w:rsid w:val="00635172"/>
    <w:rsid w:val="00635222"/>
    <w:rsid w:val="0063533A"/>
    <w:rsid w:val="006353F9"/>
    <w:rsid w:val="0063591B"/>
    <w:rsid w:val="00635AA7"/>
    <w:rsid w:val="00635B5D"/>
    <w:rsid w:val="00635F20"/>
    <w:rsid w:val="00635FEE"/>
    <w:rsid w:val="00636104"/>
    <w:rsid w:val="00636A1C"/>
    <w:rsid w:val="00636B45"/>
    <w:rsid w:val="00636B90"/>
    <w:rsid w:val="00636DDA"/>
    <w:rsid w:val="00636E94"/>
    <w:rsid w:val="00637408"/>
    <w:rsid w:val="006377B7"/>
    <w:rsid w:val="00637870"/>
    <w:rsid w:val="00637A79"/>
    <w:rsid w:val="00637BF4"/>
    <w:rsid w:val="00637DA5"/>
    <w:rsid w:val="00637FD4"/>
    <w:rsid w:val="00640163"/>
    <w:rsid w:val="00640490"/>
    <w:rsid w:val="00640847"/>
    <w:rsid w:val="006409E1"/>
    <w:rsid w:val="00640B02"/>
    <w:rsid w:val="00640C35"/>
    <w:rsid w:val="00640E61"/>
    <w:rsid w:val="006410AF"/>
    <w:rsid w:val="00641208"/>
    <w:rsid w:val="00641228"/>
    <w:rsid w:val="0064124D"/>
    <w:rsid w:val="00641667"/>
    <w:rsid w:val="006416F2"/>
    <w:rsid w:val="00641780"/>
    <w:rsid w:val="006417DB"/>
    <w:rsid w:val="0064196F"/>
    <w:rsid w:val="006419D9"/>
    <w:rsid w:val="00641A1A"/>
    <w:rsid w:val="00641C59"/>
    <w:rsid w:val="00641EF7"/>
    <w:rsid w:val="00642098"/>
    <w:rsid w:val="0064233F"/>
    <w:rsid w:val="0064269D"/>
    <w:rsid w:val="006427B8"/>
    <w:rsid w:val="0064285C"/>
    <w:rsid w:val="00642906"/>
    <w:rsid w:val="00642CA2"/>
    <w:rsid w:val="00642E0A"/>
    <w:rsid w:val="00642E66"/>
    <w:rsid w:val="00642F21"/>
    <w:rsid w:val="00642F31"/>
    <w:rsid w:val="00643277"/>
    <w:rsid w:val="006432F2"/>
    <w:rsid w:val="00643343"/>
    <w:rsid w:val="00643451"/>
    <w:rsid w:val="00643795"/>
    <w:rsid w:val="00643A6B"/>
    <w:rsid w:val="00643AC0"/>
    <w:rsid w:val="00643B62"/>
    <w:rsid w:val="00643BB9"/>
    <w:rsid w:val="00643C10"/>
    <w:rsid w:val="00643E04"/>
    <w:rsid w:val="00644562"/>
    <w:rsid w:val="006446D5"/>
    <w:rsid w:val="0064479D"/>
    <w:rsid w:val="00644A4B"/>
    <w:rsid w:val="00644B46"/>
    <w:rsid w:val="00644FB1"/>
    <w:rsid w:val="0064514D"/>
    <w:rsid w:val="00645231"/>
    <w:rsid w:val="00645467"/>
    <w:rsid w:val="00645642"/>
    <w:rsid w:val="006456E7"/>
    <w:rsid w:val="00645C10"/>
    <w:rsid w:val="0064604A"/>
    <w:rsid w:val="00646836"/>
    <w:rsid w:val="006468D4"/>
    <w:rsid w:val="00646BAC"/>
    <w:rsid w:val="00646C73"/>
    <w:rsid w:val="00646DF7"/>
    <w:rsid w:val="006472B0"/>
    <w:rsid w:val="00647378"/>
    <w:rsid w:val="006477B3"/>
    <w:rsid w:val="0064780F"/>
    <w:rsid w:val="0064788F"/>
    <w:rsid w:val="00647923"/>
    <w:rsid w:val="006479D9"/>
    <w:rsid w:val="00647BA3"/>
    <w:rsid w:val="00647D96"/>
    <w:rsid w:val="00647F2E"/>
    <w:rsid w:val="0065015D"/>
    <w:rsid w:val="006501E1"/>
    <w:rsid w:val="00650268"/>
    <w:rsid w:val="006503AE"/>
    <w:rsid w:val="0065051E"/>
    <w:rsid w:val="00650694"/>
    <w:rsid w:val="00650736"/>
    <w:rsid w:val="0065089D"/>
    <w:rsid w:val="00650AD5"/>
    <w:rsid w:val="00650B4B"/>
    <w:rsid w:val="00650DDD"/>
    <w:rsid w:val="00650E30"/>
    <w:rsid w:val="00650E6B"/>
    <w:rsid w:val="0065105E"/>
    <w:rsid w:val="0065106C"/>
    <w:rsid w:val="006514D3"/>
    <w:rsid w:val="0065173A"/>
    <w:rsid w:val="00651836"/>
    <w:rsid w:val="00651862"/>
    <w:rsid w:val="006524EC"/>
    <w:rsid w:val="006525F5"/>
    <w:rsid w:val="00652660"/>
    <w:rsid w:val="00652713"/>
    <w:rsid w:val="00652AAA"/>
    <w:rsid w:val="00652B08"/>
    <w:rsid w:val="00652C40"/>
    <w:rsid w:val="00652E05"/>
    <w:rsid w:val="00652FBD"/>
    <w:rsid w:val="00653006"/>
    <w:rsid w:val="00653172"/>
    <w:rsid w:val="00653324"/>
    <w:rsid w:val="0065339B"/>
    <w:rsid w:val="00653529"/>
    <w:rsid w:val="0065359F"/>
    <w:rsid w:val="00653C19"/>
    <w:rsid w:val="00653C51"/>
    <w:rsid w:val="00653D00"/>
    <w:rsid w:val="00653EE4"/>
    <w:rsid w:val="00653F9B"/>
    <w:rsid w:val="0065416C"/>
    <w:rsid w:val="006543BC"/>
    <w:rsid w:val="006544F9"/>
    <w:rsid w:val="0065455F"/>
    <w:rsid w:val="0065464B"/>
    <w:rsid w:val="00654723"/>
    <w:rsid w:val="00654764"/>
    <w:rsid w:val="0065480D"/>
    <w:rsid w:val="0065482C"/>
    <w:rsid w:val="00654951"/>
    <w:rsid w:val="00654B6D"/>
    <w:rsid w:val="00654C47"/>
    <w:rsid w:val="00654E23"/>
    <w:rsid w:val="00654E89"/>
    <w:rsid w:val="0065506B"/>
    <w:rsid w:val="006550DC"/>
    <w:rsid w:val="00655134"/>
    <w:rsid w:val="006551B1"/>
    <w:rsid w:val="0065528C"/>
    <w:rsid w:val="00655337"/>
    <w:rsid w:val="0065540E"/>
    <w:rsid w:val="00655519"/>
    <w:rsid w:val="00655731"/>
    <w:rsid w:val="0065581D"/>
    <w:rsid w:val="00655B4A"/>
    <w:rsid w:val="00655C06"/>
    <w:rsid w:val="00655EDA"/>
    <w:rsid w:val="00655FE1"/>
    <w:rsid w:val="006560C2"/>
    <w:rsid w:val="00656233"/>
    <w:rsid w:val="0065671A"/>
    <w:rsid w:val="00656772"/>
    <w:rsid w:val="006569DF"/>
    <w:rsid w:val="00656BBB"/>
    <w:rsid w:val="00656BFA"/>
    <w:rsid w:val="00656DC5"/>
    <w:rsid w:val="00656E52"/>
    <w:rsid w:val="00656F10"/>
    <w:rsid w:val="006572A8"/>
    <w:rsid w:val="0065736E"/>
    <w:rsid w:val="006575F3"/>
    <w:rsid w:val="006576BF"/>
    <w:rsid w:val="00657760"/>
    <w:rsid w:val="0065785B"/>
    <w:rsid w:val="00657B6D"/>
    <w:rsid w:val="00657D5C"/>
    <w:rsid w:val="00657DED"/>
    <w:rsid w:val="00657F4D"/>
    <w:rsid w:val="00657FEC"/>
    <w:rsid w:val="00660364"/>
    <w:rsid w:val="006603F7"/>
    <w:rsid w:val="00660458"/>
    <w:rsid w:val="0066048E"/>
    <w:rsid w:val="006605D4"/>
    <w:rsid w:val="006608D2"/>
    <w:rsid w:val="00660A31"/>
    <w:rsid w:val="00660BDC"/>
    <w:rsid w:val="00660D4E"/>
    <w:rsid w:val="00660D6F"/>
    <w:rsid w:val="00660DDA"/>
    <w:rsid w:val="00660EFC"/>
    <w:rsid w:val="00660F07"/>
    <w:rsid w:val="00661073"/>
    <w:rsid w:val="006610EF"/>
    <w:rsid w:val="0066111D"/>
    <w:rsid w:val="00661414"/>
    <w:rsid w:val="006616D4"/>
    <w:rsid w:val="00662068"/>
    <w:rsid w:val="006620D0"/>
    <w:rsid w:val="0066226F"/>
    <w:rsid w:val="00662577"/>
    <w:rsid w:val="006628D8"/>
    <w:rsid w:val="006629F7"/>
    <w:rsid w:val="00662A51"/>
    <w:rsid w:val="00662EEA"/>
    <w:rsid w:val="00662EF2"/>
    <w:rsid w:val="006630D6"/>
    <w:rsid w:val="0066331D"/>
    <w:rsid w:val="00663C9C"/>
    <w:rsid w:val="0066409A"/>
    <w:rsid w:val="00664303"/>
    <w:rsid w:val="00664546"/>
    <w:rsid w:val="006646B0"/>
    <w:rsid w:val="006648B8"/>
    <w:rsid w:val="00664B32"/>
    <w:rsid w:val="00664C08"/>
    <w:rsid w:val="00664C6A"/>
    <w:rsid w:val="00664F41"/>
    <w:rsid w:val="0066519B"/>
    <w:rsid w:val="00665206"/>
    <w:rsid w:val="00665666"/>
    <w:rsid w:val="0066575E"/>
    <w:rsid w:val="006658CA"/>
    <w:rsid w:val="00665BC4"/>
    <w:rsid w:val="00665CEF"/>
    <w:rsid w:val="00665DF6"/>
    <w:rsid w:val="00665E92"/>
    <w:rsid w:val="0066607F"/>
    <w:rsid w:val="0066610C"/>
    <w:rsid w:val="00666287"/>
    <w:rsid w:val="006662E4"/>
    <w:rsid w:val="00666359"/>
    <w:rsid w:val="006663D5"/>
    <w:rsid w:val="00666461"/>
    <w:rsid w:val="00666518"/>
    <w:rsid w:val="006667AC"/>
    <w:rsid w:val="0066697E"/>
    <w:rsid w:val="006669D0"/>
    <w:rsid w:val="00666AB4"/>
    <w:rsid w:val="00666B76"/>
    <w:rsid w:val="00666C17"/>
    <w:rsid w:val="00666C59"/>
    <w:rsid w:val="00666C8B"/>
    <w:rsid w:val="00666DD3"/>
    <w:rsid w:val="00667414"/>
    <w:rsid w:val="00667666"/>
    <w:rsid w:val="00667783"/>
    <w:rsid w:val="006679AF"/>
    <w:rsid w:val="00667B4F"/>
    <w:rsid w:val="00670005"/>
    <w:rsid w:val="00670459"/>
    <w:rsid w:val="00670B14"/>
    <w:rsid w:val="00670BDD"/>
    <w:rsid w:val="00670DD7"/>
    <w:rsid w:val="00670F6D"/>
    <w:rsid w:val="00671269"/>
    <w:rsid w:val="00671332"/>
    <w:rsid w:val="0067133B"/>
    <w:rsid w:val="00671581"/>
    <w:rsid w:val="0067161B"/>
    <w:rsid w:val="006716AB"/>
    <w:rsid w:val="006716D0"/>
    <w:rsid w:val="00671A95"/>
    <w:rsid w:val="00671EB2"/>
    <w:rsid w:val="006723DF"/>
    <w:rsid w:val="0067265F"/>
    <w:rsid w:val="00672743"/>
    <w:rsid w:val="006727D4"/>
    <w:rsid w:val="00672851"/>
    <w:rsid w:val="006728B5"/>
    <w:rsid w:val="006728D1"/>
    <w:rsid w:val="00672B1D"/>
    <w:rsid w:val="00672B2D"/>
    <w:rsid w:val="00672C9D"/>
    <w:rsid w:val="00672CB0"/>
    <w:rsid w:val="00672DE5"/>
    <w:rsid w:val="00672EF8"/>
    <w:rsid w:val="00672F4D"/>
    <w:rsid w:val="00673438"/>
    <w:rsid w:val="00673452"/>
    <w:rsid w:val="006735A4"/>
    <w:rsid w:val="006737C6"/>
    <w:rsid w:val="006738F0"/>
    <w:rsid w:val="00673BC8"/>
    <w:rsid w:val="00673C50"/>
    <w:rsid w:val="00673E06"/>
    <w:rsid w:val="00673E70"/>
    <w:rsid w:val="00674138"/>
    <w:rsid w:val="00674259"/>
    <w:rsid w:val="0067434A"/>
    <w:rsid w:val="00674379"/>
    <w:rsid w:val="006747A5"/>
    <w:rsid w:val="00674829"/>
    <w:rsid w:val="00674C7A"/>
    <w:rsid w:val="00674D1D"/>
    <w:rsid w:val="006750AC"/>
    <w:rsid w:val="0067514F"/>
    <w:rsid w:val="00675164"/>
    <w:rsid w:val="00675CBE"/>
    <w:rsid w:val="00675D1B"/>
    <w:rsid w:val="00675E31"/>
    <w:rsid w:val="00675ED9"/>
    <w:rsid w:val="00676036"/>
    <w:rsid w:val="0067625E"/>
    <w:rsid w:val="006762AB"/>
    <w:rsid w:val="006762F0"/>
    <w:rsid w:val="0067656F"/>
    <w:rsid w:val="00676855"/>
    <w:rsid w:val="006768A1"/>
    <w:rsid w:val="00676A3B"/>
    <w:rsid w:val="00676BAA"/>
    <w:rsid w:val="00676C10"/>
    <w:rsid w:val="00676E72"/>
    <w:rsid w:val="00676F4C"/>
    <w:rsid w:val="0067734F"/>
    <w:rsid w:val="00677402"/>
    <w:rsid w:val="006775A9"/>
    <w:rsid w:val="006775AE"/>
    <w:rsid w:val="0067764E"/>
    <w:rsid w:val="00677800"/>
    <w:rsid w:val="006779F6"/>
    <w:rsid w:val="00677A39"/>
    <w:rsid w:val="00677DDC"/>
    <w:rsid w:val="006801EA"/>
    <w:rsid w:val="00680295"/>
    <w:rsid w:val="00680631"/>
    <w:rsid w:val="00680690"/>
    <w:rsid w:val="006806EF"/>
    <w:rsid w:val="00680802"/>
    <w:rsid w:val="0068088C"/>
    <w:rsid w:val="006808BF"/>
    <w:rsid w:val="00680989"/>
    <w:rsid w:val="00680A3B"/>
    <w:rsid w:val="00680FEB"/>
    <w:rsid w:val="0068145B"/>
    <w:rsid w:val="00681568"/>
    <w:rsid w:val="00681581"/>
    <w:rsid w:val="006815BA"/>
    <w:rsid w:val="00681639"/>
    <w:rsid w:val="006816A5"/>
    <w:rsid w:val="006818D0"/>
    <w:rsid w:val="00681AAD"/>
    <w:rsid w:val="00681AFE"/>
    <w:rsid w:val="00681F2B"/>
    <w:rsid w:val="00682323"/>
    <w:rsid w:val="00682392"/>
    <w:rsid w:val="006824DB"/>
    <w:rsid w:val="006827AD"/>
    <w:rsid w:val="0068282C"/>
    <w:rsid w:val="006828E4"/>
    <w:rsid w:val="006828F3"/>
    <w:rsid w:val="00682B4A"/>
    <w:rsid w:val="00682C6C"/>
    <w:rsid w:val="00682CC1"/>
    <w:rsid w:val="00682DBC"/>
    <w:rsid w:val="00682E32"/>
    <w:rsid w:val="006832C9"/>
    <w:rsid w:val="00683459"/>
    <w:rsid w:val="00683527"/>
    <w:rsid w:val="006835A9"/>
    <w:rsid w:val="00683AB1"/>
    <w:rsid w:val="00683AEF"/>
    <w:rsid w:val="00683B49"/>
    <w:rsid w:val="00683C9E"/>
    <w:rsid w:val="00684033"/>
    <w:rsid w:val="00684322"/>
    <w:rsid w:val="006843CE"/>
    <w:rsid w:val="00684470"/>
    <w:rsid w:val="00684490"/>
    <w:rsid w:val="00684912"/>
    <w:rsid w:val="00684961"/>
    <w:rsid w:val="00684B9C"/>
    <w:rsid w:val="00684DB3"/>
    <w:rsid w:val="00684DF1"/>
    <w:rsid w:val="00684E20"/>
    <w:rsid w:val="00684E69"/>
    <w:rsid w:val="00684EDD"/>
    <w:rsid w:val="00684F61"/>
    <w:rsid w:val="006850F8"/>
    <w:rsid w:val="006851A8"/>
    <w:rsid w:val="0068547F"/>
    <w:rsid w:val="0068572B"/>
    <w:rsid w:val="00685809"/>
    <w:rsid w:val="00685B00"/>
    <w:rsid w:val="00685C1E"/>
    <w:rsid w:val="00685DE5"/>
    <w:rsid w:val="00686776"/>
    <w:rsid w:val="006867D0"/>
    <w:rsid w:val="00686938"/>
    <w:rsid w:val="00686980"/>
    <w:rsid w:val="00686A2C"/>
    <w:rsid w:val="00686F93"/>
    <w:rsid w:val="00687072"/>
    <w:rsid w:val="006870E6"/>
    <w:rsid w:val="0068744B"/>
    <w:rsid w:val="00687536"/>
    <w:rsid w:val="006876D8"/>
    <w:rsid w:val="00687A48"/>
    <w:rsid w:val="00687A6B"/>
    <w:rsid w:val="00687DE3"/>
    <w:rsid w:val="00687E35"/>
    <w:rsid w:val="00687E3F"/>
    <w:rsid w:val="0069003B"/>
    <w:rsid w:val="006901BC"/>
    <w:rsid w:val="00690420"/>
    <w:rsid w:val="00690647"/>
    <w:rsid w:val="0069064A"/>
    <w:rsid w:val="006906FD"/>
    <w:rsid w:val="00690B85"/>
    <w:rsid w:val="00690CAB"/>
    <w:rsid w:val="0069113B"/>
    <w:rsid w:val="0069139A"/>
    <w:rsid w:val="006914B2"/>
    <w:rsid w:val="006915EB"/>
    <w:rsid w:val="00691B94"/>
    <w:rsid w:val="00691DAE"/>
    <w:rsid w:val="00691DF9"/>
    <w:rsid w:val="00692187"/>
    <w:rsid w:val="00692223"/>
    <w:rsid w:val="00692229"/>
    <w:rsid w:val="006923FD"/>
    <w:rsid w:val="0069275C"/>
    <w:rsid w:val="006929F4"/>
    <w:rsid w:val="006929FA"/>
    <w:rsid w:val="00692ED0"/>
    <w:rsid w:val="0069316B"/>
    <w:rsid w:val="006935E9"/>
    <w:rsid w:val="00693689"/>
    <w:rsid w:val="006938CE"/>
    <w:rsid w:val="00693994"/>
    <w:rsid w:val="00693AA8"/>
    <w:rsid w:val="00693B91"/>
    <w:rsid w:val="00693CC4"/>
    <w:rsid w:val="00694040"/>
    <w:rsid w:val="0069405A"/>
    <w:rsid w:val="006940D4"/>
    <w:rsid w:val="00694173"/>
    <w:rsid w:val="00694218"/>
    <w:rsid w:val="006943CD"/>
    <w:rsid w:val="00694405"/>
    <w:rsid w:val="006946BD"/>
    <w:rsid w:val="00694961"/>
    <w:rsid w:val="00694C25"/>
    <w:rsid w:val="00694D99"/>
    <w:rsid w:val="00695091"/>
    <w:rsid w:val="0069558B"/>
    <w:rsid w:val="006955E4"/>
    <w:rsid w:val="006955E8"/>
    <w:rsid w:val="00695779"/>
    <w:rsid w:val="006957EC"/>
    <w:rsid w:val="006959B7"/>
    <w:rsid w:val="00695A42"/>
    <w:rsid w:val="00695B10"/>
    <w:rsid w:val="00695B92"/>
    <w:rsid w:val="00695C14"/>
    <w:rsid w:val="00695C30"/>
    <w:rsid w:val="00695C4D"/>
    <w:rsid w:val="00695E49"/>
    <w:rsid w:val="00696087"/>
    <w:rsid w:val="006961C9"/>
    <w:rsid w:val="006962BA"/>
    <w:rsid w:val="006962C3"/>
    <w:rsid w:val="00696361"/>
    <w:rsid w:val="006963F4"/>
    <w:rsid w:val="00696447"/>
    <w:rsid w:val="006965A9"/>
    <w:rsid w:val="00696960"/>
    <w:rsid w:val="00696CBA"/>
    <w:rsid w:val="00696CCB"/>
    <w:rsid w:val="00696E6E"/>
    <w:rsid w:val="00696EEE"/>
    <w:rsid w:val="00696F73"/>
    <w:rsid w:val="006971E8"/>
    <w:rsid w:val="00697201"/>
    <w:rsid w:val="006974BF"/>
    <w:rsid w:val="00697589"/>
    <w:rsid w:val="006976EE"/>
    <w:rsid w:val="00697931"/>
    <w:rsid w:val="006979CB"/>
    <w:rsid w:val="00697B99"/>
    <w:rsid w:val="00697D4C"/>
    <w:rsid w:val="00697F45"/>
    <w:rsid w:val="00697F7F"/>
    <w:rsid w:val="006A009E"/>
    <w:rsid w:val="006A0350"/>
    <w:rsid w:val="006A05EC"/>
    <w:rsid w:val="006A065B"/>
    <w:rsid w:val="006A0961"/>
    <w:rsid w:val="006A0A0F"/>
    <w:rsid w:val="006A0ADF"/>
    <w:rsid w:val="006A0EC0"/>
    <w:rsid w:val="006A0F71"/>
    <w:rsid w:val="006A12AB"/>
    <w:rsid w:val="006A16EE"/>
    <w:rsid w:val="006A1797"/>
    <w:rsid w:val="006A1890"/>
    <w:rsid w:val="006A18D3"/>
    <w:rsid w:val="006A1995"/>
    <w:rsid w:val="006A1B63"/>
    <w:rsid w:val="006A1E22"/>
    <w:rsid w:val="006A21A1"/>
    <w:rsid w:val="006A21A2"/>
    <w:rsid w:val="006A2219"/>
    <w:rsid w:val="006A2331"/>
    <w:rsid w:val="006A24B8"/>
    <w:rsid w:val="006A24D6"/>
    <w:rsid w:val="006A2770"/>
    <w:rsid w:val="006A27A8"/>
    <w:rsid w:val="006A2C1F"/>
    <w:rsid w:val="006A2CFC"/>
    <w:rsid w:val="006A2D53"/>
    <w:rsid w:val="006A2E4F"/>
    <w:rsid w:val="006A2E89"/>
    <w:rsid w:val="006A3082"/>
    <w:rsid w:val="006A313E"/>
    <w:rsid w:val="006A31FF"/>
    <w:rsid w:val="006A380B"/>
    <w:rsid w:val="006A3815"/>
    <w:rsid w:val="006A3958"/>
    <w:rsid w:val="006A398F"/>
    <w:rsid w:val="006A3A57"/>
    <w:rsid w:val="006A3A94"/>
    <w:rsid w:val="006A3D4F"/>
    <w:rsid w:val="006A3F0A"/>
    <w:rsid w:val="006A3F93"/>
    <w:rsid w:val="006A446D"/>
    <w:rsid w:val="006A45E3"/>
    <w:rsid w:val="006A49CB"/>
    <w:rsid w:val="006A4BC3"/>
    <w:rsid w:val="006A4D65"/>
    <w:rsid w:val="006A503E"/>
    <w:rsid w:val="006A5093"/>
    <w:rsid w:val="006A5291"/>
    <w:rsid w:val="006A54DA"/>
    <w:rsid w:val="006A5841"/>
    <w:rsid w:val="006A5881"/>
    <w:rsid w:val="006A5C0D"/>
    <w:rsid w:val="006A5C47"/>
    <w:rsid w:val="006A5ED7"/>
    <w:rsid w:val="006A62F3"/>
    <w:rsid w:val="006A6320"/>
    <w:rsid w:val="006A6726"/>
    <w:rsid w:val="006A6D32"/>
    <w:rsid w:val="006A6D5D"/>
    <w:rsid w:val="006A6DA9"/>
    <w:rsid w:val="006A6DBB"/>
    <w:rsid w:val="006A72C6"/>
    <w:rsid w:val="006A747F"/>
    <w:rsid w:val="006A7568"/>
    <w:rsid w:val="006A7690"/>
    <w:rsid w:val="006A7B76"/>
    <w:rsid w:val="006A7D43"/>
    <w:rsid w:val="006A7DAE"/>
    <w:rsid w:val="006A7DC1"/>
    <w:rsid w:val="006A7E5E"/>
    <w:rsid w:val="006A7F11"/>
    <w:rsid w:val="006B01C6"/>
    <w:rsid w:val="006B02E9"/>
    <w:rsid w:val="006B037A"/>
    <w:rsid w:val="006B0741"/>
    <w:rsid w:val="006B08A3"/>
    <w:rsid w:val="006B0BDC"/>
    <w:rsid w:val="006B0D56"/>
    <w:rsid w:val="006B0E61"/>
    <w:rsid w:val="006B0EA8"/>
    <w:rsid w:val="006B129F"/>
    <w:rsid w:val="006B133B"/>
    <w:rsid w:val="006B13DC"/>
    <w:rsid w:val="006B1407"/>
    <w:rsid w:val="006B14B9"/>
    <w:rsid w:val="006B16C9"/>
    <w:rsid w:val="006B16F3"/>
    <w:rsid w:val="006B1755"/>
    <w:rsid w:val="006B1A1C"/>
    <w:rsid w:val="006B1BFE"/>
    <w:rsid w:val="006B1C0C"/>
    <w:rsid w:val="006B1C1F"/>
    <w:rsid w:val="006B1EDE"/>
    <w:rsid w:val="006B1F4F"/>
    <w:rsid w:val="006B206E"/>
    <w:rsid w:val="006B213D"/>
    <w:rsid w:val="006B21C7"/>
    <w:rsid w:val="006B2694"/>
    <w:rsid w:val="006B274D"/>
    <w:rsid w:val="006B27E4"/>
    <w:rsid w:val="006B2883"/>
    <w:rsid w:val="006B29CA"/>
    <w:rsid w:val="006B29D6"/>
    <w:rsid w:val="006B2BCB"/>
    <w:rsid w:val="006B2C35"/>
    <w:rsid w:val="006B2C84"/>
    <w:rsid w:val="006B2C9A"/>
    <w:rsid w:val="006B2FBB"/>
    <w:rsid w:val="006B2FF1"/>
    <w:rsid w:val="006B344D"/>
    <w:rsid w:val="006B347B"/>
    <w:rsid w:val="006B3594"/>
    <w:rsid w:val="006B3783"/>
    <w:rsid w:val="006B37C7"/>
    <w:rsid w:val="006B3947"/>
    <w:rsid w:val="006B398E"/>
    <w:rsid w:val="006B3B07"/>
    <w:rsid w:val="006B3BB5"/>
    <w:rsid w:val="006B3BFA"/>
    <w:rsid w:val="006B413D"/>
    <w:rsid w:val="006B4297"/>
    <w:rsid w:val="006B455A"/>
    <w:rsid w:val="006B4626"/>
    <w:rsid w:val="006B4C23"/>
    <w:rsid w:val="006B4DD9"/>
    <w:rsid w:val="006B4E87"/>
    <w:rsid w:val="006B5008"/>
    <w:rsid w:val="006B5511"/>
    <w:rsid w:val="006B551B"/>
    <w:rsid w:val="006B5A39"/>
    <w:rsid w:val="006B5B6D"/>
    <w:rsid w:val="006B5DFD"/>
    <w:rsid w:val="006B5E5F"/>
    <w:rsid w:val="006B5EAC"/>
    <w:rsid w:val="006B5F71"/>
    <w:rsid w:val="006B5F8F"/>
    <w:rsid w:val="006B602A"/>
    <w:rsid w:val="006B627B"/>
    <w:rsid w:val="006B62F6"/>
    <w:rsid w:val="006B6358"/>
    <w:rsid w:val="006B6385"/>
    <w:rsid w:val="006B65B1"/>
    <w:rsid w:val="006B67D3"/>
    <w:rsid w:val="006B687F"/>
    <w:rsid w:val="006B6890"/>
    <w:rsid w:val="006B69F5"/>
    <w:rsid w:val="006B6F1B"/>
    <w:rsid w:val="006B7270"/>
    <w:rsid w:val="006B7281"/>
    <w:rsid w:val="006B72CB"/>
    <w:rsid w:val="006B72F1"/>
    <w:rsid w:val="006B7359"/>
    <w:rsid w:val="006B751E"/>
    <w:rsid w:val="006B782C"/>
    <w:rsid w:val="006B794B"/>
    <w:rsid w:val="006B7A69"/>
    <w:rsid w:val="006B7AE8"/>
    <w:rsid w:val="006B7C31"/>
    <w:rsid w:val="006B7C4E"/>
    <w:rsid w:val="006B7CEC"/>
    <w:rsid w:val="006B7DE6"/>
    <w:rsid w:val="006B7EE9"/>
    <w:rsid w:val="006C0053"/>
    <w:rsid w:val="006C012D"/>
    <w:rsid w:val="006C0410"/>
    <w:rsid w:val="006C0465"/>
    <w:rsid w:val="006C04B5"/>
    <w:rsid w:val="006C04C9"/>
    <w:rsid w:val="006C0633"/>
    <w:rsid w:val="006C06E5"/>
    <w:rsid w:val="006C087A"/>
    <w:rsid w:val="006C09D8"/>
    <w:rsid w:val="006C0A91"/>
    <w:rsid w:val="006C0CFA"/>
    <w:rsid w:val="006C0D4C"/>
    <w:rsid w:val="006C0F42"/>
    <w:rsid w:val="006C115A"/>
    <w:rsid w:val="006C11B3"/>
    <w:rsid w:val="006C12D9"/>
    <w:rsid w:val="006C13E0"/>
    <w:rsid w:val="006C1407"/>
    <w:rsid w:val="006C1681"/>
    <w:rsid w:val="006C177F"/>
    <w:rsid w:val="006C1BA2"/>
    <w:rsid w:val="006C1BB6"/>
    <w:rsid w:val="006C1D1A"/>
    <w:rsid w:val="006C1DD2"/>
    <w:rsid w:val="006C1DF6"/>
    <w:rsid w:val="006C20CC"/>
    <w:rsid w:val="006C21F4"/>
    <w:rsid w:val="006C2327"/>
    <w:rsid w:val="006C2333"/>
    <w:rsid w:val="006C23D1"/>
    <w:rsid w:val="006C2435"/>
    <w:rsid w:val="006C2605"/>
    <w:rsid w:val="006C276C"/>
    <w:rsid w:val="006C29B2"/>
    <w:rsid w:val="006C2A26"/>
    <w:rsid w:val="006C2A85"/>
    <w:rsid w:val="006C2B1A"/>
    <w:rsid w:val="006C2B8D"/>
    <w:rsid w:val="006C2B98"/>
    <w:rsid w:val="006C2D0C"/>
    <w:rsid w:val="006C2F9B"/>
    <w:rsid w:val="006C3175"/>
    <w:rsid w:val="006C320A"/>
    <w:rsid w:val="006C338B"/>
    <w:rsid w:val="006C344A"/>
    <w:rsid w:val="006C349E"/>
    <w:rsid w:val="006C36BC"/>
    <w:rsid w:val="006C38FC"/>
    <w:rsid w:val="006C3907"/>
    <w:rsid w:val="006C3916"/>
    <w:rsid w:val="006C3AB0"/>
    <w:rsid w:val="006C3D4F"/>
    <w:rsid w:val="006C3DF8"/>
    <w:rsid w:val="006C3E81"/>
    <w:rsid w:val="006C3F79"/>
    <w:rsid w:val="006C3F91"/>
    <w:rsid w:val="006C415F"/>
    <w:rsid w:val="006C425F"/>
    <w:rsid w:val="006C4427"/>
    <w:rsid w:val="006C4535"/>
    <w:rsid w:val="006C48ED"/>
    <w:rsid w:val="006C49BD"/>
    <w:rsid w:val="006C4A5F"/>
    <w:rsid w:val="006C4A69"/>
    <w:rsid w:val="006C4AD5"/>
    <w:rsid w:val="006C4B1B"/>
    <w:rsid w:val="006C4D79"/>
    <w:rsid w:val="006C4DB6"/>
    <w:rsid w:val="006C4E8C"/>
    <w:rsid w:val="006C4F38"/>
    <w:rsid w:val="006C4F4C"/>
    <w:rsid w:val="006C5028"/>
    <w:rsid w:val="006C53C0"/>
    <w:rsid w:val="006C55E3"/>
    <w:rsid w:val="006C55F3"/>
    <w:rsid w:val="006C5671"/>
    <w:rsid w:val="006C56A5"/>
    <w:rsid w:val="006C56D7"/>
    <w:rsid w:val="006C57CB"/>
    <w:rsid w:val="006C58B1"/>
    <w:rsid w:val="006C5CAC"/>
    <w:rsid w:val="006C5CEE"/>
    <w:rsid w:val="006C5F31"/>
    <w:rsid w:val="006C6037"/>
    <w:rsid w:val="006C63A3"/>
    <w:rsid w:val="006C64AE"/>
    <w:rsid w:val="006C64C2"/>
    <w:rsid w:val="006C64DF"/>
    <w:rsid w:val="006C64F3"/>
    <w:rsid w:val="006C64FA"/>
    <w:rsid w:val="006C6708"/>
    <w:rsid w:val="006C6A57"/>
    <w:rsid w:val="006C6CF9"/>
    <w:rsid w:val="006C6D07"/>
    <w:rsid w:val="006C731B"/>
    <w:rsid w:val="006C775A"/>
    <w:rsid w:val="006C78F6"/>
    <w:rsid w:val="006C7ABB"/>
    <w:rsid w:val="006C7E2B"/>
    <w:rsid w:val="006C7E51"/>
    <w:rsid w:val="006C7FA6"/>
    <w:rsid w:val="006C7FDD"/>
    <w:rsid w:val="006D0059"/>
    <w:rsid w:val="006D00DC"/>
    <w:rsid w:val="006D054F"/>
    <w:rsid w:val="006D076C"/>
    <w:rsid w:val="006D0AC0"/>
    <w:rsid w:val="006D0B4B"/>
    <w:rsid w:val="006D0CA8"/>
    <w:rsid w:val="006D0E7B"/>
    <w:rsid w:val="006D0F9A"/>
    <w:rsid w:val="006D100A"/>
    <w:rsid w:val="006D10D1"/>
    <w:rsid w:val="006D10DC"/>
    <w:rsid w:val="006D14E9"/>
    <w:rsid w:val="006D150D"/>
    <w:rsid w:val="006D19A7"/>
    <w:rsid w:val="006D1B75"/>
    <w:rsid w:val="006D1D18"/>
    <w:rsid w:val="006D1DCF"/>
    <w:rsid w:val="006D1ED7"/>
    <w:rsid w:val="006D21AA"/>
    <w:rsid w:val="006D243A"/>
    <w:rsid w:val="006D2452"/>
    <w:rsid w:val="006D2908"/>
    <w:rsid w:val="006D29CB"/>
    <w:rsid w:val="006D2A63"/>
    <w:rsid w:val="006D2D3F"/>
    <w:rsid w:val="006D2FAF"/>
    <w:rsid w:val="006D3391"/>
    <w:rsid w:val="006D33BD"/>
    <w:rsid w:val="006D352A"/>
    <w:rsid w:val="006D35A2"/>
    <w:rsid w:val="006D3600"/>
    <w:rsid w:val="006D396A"/>
    <w:rsid w:val="006D3A60"/>
    <w:rsid w:val="006D3D6B"/>
    <w:rsid w:val="006D3E34"/>
    <w:rsid w:val="006D403C"/>
    <w:rsid w:val="006D40DC"/>
    <w:rsid w:val="006D421A"/>
    <w:rsid w:val="006D4358"/>
    <w:rsid w:val="006D43A6"/>
    <w:rsid w:val="006D442D"/>
    <w:rsid w:val="006D478C"/>
    <w:rsid w:val="006D47E4"/>
    <w:rsid w:val="006D4DD8"/>
    <w:rsid w:val="006D5091"/>
    <w:rsid w:val="006D57DD"/>
    <w:rsid w:val="006D583D"/>
    <w:rsid w:val="006D59F6"/>
    <w:rsid w:val="006D5B42"/>
    <w:rsid w:val="006D5BB4"/>
    <w:rsid w:val="006D5BB6"/>
    <w:rsid w:val="006D5C77"/>
    <w:rsid w:val="006D5F42"/>
    <w:rsid w:val="006D6434"/>
    <w:rsid w:val="006D646D"/>
    <w:rsid w:val="006D6749"/>
    <w:rsid w:val="006D6780"/>
    <w:rsid w:val="006D6867"/>
    <w:rsid w:val="006D6DD6"/>
    <w:rsid w:val="006D6E92"/>
    <w:rsid w:val="006D6F81"/>
    <w:rsid w:val="006D6FFF"/>
    <w:rsid w:val="006D72BA"/>
    <w:rsid w:val="006D72D1"/>
    <w:rsid w:val="006D751B"/>
    <w:rsid w:val="006D75B7"/>
    <w:rsid w:val="006D7696"/>
    <w:rsid w:val="006D7751"/>
    <w:rsid w:val="006D7991"/>
    <w:rsid w:val="006D7B94"/>
    <w:rsid w:val="006D7BE2"/>
    <w:rsid w:val="006D7D6F"/>
    <w:rsid w:val="006D7F07"/>
    <w:rsid w:val="006D7FCA"/>
    <w:rsid w:val="006E0774"/>
    <w:rsid w:val="006E0775"/>
    <w:rsid w:val="006E07FE"/>
    <w:rsid w:val="006E0CDE"/>
    <w:rsid w:val="006E0E0F"/>
    <w:rsid w:val="006E0F5B"/>
    <w:rsid w:val="006E114B"/>
    <w:rsid w:val="006E1699"/>
    <w:rsid w:val="006E18DE"/>
    <w:rsid w:val="006E1929"/>
    <w:rsid w:val="006E19AE"/>
    <w:rsid w:val="006E19BA"/>
    <w:rsid w:val="006E1B14"/>
    <w:rsid w:val="006E1B5F"/>
    <w:rsid w:val="006E1DC2"/>
    <w:rsid w:val="006E1E99"/>
    <w:rsid w:val="006E1F9E"/>
    <w:rsid w:val="006E229C"/>
    <w:rsid w:val="006E2B01"/>
    <w:rsid w:val="006E2EBC"/>
    <w:rsid w:val="006E2F46"/>
    <w:rsid w:val="006E2FEE"/>
    <w:rsid w:val="006E30BB"/>
    <w:rsid w:val="006E33ED"/>
    <w:rsid w:val="006E3536"/>
    <w:rsid w:val="006E35DB"/>
    <w:rsid w:val="006E3608"/>
    <w:rsid w:val="006E36F9"/>
    <w:rsid w:val="006E37EC"/>
    <w:rsid w:val="006E3830"/>
    <w:rsid w:val="006E3CD7"/>
    <w:rsid w:val="006E3D26"/>
    <w:rsid w:val="006E3D4F"/>
    <w:rsid w:val="006E3DEC"/>
    <w:rsid w:val="006E41EF"/>
    <w:rsid w:val="006E45F9"/>
    <w:rsid w:val="006E47E4"/>
    <w:rsid w:val="006E48D5"/>
    <w:rsid w:val="006E4901"/>
    <w:rsid w:val="006E491F"/>
    <w:rsid w:val="006E4969"/>
    <w:rsid w:val="006E496F"/>
    <w:rsid w:val="006E49C9"/>
    <w:rsid w:val="006E4B26"/>
    <w:rsid w:val="006E4CB5"/>
    <w:rsid w:val="006E4CD9"/>
    <w:rsid w:val="006E5026"/>
    <w:rsid w:val="006E50E8"/>
    <w:rsid w:val="006E53E7"/>
    <w:rsid w:val="006E5426"/>
    <w:rsid w:val="006E54AD"/>
    <w:rsid w:val="006E54EC"/>
    <w:rsid w:val="006E5537"/>
    <w:rsid w:val="006E56DA"/>
    <w:rsid w:val="006E577F"/>
    <w:rsid w:val="006E5970"/>
    <w:rsid w:val="006E5993"/>
    <w:rsid w:val="006E59D6"/>
    <w:rsid w:val="006E59E1"/>
    <w:rsid w:val="006E5B90"/>
    <w:rsid w:val="006E5B91"/>
    <w:rsid w:val="006E5D21"/>
    <w:rsid w:val="006E5D68"/>
    <w:rsid w:val="006E5F2A"/>
    <w:rsid w:val="006E5FE3"/>
    <w:rsid w:val="006E60CD"/>
    <w:rsid w:val="006E6306"/>
    <w:rsid w:val="006E648F"/>
    <w:rsid w:val="006E64A7"/>
    <w:rsid w:val="006E64B6"/>
    <w:rsid w:val="006E650B"/>
    <w:rsid w:val="006E6709"/>
    <w:rsid w:val="006E683C"/>
    <w:rsid w:val="006E686C"/>
    <w:rsid w:val="006E6879"/>
    <w:rsid w:val="006E6930"/>
    <w:rsid w:val="006E6C96"/>
    <w:rsid w:val="006E6CA4"/>
    <w:rsid w:val="006E6E46"/>
    <w:rsid w:val="006E6F26"/>
    <w:rsid w:val="006E7197"/>
    <w:rsid w:val="006E74C8"/>
    <w:rsid w:val="006E75CF"/>
    <w:rsid w:val="006E790C"/>
    <w:rsid w:val="006E7947"/>
    <w:rsid w:val="006E79DB"/>
    <w:rsid w:val="006E7B84"/>
    <w:rsid w:val="006E7E73"/>
    <w:rsid w:val="006E7FD9"/>
    <w:rsid w:val="006F059A"/>
    <w:rsid w:val="006F059B"/>
    <w:rsid w:val="006F08C4"/>
    <w:rsid w:val="006F08E1"/>
    <w:rsid w:val="006F0968"/>
    <w:rsid w:val="006F0B31"/>
    <w:rsid w:val="006F0DD1"/>
    <w:rsid w:val="006F0E59"/>
    <w:rsid w:val="006F1001"/>
    <w:rsid w:val="006F1093"/>
    <w:rsid w:val="006F1239"/>
    <w:rsid w:val="006F12AD"/>
    <w:rsid w:val="006F12D4"/>
    <w:rsid w:val="006F12ED"/>
    <w:rsid w:val="006F1479"/>
    <w:rsid w:val="006F1618"/>
    <w:rsid w:val="006F1B91"/>
    <w:rsid w:val="006F1E5A"/>
    <w:rsid w:val="006F2771"/>
    <w:rsid w:val="006F283F"/>
    <w:rsid w:val="006F298F"/>
    <w:rsid w:val="006F2998"/>
    <w:rsid w:val="006F2ADA"/>
    <w:rsid w:val="006F2B9E"/>
    <w:rsid w:val="006F3226"/>
    <w:rsid w:val="006F356F"/>
    <w:rsid w:val="006F37CC"/>
    <w:rsid w:val="006F3A3F"/>
    <w:rsid w:val="006F3B6D"/>
    <w:rsid w:val="006F3D7A"/>
    <w:rsid w:val="006F3F58"/>
    <w:rsid w:val="006F3F9D"/>
    <w:rsid w:val="006F4040"/>
    <w:rsid w:val="006F4296"/>
    <w:rsid w:val="006F42FE"/>
    <w:rsid w:val="006F4332"/>
    <w:rsid w:val="006F463B"/>
    <w:rsid w:val="006F48FB"/>
    <w:rsid w:val="006F4AB5"/>
    <w:rsid w:val="006F4B3E"/>
    <w:rsid w:val="006F4DD4"/>
    <w:rsid w:val="006F4E79"/>
    <w:rsid w:val="006F5041"/>
    <w:rsid w:val="006F5362"/>
    <w:rsid w:val="006F56F3"/>
    <w:rsid w:val="006F5E9C"/>
    <w:rsid w:val="006F5FB0"/>
    <w:rsid w:val="006F62A9"/>
    <w:rsid w:val="006F645D"/>
    <w:rsid w:val="006F64AA"/>
    <w:rsid w:val="006F66E1"/>
    <w:rsid w:val="006F676D"/>
    <w:rsid w:val="006F67BE"/>
    <w:rsid w:val="006F6913"/>
    <w:rsid w:val="006F697F"/>
    <w:rsid w:val="006F6A9A"/>
    <w:rsid w:val="006F6B8E"/>
    <w:rsid w:val="006F6BB0"/>
    <w:rsid w:val="006F752A"/>
    <w:rsid w:val="006F7568"/>
    <w:rsid w:val="006F76DF"/>
    <w:rsid w:val="006F77CC"/>
    <w:rsid w:val="006F7BB5"/>
    <w:rsid w:val="006F7F18"/>
    <w:rsid w:val="0070005B"/>
    <w:rsid w:val="00700096"/>
    <w:rsid w:val="00700202"/>
    <w:rsid w:val="00700227"/>
    <w:rsid w:val="0070032E"/>
    <w:rsid w:val="007005EC"/>
    <w:rsid w:val="00700926"/>
    <w:rsid w:val="00700D21"/>
    <w:rsid w:val="00700F14"/>
    <w:rsid w:val="00701124"/>
    <w:rsid w:val="007011D6"/>
    <w:rsid w:val="0070129D"/>
    <w:rsid w:val="00701307"/>
    <w:rsid w:val="00701311"/>
    <w:rsid w:val="00701313"/>
    <w:rsid w:val="00701640"/>
    <w:rsid w:val="00701D43"/>
    <w:rsid w:val="00701DD5"/>
    <w:rsid w:val="00701EBE"/>
    <w:rsid w:val="007020C4"/>
    <w:rsid w:val="007021AE"/>
    <w:rsid w:val="0070246C"/>
    <w:rsid w:val="007027B3"/>
    <w:rsid w:val="00702875"/>
    <w:rsid w:val="00702BBB"/>
    <w:rsid w:val="00702BE6"/>
    <w:rsid w:val="00702C7D"/>
    <w:rsid w:val="00702CF8"/>
    <w:rsid w:val="00702D2F"/>
    <w:rsid w:val="00702DE1"/>
    <w:rsid w:val="00702E4A"/>
    <w:rsid w:val="00703148"/>
    <w:rsid w:val="007031DE"/>
    <w:rsid w:val="007032ED"/>
    <w:rsid w:val="007032FC"/>
    <w:rsid w:val="00703440"/>
    <w:rsid w:val="00703843"/>
    <w:rsid w:val="007038BA"/>
    <w:rsid w:val="00703934"/>
    <w:rsid w:val="00703AAC"/>
    <w:rsid w:val="00703EC8"/>
    <w:rsid w:val="007045A7"/>
    <w:rsid w:val="007047ED"/>
    <w:rsid w:val="00704AF3"/>
    <w:rsid w:val="00704BA9"/>
    <w:rsid w:val="00704CDF"/>
    <w:rsid w:val="00704D06"/>
    <w:rsid w:val="00704D21"/>
    <w:rsid w:val="00704E5D"/>
    <w:rsid w:val="00704FE0"/>
    <w:rsid w:val="00705182"/>
    <w:rsid w:val="007056D6"/>
    <w:rsid w:val="00705806"/>
    <w:rsid w:val="00705966"/>
    <w:rsid w:val="00705D60"/>
    <w:rsid w:val="00705FDD"/>
    <w:rsid w:val="00706031"/>
    <w:rsid w:val="00706092"/>
    <w:rsid w:val="007060F7"/>
    <w:rsid w:val="0070617D"/>
    <w:rsid w:val="007063B9"/>
    <w:rsid w:val="00706643"/>
    <w:rsid w:val="0070665A"/>
    <w:rsid w:val="007066B4"/>
    <w:rsid w:val="0070681B"/>
    <w:rsid w:val="0070681D"/>
    <w:rsid w:val="00706897"/>
    <w:rsid w:val="00706A42"/>
    <w:rsid w:val="00706A47"/>
    <w:rsid w:val="00706A5D"/>
    <w:rsid w:val="00706CCD"/>
    <w:rsid w:val="00706E2B"/>
    <w:rsid w:val="00706FD4"/>
    <w:rsid w:val="0070718C"/>
    <w:rsid w:val="007072E7"/>
    <w:rsid w:val="00707497"/>
    <w:rsid w:val="007074EF"/>
    <w:rsid w:val="007077B3"/>
    <w:rsid w:val="00707867"/>
    <w:rsid w:val="00707BDB"/>
    <w:rsid w:val="00707C7F"/>
    <w:rsid w:val="00707C89"/>
    <w:rsid w:val="00707E1A"/>
    <w:rsid w:val="00707EA7"/>
    <w:rsid w:val="00710087"/>
    <w:rsid w:val="0071009C"/>
    <w:rsid w:val="007100B5"/>
    <w:rsid w:val="007102A0"/>
    <w:rsid w:val="00710307"/>
    <w:rsid w:val="0071040D"/>
    <w:rsid w:val="007105F7"/>
    <w:rsid w:val="00710765"/>
    <w:rsid w:val="007107E8"/>
    <w:rsid w:val="0071094E"/>
    <w:rsid w:val="00710C24"/>
    <w:rsid w:val="00710D24"/>
    <w:rsid w:val="00710FC2"/>
    <w:rsid w:val="00711113"/>
    <w:rsid w:val="0071113C"/>
    <w:rsid w:val="00711146"/>
    <w:rsid w:val="0071118F"/>
    <w:rsid w:val="007111D1"/>
    <w:rsid w:val="00711346"/>
    <w:rsid w:val="007113F9"/>
    <w:rsid w:val="007115FD"/>
    <w:rsid w:val="00711677"/>
    <w:rsid w:val="00711C23"/>
    <w:rsid w:val="00711D11"/>
    <w:rsid w:val="00711D69"/>
    <w:rsid w:val="00711E7B"/>
    <w:rsid w:val="0071213E"/>
    <w:rsid w:val="007121ED"/>
    <w:rsid w:val="0071228D"/>
    <w:rsid w:val="007126DD"/>
    <w:rsid w:val="00712705"/>
    <w:rsid w:val="007129A2"/>
    <w:rsid w:val="00712BE6"/>
    <w:rsid w:val="00712CF8"/>
    <w:rsid w:val="00712FF7"/>
    <w:rsid w:val="007131EA"/>
    <w:rsid w:val="00713320"/>
    <w:rsid w:val="0071344B"/>
    <w:rsid w:val="00713667"/>
    <w:rsid w:val="007137F9"/>
    <w:rsid w:val="00713829"/>
    <w:rsid w:val="0071395E"/>
    <w:rsid w:val="00713AEB"/>
    <w:rsid w:val="00713CBD"/>
    <w:rsid w:val="0071402C"/>
    <w:rsid w:val="007140BD"/>
    <w:rsid w:val="0071419C"/>
    <w:rsid w:val="00714321"/>
    <w:rsid w:val="0071432B"/>
    <w:rsid w:val="0071438F"/>
    <w:rsid w:val="007143DB"/>
    <w:rsid w:val="00714559"/>
    <w:rsid w:val="00714687"/>
    <w:rsid w:val="00714874"/>
    <w:rsid w:val="00714C2E"/>
    <w:rsid w:val="00714D60"/>
    <w:rsid w:val="00714E5A"/>
    <w:rsid w:val="00714E7A"/>
    <w:rsid w:val="00714FB0"/>
    <w:rsid w:val="00715401"/>
    <w:rsid w:val="007158A1"/>
    <w:rsid w:val="007158A5"/>
    <w:rsid w:val="00715CDA"/>
    <w:rsid w:val="00716045"/>
    <w:rsid w:val="007161D0"/>
    <w:rsid w:val="007162E6"/>
    <w:rsid w:val="007163B6"/>
    <w:rsid w:val="007165C0"/>
    <w:rsid w:val="00716643"/>
    <w:rsid w:val="00716823"/>
    <w:rsid w:val="0071684C"/>
    <w:rsid w:val="00716C19"/>
    <w:rsid w:val="00716E6A"/>
    <w:rsid w:val="0071700C"/>
    <w:rsid w:val="00717212"/>
    <w:rsid w:val="00717403"/>
    <w:rsid w:val="007176BB"/>
    <w:rsid w:val="00717775"/>
    <w:rsid w:val="00717958"/>
    <w:rsid w:val="00717AE6"/>
    <w:rsid w:val="00717AF5"/>
    <w:rsid w:val="00717D05"/>
    <w:rsid w:val="00717ED8"/>
    <w:rsid w:val="0072004B"/>
    <w:rsid w:val="007200D9"/>
    <w:rsid w:val="0072019C"/>
    <w:rsid w:val="0072047C"/>
    <w:rsid w:val="0072062F"/>
    <w:rsid w:val="00720736"/>
    <w:rsid w:val="007208E7"/>
    <w:rsid w:val="00720B19"/>
    <w:rsid w:val="00720B79"/>
    <w:rsid w:val="00720CD7"/>
    <w:rsid w:val="00720E6E"/>
    <w:rsid w:val="00721164"/>
    <w:rsid w:val="0072117D"/>
    <w:rsid w:val="007211B7"/>
    <w:rsid w:val="00721227"/>
    <w:rsid w:val="00721245"/>
    <w:rsid w:val="00721306"/>
    <w:rsid w:val="00721338"/>
    <w:rsid w:val="00721481"/>
    <w:rsid w:val="007214B2"/>
    <w:rsid w:val="00721A4A"/>
    <w:rsid w:val="00721A7F"/>
    <w:rsid w:val="00721AD9"/>
    <w:rsid w:val="00721B13"/>
    <w:rsid w:val="00721BCE"/>
    <w:rsid w:val="00721CB4"/>
    <w:rsid w:val="00721F3B"/>
    <w:rsid w:val="0072200A"/>
    <w:rsid w:val="00722416"/>
    <w:rsid w:val="0072241C"/>
    <w:rsid w:val="007225EB"/>
    <w:rsid w:val="00722846"/>
    <w:rsid w:val="00722B79"/>
    <w:rsid w:val="00722D0B"/>
    <w:rsid w:val="00722E21"/>
    <w:rsid w:val="00722E89"/>
    <w:rsid w:val="00722E92"/>
    <w:rsid w:val="007230E4"/>
    <w:rsid w:val="007232FE"/>
    <w:rsid w:val="00723374"/>
    <w:rsid w:val="007237AD"/>
    <w:rsid w:val="00723962"/>
    <w:rsid w:val="00723A20"/>
    <w:rsid w:val="00723B55"/>
    <w:rsid w:val="00723B6C"/>
    <w:rsid w:val="00723BAE"/>
    <w:rsid w:val="00723D11"/>
    <w:rsid w:val="00723D64"/>
    <w:rsid w:val="00723D78"/>
    <w:rsid w:val="00723DDB"/>
    <w:rsid w:val="007241E5"/>
    <w:rsid w:val="00724459"/>
    <w:rsid w:val="007244EA"/>
    <w:rsid w:val="00724667"/>
    <w:rsid w:val="00724793"/>
    <w:rsid w:val="0072487D"/>
    <w:rsid w:val="00724944"/>
    <w:rsid w:val="00724D82"/>
    <w:rsid w:val="00724E43"/>
    <w:rsid w:val="00724F0C"/>
    <w:rsid w:val="0072504B"/>
    <w:rsid w:val="007250B8"/>
    <w:rsid w:val="00725270"/>
    <w:rsid w:val="00725659"/>
    <w:rsid w:val="007256D5"/>
    <w:rsid w:val="007256FC"/>
    <w:rsid w:val="00725809"/>
    <w:rsid w:val="00725A6D"/>
    <w:rsid w:val="00725A8D"/>
    <w:rsid w:val="007262D7"/>
    <w:rsid w:val="00726390"/>
    <w:rsid w:val="00726437"/>
    <w:rsid w:val="00726478"/>
    <w:rsid w:val="00726918"/>
    <w:rsid w:val="00726942"/>
    <w:rsid w:val="00726964"/>
    <w:rsid w:val="007269BC"/>
    <w:rsid w:val="00726C3A"/>
    <w:rsid w:val="00726DCB"/>
    <w:rsid w:val="00727031"/>
    <w:rsid w:val="00727325"/>
    <w:rsid w:val="0072757C"/>
    <w:rsid w:val="00727683"/>
    <w:rsid w:val="0072780A"/>
    <w:rsid w:val="00727820"/>
    <w:rsid w:val="00727AF2"/>
    <w:rsid w:val="00727D92"/>
    <w:rsid w:val="007301D2"/>
    <w:rsid w:val="00730277"/>
    <w:rsid w:val="007303F7"/>
    <w:rsid w:val="007305FC"/>
    <w:rsid w:val="00730655"/>
    <w:rsid w:val="007307AF"/>
    <w:rsid w:val="007307E4"/>
    <w:rsid w:val="007309DD"/>
    <w:rsid w:val="00730ADF"/>
    <w:rsid w:val="00730C2F"/>
    <w:rsid w:val="00730FAB"/>
    <w:rsid w:val="00731010"/>
    <w:rsid w:val="00731576"/>
    <w:rsid w:val="0073163C"/>
    <w:rsid w:val="00731711"/>
    <w:rsid w:val="00731759"/>
    <w:rsid w:val="00731760"/>
    <w:rsid w:val="00731861"/>
    <w:rsid w:val="00731E21"/>
    <w:rsid w:val="007320F3"/>
    <w:rsid w:val="007323AD"/>
    <w:rsid w:val="00732410"/>
    <w:rsid w:val="0073249D"/>
    <w:rsid w:val="00732626"/>
    <w:rsid w:val="00732922"/>
    <w:rsid w:val="00732AEB"/>
    <w:rsid w:val="00732B45"/>
    <w:rsid w:val="00732CC5"/>
    <w:rsid w:val="00732F02"/>
    <w:rsid w:val="00732F9C"/>
    <w:rsid w:val="0073302A"/>
    <w:rsid w:val="007331B1"/>
    <w:rsid w:val="007331D1"/>
    <w:rsid w:val="00733254"/>
    <w:rsid w:val="00733365"/>
    <w:rsid w:val="00733428"/>
    <w:rsid w:val="0073352C"/>
    <w:rsid w:val="0073385A"/>
    <w:rsid w:val="00733A06"/>
    <w:rsid w:val="00733AEC"/>
    <w:rsid w:val="00733EDB"/>
    <w:rsid w:val="00733F42"/>
    <w:rsid w:val="00733FA1"/>
    <w:rsid w:val="00734032"/>
    <w:rsid w:val="00734207"/>
    <w:rsid w:val="00734419"/>
    <w:rsid w:val="007345B5"/>
    <w:rsid w:val="007349A1"/>
    <w:rsid w:val="00734AFB"/>
    <w:rsid w:val="00734B67"/>
    <w:rsid w:val="00734C51"/>
    <w:rsid w:val="00734FBB"/>
    <w:rsid w:val="00735439"/>
    <w:rsid w:val="0073554F"/>
    <w:rsid w:val="007356EB"/>
    <w:rsid w:val="00735770"/>
    <w:rsid w:val="00735798"/>
    <w:rsid w:val="007357EF"/>
    <w:rsid w:val="00735D0E"/>
    <w:rsid w:val="00735ECA"/>
    <w:rsid w:val="00736004"/>
    <w:rsid w:val="007361F1"/>
    <w:rsid w:val="00736269"/>
    <w:rsid w:val="0073644B"/>
    <w:rsid w:val="007365E5"/>
    <w:rsid w:val="00736664"/>
    <w:rsid w:val="007366E4"/>
    <w:rsid w:val="00736754"/>
    <w:rsid w:val="007369BB"/>
    <w:rsid w:val="00736AE0"/>
    <w:rsid w:val="00736B4D"/>
    <w:rsid w:val="00736CE1"/>
    <w:rsid w:val="00736FFB"/>
    <w:rsid w:val="0073705D"/>
    <w:rsid w:val="0073741F"/>
    <w:rsid w:val="0073747A"/>
    <w:rsid w:val="007375E7"/>
    <w:rsid w:val="00737788"/>
    <w:rsid w:val="00737926"/>
    <w:rsid w:val="0073794D"/>
    <w:rsid w:val="00737D4F"/>
    <w:rsid w:val="00737DC2"/>
    <w:rsid w:val="00737F3B"/>
    <w:rsid w:val="007405C5"/>
    <w:rsid w:val="007405CB"/>
    <w:rsid w:val="007406D8"/>
    <w:rsid w:val="0074073F"/>
    <w:rsid w:val="007409DC"/>
    <w:rsid w:val="00740B25"/>
    <w:rsid w:val="00740EB1"/>
    <w:rsid w:val="00741270"/>
    <w:rsid w:val="00741390"/>
    <w:rsid w:val="0074141D"/>
    <w:rsid w:val="00741529"/>
    <w:rsid w:val="007415FC"/>
    <w:rsid w:val="00741644"/>
    <w:rsid w:val="00741679"/>
    <w:rsid w:val="007418D4"/>
    <w:rsid w:val="00741D17"/>
    <w:rsid w:val="00741DE0"/>
    <w:rsid w:val="0074205B"/>
    <w:rsid w:val="007421A9"/>
    <w:rsid w:val="00742387"/>
    <w:rsid w:val="0074240C"/>
    <w:rsid w:val="0074241C"/>
    <w:rsid w:val="00742472"/>
    <w:rsid w:val="00742483"/>
    <w:rsid w:val="00742FE6"/>
    <w:rsid w:val="00743482"/>
    <w:rsid w:val="00743782"/>
    <w:rsid w:val="00743960"/>
    <w:rsid w:val="00743A0B"/>
    <w:rsid w:val="00743CFE"/>
    <w:rsid w:val="00743DAE"/>
    <w:rsid w:val="00743FC3"/>
    <w:rsid w:val="0074417B"/>
    <w:rsid w:val="00744377"/>
    <w:rsid w:val="00744383"/>
    <w:rsid w:val="00744990"/>
    <w:rsid w:val="00744A16"/>
    <w:rsid w:val="00744A6B"/>
    <w:rsid w:val="00744AB1"/>
    <w:rsid w:val="00744B9E"/>
    <w:rsid w:val="00744E62"/>
    <w:rsid w:val="00744EEC"/>
    <w:rsid w:val="00744F06"/>
    <w:rsid w:val="007450D7"/>
    <w:rsid w:val="00745147"/>
    <w:rsid w:val="00745235"/>
    <w:rsid w:val="00745259"/>
    <w:rsid w:val="007452F2"/>
    <w:rsid w:val="0074530A"/>
    <w:rsid w:val="00745335"/>
    <w:rsid w:val="007458A1"/>
    <w:rsid w:val="00745AA2"/>
    <w:rsid w:val="00745C14"/>
    <w:rsid w:val="00745D39"/>
    <w:rsid w:val="007461E1"/>
    <w:rsid w:val="00746280"/>
    <w:rsid w:val="00746474"/>
    <w:rsid w:val="00746500"/>
    <w:rsid w:val="00746515"/>
    <w:rsid w:val="007465E9"/>
    <w:rsid w:val="007469C6"/>
    <w:rsid w:val="00746C03"/>
    <w:rsid w:val="00746C6E"/>
    <w:rsid w:val="00746E19"/>
    <w:rsid w:val="0074706E"/>
    <w:rsid w:val="0074713A"/>
    <w:rsid w:val="0074725D"/>
    <w:rsid w:val="0074799E"/>
    <w:rsid w:val="007479D4"/>
    <w:rsid w:val="00747CC8"/>
    <w:rsid w:val="00747D34"/>
    <w:rsid w:val="007500B1"/>
    <w:rsid w:val="00750185"/>
    <w:rsid w:val="00750376"/>
    <w:rsid w:val="007505F5"/>
    <w:rsid w:val="00750760"/>
    <w:rsid w:val="007507EC"/>
    <w:rsid w:val="00750B25"/>
    <w:rsid w:val="00750CAA"/>
    <w:rsid w:val="00750FEB"/>
    <w:rsid w:val="007513FD"/>
    <w:rsid w:val="00751439"/>
    <w:rsid w:val="007517E0"/>
    <w:rsid w:val="00751994"/>
    <w:rsid w:val="00751A07"/>
    <w:rsid w:val="00751FCC"/>
    <w:rsid w:val="007524AA"/>
    <w:rsid w:val="00752539"/>
    <w:rsid w:val="007525A8"/>
    <w:rsid w:val="007527ED"/>
    <w:rsid w:val="00752D5F"/>
    <w:rsid w:val="00752E4B"/>
    <w:rsid w:val="00752FC2"/>
    <w:rsid w:val="0075319F"/>
    <w:rsid w:val="007535DC"/>
    <w:rsid w:val="0075368F"/>
    <w:rsid w:val="007538CE"/>
    <w:rsid w:val="00753AA3"/>
    <w:rsid w:val="00753B8F"/>
    <w:rsid w:val="00753C97"/>
    <w:rsid w:val="00753E95"/>
    <w:rsid w:val="00754150"/>
    <w:rsid w:val="0075420F"/>
    <w:rsid w:val="007543B6"/>
    <w:rsid w:val="0075440D"/>
    <w:rsid w:val="00754585"/>
    <w:rsid w:val="007545C4"/>
    <w:rsid w:val="007547A5"/>
    <w:rsid w:val="0075485C"/>
    <w:rsid w:val="00754D2F"/>
    <w:rsid w:val="00754FE4"/>
    <w:rsid w:val="00755479"/>
    <w:rsid w:val="007554ED"/>
    <w:rsid w:val="0075561E"/>
    <w:rsid w:val="007558C9"/>
    <w:rsid w:val="00755BC2"/>
    <w:rsid w:val="00755FF3"/>
    <w:rsid w:val="0075609C"/>
    <w:rsid w:val="007562AD"/>
    <w:rsid w:val="00756605"/>
    <w:rsid w:val="00756862"/>
    <w:rsid w:val="00756A77"/>
    <w:rsid w:val="00756B57"/>
    <w:rsid w:val="00756DCB"/>
    <w:rsid w:val="007571C6"/>
    <w:rsid w:val="00757664"/>
    <w:rsid w:val="0075769E"/>
    <w:rsid w:val="007576F8"/>
    <w:rsid w:val="007577AB"/>
    <w:rsid w:val="0075796E"/>
    <w:rsid w:val="007579F9"/>
    <w:rsid w:val="00760011"/>
    <w:rsid w:val="00760051"/>
    <w:rsid w:val="007600AE"/>
    <w:rsid w:val="0076016A"/>
    <w:rsid w:val="007602B7"/>
    <w:rsid w:val="00760575"/>
    <w:rsid w:val="007608AA"/>
    <w:rsid w:val="007609D6"/>
    <w:rsid w:val="00760E04"/>
    <w:rsid w:val="00760FAD"/>
    <w:rsid w:val="007610C3"/>
    <w:rsid w:val="0076110F"/>
    <w:rsid w:val="00761287"/>
    <w:rsid w:val="007612BE"/>
    <w:rsid w:val="007613D4"/>
    <w:rsid w:val="007614F0"/>
    <w:rsid w:val="00761697"/>
    <w:rsid w:val="00761883"/>
    <w:rsid w:val="007619BF"/>
    <w:rsid w:val="00761A46"/>
    <w:rsid w:val="00761AC4"/>
    <w:rsid w:val="00761ADF"/>
    <w:rsid w:val="00761C37"/>
    <w:rsid w:val="00761CC3"/>
    <w:rsid w:val="00762199"/>
    <w:rsid w:val="00762787"/>
    <w:rsid w:val="0076292C"/>
    <w:rsid w:val="00762A78"/>
    <w:rsid w:val="00762B7C"/>
    <w:rsid w:val="00762E09"/>
    <w:rsid w:val="00762E43"/>
    <w:rsid w:val="00762F3F"/>
    <w:rsid w:val="00762F5B"/>
    <w:rsid w:val="00762F7B"/>
    <w:rsid w:val="0076301B"/>
    <w:rsid w:val="00763041"/>
    <w:rsid w:val="0076308D"/>
    <w:rsid w:val="0076361A"/>
    <w:rsid w:val="00763762"/>
    <w:rsid w:val="00763797"/>
    <w:rsid w:val="00763B52"/>
    <w:rsid w:val="00763BD0"/>
    <w:rsid w:val="00763C7D"/>
    <w:rsid w:val="00763E65"/>
    <w:rsid w:val="00763E69"/>
    <w:rsid w:val="00764029"/>
    <w:rsid w:val="0076403D"/>
    <w:rsid w:val="00764198"/>
    <w:rsid w:val="0076434B"/>
    <w:rsid w:val="00764753"/>
    <w:rsid w:val="00764849"/>
    <w:rsid w:val="00764865"/>
    <w:rsid w:val="00764A15"/>
    <w:rsid w:val="00764A48"/>
    <w:rsid w:val="00764A6B"/>
    <w:rsid w:val="00764A8A"/>
    <w:rsid w:val="00764D1E"/>
    <w:rsid w:val="00764D55"/>
    <w:rsid w:val="00764E81"/>
    <w:rsid w:val="00764F14"/>
    <w:rsid w:val="00764FAD"/>
    <w:rsid w:val="00764FC3"/>
    <w:rsid w:val="00765001"/>
    <w:rsid w:val="0076502E"/>
    <w:rsid w:val="00765113"/>
    <w:rsid w:val="00765173"/>
    <w:rsid w:val="00765350"/>
    <w:rsid w:val="0076564A"/>
    <w:rsid w:val="00765A74"/>
    <w:rsid w:val="00765D6E"/>
    <w:rsid w:val="00765D8F"/>
    <w:rsid w:val="00765FE0"/>
    <w:rsid w:val="007661A7"/>
    <w:rsid w:val="0076670B"/>
    <w:rsid w:val="00766791"/>
    <w:rsid w:val="007667C3"/>
    <w:rsid w:val="0076689F"/>
    <w:rsid w:val="00766A53"/>
    <w:rsid w:val="00766B7B"/>
    <w:rsid w:val="00766D27"/>
    <w:rsid w:val="00766D3C"/>
    <w:rsid w:val="00766D97"/>
    <w:rsid w:val="00767082"/>
    <w:rsid w:val="00767163"/>
    <w:rsid w:val="007671C4"/>
    <w:rsid w:val="0076736D"/>
    <w:rsid w:val="007679F6"/>
    <w:rsid w:val="00767B3F"/>
    <w:rsid w:val="00767E3F"/>
    <w:rsid w:val="00767E5F"/>
    <w:rsid w:val="00767ECE"/>
    <w:rsid w:val="00770016"/>
    <w:rsid w:val="00770092"/>
    <w:rsid w:val="00770139"/>
    <w:rsid w:val="0077039A"/>
    <w:rsid w:val="00770434"/>
    <w:rsid w:val="00770795"/>
    <w:rsid w:val="00770879"/>
    <w:rsid w:val="0077088E"/>
    <w:rsid w:val="0077091A"/>
    <w:rsid w:val="00770AE1"/>
    <w:rsid w:val="00770BA5"/>
    <w:rsid w:val="00770BAF"/>
    <w:rsid w:val="00770D29"/>
    <w:rsid w:val="00770DC2"/>
    <w:rsid w:val="00770F16"/>
    <w:rsid w:val="00770F7E"/>
    <w:rsid w:val="007710B3"/>
    <w:rsid w:val="007710E3"/>
    <w:rsid w:val="007710E9"/>
    <w:rsid w:val="007715C2"/>
    <w:rsid w:val="007715F3"/>
    <w:rsid w:val="00771660"/>
    <w:rsid w:val="0077168A"/>
    <w:rsid w:val="0077192E"/>
    <w:rsid w:val="00771A8D"/>
    <w:rsid w:val="00771B69"/>
    <w:rsid w:val="00771BCB"/>
    <w:rsid w:val="00771BD9"/>
    <w:rsid w:val="00771EBC"/>
    <w:rsid w:val="007720BB"/>
    <w:rsid w:val="00772768"/>
    <w:rsid w:val="007727C3"/>
    <w:rsid w:val="007728E1"/>
    <w:rsid w:val="00772D22"/>
    <w:rsid w:val="00773075"/>
    <w:rsid w:val="007733F7"/>
    <w:rsid w:val="007735F6"/>
    <w:rsid w:val="00773660"/>
    <w:rsid w:val="00773725"/>
    <w:rsid w:val="007737EA"/>
    <w:rsid w:val="00773BD5"/>
    <w:rsid w:val="00773E81"/>
    <w:rsid w:val="0077400E"/>
    <w:rsid w:val="00774087"/>
    <w:rsid w:val="00774204"/>
    <w:rsid w:val="00774319"/>
    <w:rsid w:val="00774362"/>
    <w:rsid w:val="007747A4"/>
    <w:rsid w:val="0077487A"/>
    <w:rsid w:val="0077487D"/>
    <w:rsid w:val="00774A44"/>
    <w:rsid w:val="00774B30"/>
    <w:rsid w:val="00774C04"/>
    <w:rsid w:val="00774FE9"/>
    <w:rsid w:val="007750F3"/>
    <w:rsid w:val="007751A0"/>
    <w:rsid w:val="007751D4"/>
    <w:rsid w:val="0077538E"/>
    <w:rsid w:val="007754D6"/>
    <w:rsid w:val="007756CB"/>
    <w:rsid w:val="007757D2"/>
    <w:rsid w:val="007758AB"/>
    <w:rsid w:val="00775910"/>
    <w:rsid w:val="00775948"/>
    <w:rsid w:val="0077597C"/>
    <w:rsid w:val="00775997"/>
    <w:rsid w:val="00775B4B"/>
    <w:rsid w:val="00775C0E"/>
    <w:rsid w:val="00775CA7"/>
    <w:rsid w:val="00775D95"/>
    <w:rsid w:val="00775E9D"/>
    <w:rsid w:val="00775EC1"/>
    <w:rsid w:val="0077608A"/>
    <w:rsid w:val="0077610D"/>
    <w:rsid w:val="0077629D"/>
    <w:rsid w:val="007762A6"/>
    <w:rsid w:val="00776434"/>
    <w:rsid w:val="007766A9"/>
    <w:rsid w:val="00776B9A"/>
    <w:rsid w:val="00776B9F"/>
    <w:rsid w:val="00776C0B"/>
    <w:rsid w:val="00776C34"/>
    <w:rsid w:val="00776C83"/>
    <w:rsid w:val="00776D18"/>
    <w:rsid w:val="00777C82"/>
    <w:rsid w:val="00777DD5"/>
    <w:rsid w:val="00777F90"/>
    <w:rsid w:val="00777FC2"/>
    <w:rsid w:val="007803E7"/>
    <w:rsid w:val="00780797"/>
    <w:rsid w:val="0078099E"/>
    <w:rsid w:val="00780BFE"/>
    <w:rsid w:val="00780CC4"/>
    <w:rsid w:val="007811F0"/>
    <w:rsid w:val="0078120F"/>
    <w:rsid w:val="007812C1"/>
    <w:rsid w:val="00781343"/>
    <w:rsid w:val="0078134F"/>
    <w:rsid w:val="00781422"/>
    <w:rsid w:val="007816EC"/>
    <w:rsid w:val="007818AD"/>
    <w:rsid w:val="00781F05"/>
    <w:rsid w:val="00781FC0"/>
    <w:rsid w:val="00782063"/>
    <w:rsid w:val="00782244"/>
    <w:rsid w:val="00782255"/>
    <w:rsid w:val="007823E2"/>
    <w:rsid w:val="007823EE"/>
    <w:rsid w:val="0078245B"/>
    <w:rsid w:val="007824D9"/>
    <w:rsid w:val="007825C5"/>
    <w:rsid w:val="007827C5"/>
    <w:rsid w:val="0078283A"/>
    <w:rsid w:val="00782934"/>
    <w:rsid w:val="00782975"/>
    <w:rsid w:val="00782A75"/>
    <w:rsid w:val="00782CBF"/>
    <w:rsid w:val="00782EDA"/>
    <w:rsid w:val="00782EE1"/>
    <w:rsid w:val="00782F6A"/>
    <w:rsid w:val="00783002"/>
    <w:rsid w:val="007830CD"/>
    <w:rsid w:val="00783430"/>
    <w:rsid w:val="0078364F"/>
    <w:rsid w:val="00783A89"/>
    <w:rsid w:val="00783BF2"/>
    <w:rsid w:val="00783D95"/>
    <w:rsid w:val="00784167"/>
    <w:rsid w:val="007841DF"/>
    <w:rsid w:val="007842D2"/>
    <w:rsid w:val="007843F3"/>
    <w:rsid w:val="007844AE"/>
    <w:rsid w:val="0078457B"/>
    <w:rsid w:val="0078482B"/>
    <w:rsid w:val="00784864"/>
    <w:rsid w:val="0078487A"/>
    <w:rsid w:val="007848A1"/>
    <w:rsid w:val="00784959"/>
    <w:rsid w:val="007849EF"/>
    <w:rsid w:val="00784C91"/>
    <w:rsid w:val="00784FEE"/>
    <w:rsid w:val="007853B1"/>
    <w:rsid w:val="00785519"/>
    <w:rsid w:val="00785933"/>
    <w:rsid w:val="00785A0D"/>
    <w:rsid w:val="00785A4C"/>
    <w:rsid w:val="00785F94"/>
    <w:rsid w:val="0078615B"/>
    <w:rsid w:val="00786327"/>
    <w:rsid w:val="00786611"/>
    <w:rsid w:val="007867A5"/>
    <w:rsid w:val="0078694B"/>
    <w:rsid w:val="00786AC3"/>
    <w:rsid w:val="00786D01"/>
    <w:rsid w:val="00786F88"/>
    <w:rsid w:val="00787245"/>
    <w:rsid w:val="0078727B"/>
    <w:rsid w:val="007872F8"/>
    <w:rsid w:val="00787330"/>
    <w:rsid w:val="00787349"/>
    <w:rsid w:val="00787414"/>
    <w:rsid w:val="00787615"/>
    <w:rsid w:val="00787793"/>
    <w:rsid w:val="00787841"/>
    <w:rsid w:val="007879BE"/>
    <w:rsid w:val="00787A2A"/>
    <w:rsid w:val="00787DA9"/>
    <w:rsid w:val="00787DEF"/>
    <w:rsid w:val="007900D9"/>
    <w:rsid w:val="00790581"/>
    <w:rsid w:val="0079098E"/>
    <w:rsid w:val="007909FC"/>
    <w:rsid w:val="00790AB6"/>
    <w:rsid w:val="00790B80"/>
    <w:rsid w:val="00790D5C"/>
    <w:rsid w:val="00790D7E"/>
    <w:rsid w:val="0079129B"/>
    <w:rsid w:val="007912FF"/>
    <w:rsid w:val="00791A71"/>
    <w:rsid w:val="00791DB2"/>
    <w:rsid w:val="00791E0A"/>
    <w:rsid w:val="00791FFF"/>
    <w:rsid w:val="007920A7"/>
    <w:rsid w:val="00792489"/>
    <w:rsid w:val="00792898"/>
    <w:rsid w:val="00792A29"/>
    <w:rsid w:val="00792A53"/>
    <w:rsid w:val="00792B45"/>
    <w:rsid w:val="00792EB6"/>
    <w:rsid w:val="00792EDE"/>
    <w:rsid w:val="00793092"/>
    <w:rsid w:val="00793097"/>
    <w:rsid w:val="00793124"/>
    <w:rsid w:val="0079320D"/>
    <w:rsid w:val="00793216"/>
    <w:rsid w:val="007934B8"/>
    <w:rsid w:val="00793672"/>
    <w:rsid w:val="00793778"/>
    <w:rsid w:val="007939A7"/>
    <w:rsid w:val="00793D24"/>
    <w:rsid w:val="00793DE3"/>
    <w:rsid w:val="00793E8F"/>
    <w:rsid w:val="00793F51"/>
    <w:rsid w:val="007942C9"/>
    <w:rsid w:val="007943CF"/>
    <w:rsid w:val="00794513"/>
    <w:rsid w:val="007945D0"/>
    <w:rsid w:val="0079469F"/>
    <w:rsid w:val="007946E8"/>
    <w:rsid w:val="0079477B"/>
    <w:rsid w:val="007947CD"/>
    <w:rsid w:val="007947DF"/>
    <w:rsid w:val="00794839"/>
    <w:rsid w:val="007949CD"/>
    <w:rsid w:val="007949DA"/>
    <w:rsid w:val="00794D35"/>
    <w:rsid w:val="00794D3C"/>
    <w:rsid w:val="007951BA"/>
    <w:rsid w:val="007954C2"/>
    <w:rsid w:val="00795675"/>
    <w:rsid w:val="0079568C"/>
    <w:rsid w:val="0079576E"/>
    <w:rsid w:val="007957D7"/>
    <w:rsid w:val="007957DF"/>
    <w:rsid w:val="00795854"/>
    <w:rsid w:val="00795898"/>
    <w:rsid w:val="00795999"/>
    <w:rsid w:val="00795C41"/>
    <w:rsid w:val="00795DED"/>
    <w:rsid w:val="00795FA2"/>
    <w:rsid w:val="007960F6"/>
    <w:rsid w:val="0079628B"/>
    <w:rsid w:val="00796664"/>
    <w:rsid w:val="00796902"/>
    <w:rsid w:val="0079699B"/>
    <w:rsid w:val="00796B3E"/>
    <w:rsid w:val="00796F21"/>
    <w:rsid w:val="00797003"/>
    <w:rsid w:val="00797330"/>
    <w:rsid w:val="007974CC"/>
    <w:rsid w:val="007977FE"/>
    <w:rsid w:val="0079784A"/>
    <w:rsid w:val="007978DF"/>
    <w:rsid w:val="00797902"/>
    <w:rsid w:val="00797A40"/>
    <w:rsid w:val="00797BFF"/>
    <w:rsid w:val="00797C47"/>
    <w:rsid w:val="00797C8F"/>
    <w:rsid w:val="00797D5A"/>
    <w:rsid w:val="007A00C3"/>
    <w:rsid w:val="007A0288"/>
    <w:rsid w:val="007A02D7"/>
    <w:rsid w:val="007A0474"/>
    <w:rsid w:val="007A0751"/>
    <w:rsid w:val="007A0969"/>
    <w:rsid w:val="007A09E1"/>
    <w:rsid w:val="007A0BBC"/>
    <w:rsid w:val="007A0C4D"/>
    <w:rsid w:val="007A0CE0"/>
    <w:rsid w:val="007A0F9E"/>
    <w:rsid w:val="007A1512"/>
    <w:rsid w:val="007A15DC"/>
    <w:rsid w:val="007A1724"/>
    <w:rsid w:val="007A182C"/>
    <w:rsid w:val="007A1A24"/>
    <w:rsid w:val="007A1A47"/>
    <w:rsid w:val="007A1A53"/>
    <w:rsid w:val="007A1A5E"/>
    <w:rsid w:val="007A23AB"/>
    <w:rsid w:val="007A25D4"/>
    <w:rsid w:val="007A261B"/>
    <w:rsid w:val="007A2668"/>
    <w:rsid w:val="007A2C12"/>
    <w:rsid w:val="007A2D2C"/>
    <w:rsid w:val="007A2DC5"/>
    <w:rsid w:val="007A2E4E"/>
    <w:rsid w:val="007A30ED"/>
    <w:rsid w:val="007A315A"/>
    <w:rsid w:val="007A31D8"/>
    <w:rsid w:val="007A354D"/>
    <w:rsid w:val="007A36C9"/>
    <w:rsid w:val="007A37F0"/>
    <w:rsid w:val="007A3853"/>
    <w:rsid w:val="007A3A6A"/>
    <w:rsid w:val="007A3AB8"/>
    <w:rsid w:val="007A3ABF"/>
    <w:rsid w:val="007A3BDA"/>
    <w:rsid w:val="007A3D51"/>
    <w:rsid w:val="007A3DC2"/>
    <w:rsid w:val="007A3E98"/>
    <w:rsid w:val="007A4029"/>
    <w:rsid w:val="007A41F1"/>
    <w:rsid w:val="007A43D4"/>
    <w:rsid w:val="007A43F2"/>
    <w:rsid w:val="007A4B68"/>
    <w:rsid w:val="007A4C2A"/>
    <w:rsid w:val="007A4F08"/>
    <w:rsid w:val="007A5819"/>
    <w:rsid w:val="007A5830"/>
    <w:rsid w:val="007A58A3"/>
    <w:rsid w:val="007A5C16"/>
    <w:rsid w:val="007A5DBB"/>
    <w:rsid w:val="007A5E52"/>
    <w:rsid w:val="007A62A9"/>
    <w:rsid w:val="007A6306"/>
    <w:rsid w:val="007A6356"/>
    <w:rsid w:val="007A6377"/>
    <w:rsid w:val="007A655C"/>
    <w:rsid w:val="007A656E"/>
    <w:rsid w:val="007A662A"/>
    <w:rsid w:val="007A6856"/>
    <w:rsid w:val="007A69C7"/>
    <w:rsid w:val="007A6A23"/>
    <w:rsid w:val="007A6A38"/>
    <w:rsid w:val="007A6A72"/>
    <w:rsid w:val="007A6C49"/>
    <w:rsid w:val="007A6D4C"/>
    <w:rsid w:val="007A6DC5"/>
    <w:rsid w:val="007A70BD"/>
    <w:rsid w:val="007A7144"/>
    <w:rsid w:val="007A7166"/>
    <w:rsid w:val="007A71FB"/>
    <w:rsid w:val="007A7230"/>
    <w:rsid w:val="007A733A"/>
    <w:rsid w:val="007A7591"/>
    <w:rsid w:val="007A7966"/>
    <w:rsid w:val="007A79BD"/>
    <w:rsid w:val="007A7A48"/>
    <w:rsid w:val="007A7BFD"/>
    <w:rsid w:val="007A7C8F"/>
    <w:rsid w:val="007A7CD4"/>
    <w:rsid w:val="007B001A"/>
    <w:rsid w:val="007B0119"/>
    <w:rsid w:val="007B01AD"/>
    <w:rsid w:val="007B01B0"/>
    <w:rsid w:val="007B01CC"/>
    <w:rsid w:val="007B0243"/>
    <w:rsid w:val="007B02DC"/>
    <w:rsid w:val="007B02E9"/>
    <w:rsid w:val="007B03BF"/>
    <w:rsid w:val="007B0410"/>
    <w:rsid w:val="007B0603"/>
    <w:rsid w:val="007B0B4C"/>
    <w:rsid w:val="007B0B94"/>
    <w:rsid w:val="007B0C5D"/>
    <w:rsid w:val="007B0CDD"/>
    <w:rsid w:val="007B0D4B"/>
    <w:rsid w:val="007B0E06"/>
    <w:rsid w:val="007B0FEB"/>
    <w:rsid w:val="007B1095"/>
    <w:rsid w:val="007B112C"/>
    <w:rsid w:val="007B1475"/>
    <w:rsid w:val="007B1544"/>
    <w:rsid w:val="007B185A"/>
    <w:rsid w:val="007B1909"/>
    <w:rsid w:val="007B1B43"/>
    <w:rsid w:val="007B1B75"/>
    <w:rsid w:val="007B1C13"/>
    <w:rsid w:val="007B1DAF"/>
    <w:rsid w:val="007B1E64"/>
    <w:rsid w:val="007B1F1A"/>
    <w:rsid w:val="007B2208"/>
    <w:rsid w:val="007B22DE"/>
    <w:rsid w:val="007B2405"/>
    <w:rsid w:val="007B262A"/>
    <w:rsid w:val="007B274A"/>
    <w:rsid w:val="007B28A9"/>
    <w:rsid w:val="007B2A19"/>
    <w:rsid w:val="007B2A8B"/>
    <w:rsid w:val="007B2CB6"/>
    <w:rsid w:val="007B2D9F"/>
    <w:rsid w:val="007B2E68"/>
    <w:rsid w:val="007B2EEE"/>
    <w:rsid w:val="007B3144"/>
    <w:rsid w:val="007B31CF"/>
    <w:rsid w:val="007B3787"/>
    <w:rsid w:val="007B3935"/>
    <w:rsid w:val="007B3996"/>
    <w:rsid w:val="007B3AFC"/>
    <w:rsid w:val="007B3BDF"/>
    <w:rsid w:val="007B3D93"/>
    <w:rsid w:val="007B3DB5"/>
    <w:rsid w:val="007B4224"/>
    <w:rsid w:val="007B495E"/>
    <w:rsid w:val="007B4B56"/>
    <w:rsid w:val="007B4B99"/>
    <w:rsid w:val="007B4C13"/>
    <w:rsid w:val="007B4D72"/>
    <w:rsid w:val="007B4F33"/>
    <w:rsid w:val="007B5380"/>
    <w:rsid w:val="007B53CA"/>
    <w:rsid w:val="007B53F3"/>
    <w:rsid w:val="007B54D2"/>
    <w:rsid w:val="007B553C"/>
    <w:rsid w:val="007B553F"/>
    <w:rsid w:val="007B5560"/>
    <w:rsid w:val="007B560C"/>
    <w:rsid w:val="007B5725"/>
    <w:rsid w:val="007B5AF0"/>
    <w:rsid w:val="007B5C4D"/>
    <w:rsid w:val="007B5CE1"/>
    <w:rsid w:val="007B5EEA"/>
    <w:rsid w:val="007B5F75"/>
    <w:rsid w:val="007B5F80"/>
    <w:rsid w:val="007B5FD4"/>
    <w:rsid w:val="007B614D"/>
    <w:rsid w:val="007B617A"/>
    <w:rsid w:val="007B62D8"/>
    <w:rsid w:val="007B6338"/>
    <w:rsid w:val="007B63F7"/>
    <w:rsid w:val="007B64F9"/>
    <w:rsid w:val="007B658F"/>
    <w:rsid w:val="007B67C5"/>
    <w:rsid w:val="007B67FF"/>
    <w:rsid w:val="007B6917"/>
    <w:rsid w:val="007B6ACF"/>
    <w:rsid w:val="007B6C72"/>
    <w:rsid w:val="007B6D45"/>
    <w:rsid w:val="007B6D84"/>
    <w:rsid w:val="007B6DB1"/>
    <w:rsid w:val="007B700F"/>
    <w:rsid w:val="007B727C"/>
    <w:rsid w:val="007B73C2"/>
    <w:rsid w:val="007B73D3"/>
    <w:rsid w:val="007B73D8"/>
    <w:rsid w:val="007B76CD"/>
    <w:rsid w:val="007B787A"/>
    <w:rsid w:val="007B7B49"/>
    <w:rsid w:val="007B7D7F"/>
    <w:rsid w:val="007C01F9"/>
    <w:rsid w:val="007C0302"/>
    <w:rsid w:val="007C0315"/>
    <w:rsid w:val="007C0322"/>
    <w:rsid w:val="007C076F"/>
    <w:rsid w:val="007C07E7"/>
    <w:rsid w:val="007C091B"/>
    <w:rsid w:val="007C091C"/>
    <w:rsid w:val="007C0D0E"/>
    <w:rsid w:val="007C0DAA"/>
    <w:rsid w:val="007C0EEE"/>
    <w:rsid w:val="007C108E"/>
    <w:rsid w:val="007C1205"/>
    <w:rsid w:val="007C136B"/>
    <w:rsid w:val="007C13A2"/>
    <w:rsid w:val="007C142C"/>
    <w:rsid w:val="007C148E"/>
    <w:rsid w:val="007C1566"/>
    <w:rsid w:val="007C158E"/>
    <w:rsid w:val="007C15D7"/>
    <w:rsid w:val="007C1B56"/>
    <w:rsid w:val="007C1C12"/>
    <w:rsid w:val="007C1E04"/>
    <w:rsid w:val="007C220D"/>
    <w:rsid w:val="007C22DA"/>
    <w:rsid w:val="007C24CA"/>
    <w:rsid w:val="007C2583"/>
    <w:rsid w:val="007C2800"/>
    <w:rsid w:val="007C284A"/>
    <w:rsid w:val="007C297B"/>
    <w:rsid w:val="007C2B02"/>
    <w:rsid w:val="007C2B29"/>
    <w:rsid w:val="007C2D64"/>
    <w:rsid w:val="007C2F11"/>
    <w:rsid w:val="007C3006"/>
    <w:rsid w:val="007C3129"/>
    <w:rsid w:val="007C3136"/>
    <w:rsid w:val="007C318D"/>
    <w:rsid w:val="007C31AC"/>
    <w:rsid w:val="007C3285"/>
    <w:rsid w:val="007C32A2"/>
    <w:rsid w:val="007C32E7"/>
    <w:rsid w:val="007C3532"/>
    <w:rsid w:val="007C358E"/>
    <w:rsid w:val="007C361D"/>
    <w:rsid w:val="007C376E"/>
    <w:rsid w:val="007C387C"/>
    <w:rsid w:val="007C3A07"/>
    <w:rsid w:val="007C3C41"/>
    <w:rsid w:val="007C4316"/>
    <w:rsid w:val="007C4346"/>
    <w:rsid w:val="007C45DD"/>
    <w:rsid w:val="007C494D"/>
    <w:rsid w:val="007C4A6D"/>
    <w:rsid w:val="007C4B18"/>
    <w:rsid w:val="007C4DC4"/>
    <w:rsid w:val="007C5132"/>
    <w:rsid w:val="007C51EB"/>
    <w:rsid w:val="007C541B"/>
    <w:rsid w:val="007C5707"/>
    <w:rsid w:val="007C590B"/>
    <w:rsid w:val="007C5972"/>
    <w:rsid w:val="007C5B95"/>
    <w:rsid w:val="007C5C1B"/>
    <w:rsid w:val="007C5C79"/>
    <w:rsid w:val="007C5CB2"/>
    <w:rsid w:val="007C5D47"/>
    <w:rsid w:val="007C5DD9"/>
    <w:rsid w:val="007C5E6B"/>
    <w:rsid w:val="007C5E9C"/>
    <w:rsid w:val="007C5FB3"/>
    <w:rsid w:val="007C605A"/>
    <w:rsid w:val="007C654E"/>
    <w:rsid w:val="007C6676"/>
    <w:rsid w:val="007C6749"/>
    <w:rsid w:val="007C6905"/>
    <w:rsid w:val="007C6B89"/>
    <w:rsid w:val="007C6BB9"/>
    <w:rsid w:val="007C6C86"/>
    <w:rsid w:val="007C6D1D"/>
    <w:rsid w:val="007C6D1E"/>
    <w:rsid w:val="007C6ED1"/>
    <w:rsid w:val="007C6F62"/>
    <w:rsid w:val="007C71AD"/>
    <w:rsid w:val="007C774C"/>
    <w:rsid w:val="007C7A1C"/>
    <w:rsid w:val="007C7E76"/>
    <w:rsid w:val="007C7EF7"/>
    <w:rsid w:val="007C7F96"/>
    <w:rsid w:val="007D029C"/>
    <w:rsid w:val="007D0385"/>
    <w:rsid w:val="007D0661"/>
    <w:rsid w:val="007D06C3"/>
    <w:rsid w:val="007D0736"/>
    <w:rsid w:val="007D0972"/>
    <w:rsid w:val="007D0B0D"/>
    <w:rsid w:val="007D0BA1"/>
    <w:rsid w:val="007D0BAA"/>
    <w:rsid w:val="007D0D4E"/>
    <w:rsid w:val="007D16AA"/>
    <w:rsid w:val="007D17DC"/>
    <w:rsid w:val="007D1D6B"/>
    <w:rsid w:val="007D20D4"/>
    <w:rsid w:val="007D210E"/>
    <w:rsid w:val="007D24FD"/>
    <w:rsid w:val="007D2626"/>
    <w:rsid w:val="007D267C"/>
    <w:rsid w:val="007D2705"/>
    <w:rsid w:val="007D281E"/>
    <w:rsid w:val="007D28AD"/>
    <w:rsid w:val="007D2904"/>
    <w:rsid w:val="007D2C1B"/>
    <w:rsid w:val="007D2C25"/>
    <w:rsid w:val="007D2DCB"/>
    <w:rsid w:val="007D2DD6"/>
    <w:rsid w:val="007D2EDD"/>
    <w:rsid w:val="007D2F39"/>
    <w:rsid w:val="007D2F7F"/>
    <w:rsid w:val="007D3976"/>
    <w:rsid w:val="007D3B95"/>
    <w:rsid w:val="007D3C0C"/>
    <w:rsid w:val="007D3DA2"/>
    <w:rsid w:val="007D44EC"/>
    <w:rsid w:val="007D4583"/>
    <w:rsid w:val="007D4608"/>
    <w:rsid w:val="007D471D"/>
    <w:rsid w:val="007D48FC"/>
    <w:rsid w:val="007D4A22"/>
    <w:rsid w:val="007D4CCD"/>
    <w:rsid w:val="007D4F5E"/>
    <w:rsid w:val="007D503A"/>
    <w:rsid w:val="007D510D"/>
    <w:rsid w:val="007D573B"/>
    <w:rsid w:val="007D5857"/>
    <w:rsid w:val="007D59EC"/>
    <w:rsid w:val="007D5AF9"/>
    <w:rsid w:val="007D5E81"/>
    <w:rsid w:val="007D60DB"/>
    <w:rsid w:val="007D6315"/>
    <w:rsid w:val="007D641D"/>
    <w:rsid w:val="007D65DF"/>
    <w:rsid w:val="007D680D"/>
    <w:rsid w:val="007D6A9D"/>
    <w:rsid w:val="007D6BC0"/>
    <w:rsid w:val="007D6ECA"/>
    <w:rsid w:val="007D708C"/>
    <w:rsid w:val="007D7401"/>
    <w:rsid w:val="007D7488"/>
    <w:rsid w:val="007D7A2D"/>
    <w:rsid w:val="007D7A50"/>
    <w:rsid w:val="007D7E11"/>
    <w:rsid w:val="007D7EBE"/>
    <w:rsid w:val="007D7F71"/>
    <w:rsid w:val="007E00F8"/>
    <w:rsid w:val="007E08D3"/>
    <w:rsid w:val="007E0BAA"/>
    <w:rsid w:val="007E1011"/>
    <w:rsid w:val="007E101D"/>
    <w:rsid w:val="007E1566"/>
    <w:rsid w:val="007E1601"/>
    <w:rsid w:val="007E17DB"/>
    <w:rsid w:val="007E1966"/>
    <w:rsid w:val="007E1975"/>
    <w:rsid w:val="007E1979"/>
    <w:rsid w:val="007E1A98"/>
    <w:rsid w:val="007E1B17"/>
    <w:rsid w:val="007E1C2B"/>
    <w:rsid w:val="007E1C84"/>
    <w:rsid w:val="007E1DDB"/>
    <w:rsid w:val="007E2331"/>
    <w:rsid w:val="007E266D"/>
    <w:rsid w:val="007E2884"/>
    <w:rsid w:val="007E2943"/>
    <w:rsid w:val="007E2A70"/>
    <w:rsid w:val="007E2DC7"/>
    <w:rsid w:val="007E2E12"/>
    <w:rsid w:val="007E2F78"/>
    <w:rsid w:val="007E3175"/>
    <w:rsid w:val="007E3198"/>
    <w:rsid w:val="007E3302"/>
    <w:rsid w:val="007E33F4"/>
    <w:rsid w:val="007E35FD"/>
    <w:rsid w:val="007E3656"/>
    <w:rsid w:val="007E36F9"/>
    <w:rsid w:val="007E3740"/>
    <w:rsid w:val="007E3771"/>
    <w:rsid w:val="007E388B"/>
    <w:rsid w:val="007E39F1"/>
    <w:rsid w:val="007E3AB7"/>
    <w:rsid w:val="007E3AEA"/>
    <w:rsid w:val="007E3C92"/>
    <w:rsid w:val="007E3F09"/>
    <w:rsid w:val="007E4159"/>
    <w:rsid w:val="007E419F"/>
    <w:rsid w:val="007E47A1"/>
    <w:rsid w:val="007E4841"/>
    <w:rsid w:val="007E4C7F"/>
    <w:rsid w:val="007E4D44"/>
    <w:rsid w:val="007E4D90"/>
    <w:rsid w:val="007E4D94"/>
    <w:rsid w:val="007E4EE7"/>
    <w:rsid w:val="007E5030"/>
    <w:rsid w:val="007E5089"/>
    <w:rsid w:val="007E5108"/>
    <w:rsid w:val="007E52F7"/>
    <w:rsid w:val="007E532D"/>
    <w:rsid w:val="007E55A7"/>
    <w:rsid w:val="007E567B"/>
    <w:rsid w:val="007E56B4"/>
    <w:rsid w:val="007E5984"/>
    <w:rsid w:val="007E59DB"/>
    <w:rsid w:val="007E5AAB"/>
    <w:rsid w:val="007E5C0C"/>
    <w:rsid w:val="007E5C93"/>
    <w:rsid w:val="007E5D6A"/>
    <w:rsid w:val="007E60BE"/>
    <w:rsid w:val="007E6254"/>
    <w:rsid w:val="007E6399"/>
    <w:rsid w:val="007E6723"/>
    <w:rsid w:val="007E683A"/>
    <w:rsid w:val="007E68EE"/>
    <w:rsid w:val="007E6AB6"/>
    <w:rsid w:val="007E6D6C"/>
    <w:rsid w:val="007E6E83"/>
    <w:rsid w:val="007E706A"/>
    <w:rsid w:val="007E70AE"/>
    <w:rsid w:val="007E734B"/>
    <w:rsid w:val="007E73F1"/>
    <w:rsid w:val="007E7523"/>
    <w:rsid w:val="007E75D4"/>
    <w:rsid w:val="007E7703"/>
    <w:rsid w:val="007E7704"/>
    <w:rsid w:val="007E78AF"/>
    <w:rsid w:val="007E7916"/>
    <w:rsid w:val="007E7967"/>
    <w:rsid w:val="007E7A08"/>
    <w:rsid w:val="007E7B52"/>
    <w:rsid w:val="007F0022"/>
    <w:rsid w:val="007F0379"/>
    <w:rsid w:val="007F0451"/>
    <w:rsid w:val="007F07B6"/>
    <w:rsid w:val="007F08E8"/>
    <w:rsid w:val="007F0970"/>
    <w:rsid w:val="007F14D7"/>
    <w:rsid w:val="007F1713"/>
    <w:rsid w:val="007F1BB6"/>
    <w:rsid w:val="007F1C1C"/>
    <w:rsid w:val="007F1C52"/>
    <w:rsid w:val="007F1D3D"/>
    <w:rsid w:val="007F1E2E"/>
    <w:rsid w:val="007F1F6B"/>
    <w:rsid w:val="007F2008"/>
    <w:rsid w:val="007F2411"/>
    <w:rsid w:val="007F2476"/>
    <w:rsid w:val="007F2530"/>
    <w:rsid w:val="007F2A14"/>
    <w:rsid w:val="007F303A"/>
    <w:rsid w:val="007F3067"/>
    <w:rsid w:val="007F30E4"/>
    <w:rsid w:val="007F31A5"/>
    <w:rsid w:val="007F3242"/>
    <w:rsid w:val="007F37D6"/>
    <w:rsid w:val="007F3812"/>
    <w:rsid w:val="007F3990"/>
    <w:rsid w:val="007F39A2"/>
    <w:rsid w:val="007F3A51"/>
    <w:rsid w:val="007F3B47"/>
    <w:rsid w:val="007F3B99"/>
    <w:rsid w:val="007F3D92"/>
    <w:rsid w:val="007F3F47"/>
    <w:rsid w:val="007F3FA7"/>
    <w:rsid w:val="007F4003"/>
    <w:rsid w:val="007F4143"/>
    <w:rsid w:val="007F4520"/>
    <w:rsid w:val="007F46FF"/>
    <w:rsid w:val="007F4730"/>
    <w:rsid w:val="007F49C3"/>
    <w:rsid w:val="007F4BC7"/>
    <w:rsid w:val="007F4FE6"/>
    <w:rsid w:val="007F52DC"/>
    <w:rsid w:val="007F554B"/>
    <w:rsid w:val="007F5B28"/>
    <w:rsid w:val="007F5DC3"/>
    <w:rsid w:val="007F5EB7"/>
    <w:rsid w:val="007F644C"/>
    <w:rsid w:val="007F6553"/>
    <w:rsid w:val="007F6606"/>
    <w:rsid w:val="007F662D"/>
    <w:rsid w:val="007F6AC3"/>
    <w:rsid w:val="007F6E13"/>
    <w:rsid w:val="007F7258"/>
    <w:rsid w:val="007F74FB"/>
    <w:rsid w:val="007F7D9A"/>
    <w:rsid w:val="007F7EA4"/>
    <w:rsid w:val="007F7F84"/>
    <w:rsid w:val="008002C5"/>
    <w:rsid w:val="008006EC"/>
    <w:rsid w:val="00800776"/>
    <w:rsid w:val="008007FB"/>
    <w:rsid w:val="008008D7"/>
    <w:rsid w:val="00800AEB"/>
    <w:rsid w:val="00800B31"/>
    <w:rsid w:val="00800BB6"/>
    <w:rsid w:val="00800C34"/>
    <w:rsid w:val="00800E0F"/>
    <w:rsid w:val="00800E51"/>
    <w:rsid w:val="00800F20"/>
    <w:rsid w:val="008010D2"/>
    <w:rsid w:val="00801130"/>
    <w:rsid w:val="00801302"/>
    <w:rsid w:val="008013B5"/>
    <w:rsid w:val="00801437"/>
    <w:rsid w:val="0080156E"/>
    <w:rsid w:val="008015A4"/>
    <w:rsid w:val="00801776"/>
    <w:rsid w:val="0080194A"/>
    <w:rsid w:val="00801C1E"/>
    <w:rsid w:val="00802180"/>
    <w:rsid w:val="0080221F"/>
    <w:rsid w:val="008026E4"/>
    <w:rsid w:val="0080270D"/>
    <w:rsid w:val="0080274B"/>
    <w:rsid w:val="00802E75"/>
    <w:rsid w:val="00802E9B"/>
    <w:rsid w:val="00802F0A"/>
    <w:rsid w:val="00802F71"/>
    <w:rsid w:val="00802FBF"/>
    <w:rsid w:val="008032BF"/>
    <w:rsid w:val="00803375"/>
    <w:rsid w:val="008035C4"/>
    <w:rsid w:val="008036AA"/>
    <w:rsid w:val="008037F5"/>
    <w:rsid w:val="0080383E"/>
    <w:rsid w:val="00803B6C"/>
    <w:rsid w:val="00803C93"/>
    <w:rsid w:val="00803D5B"/>
    <w:rsid w:val="00803E61"/>
    <w:rsid w:val="00803FDD"/>
    <w:rsid w:val="0080417F"/>
    <w:rsid w:val="008042BB"/>
    <w:rsid w:val="008043B2"/>
    <w:rsid w:val="008043B5"/>
    <w:rsid w:val="008043E9"/>
    <w:rsid w:val="00804454"/>
    <w:rsid w:val="0080461E"/>
    <w:rsid w:val="008050B3"/>
    <w:rsid w:val="00805290"/>
    <w:rsid w:val="00805687"/>
    <w:rsid w:val="0080573C"/>
    <w:rsid w:val="00805AEB"/>
    <w:rsid w:val="00805DD1"/>
    <w:rsid w:val="00805E69"/>
    <w:rsid w:val="00805E81"/>
    <w:rsid w:val="008060BA"/>
    <w:rsid w:val="0080623E"/>
    <w:rsid w:val="00806465"/>
    <w:rsid w:val="008064F9"/>
    <w:rsid w:val="00806574"/>
    <w:rsid w:val="00806630"/>
    <w:rsid w:val="008066EB"/>
    <w:rsid w:val="0080697D"/>
    <w:rsid w:val="00806E40"/>
    <w:rsid w:val="00806FA7"/>
    <w:rsid w:val="00807079"/>
    <w:rsid w:val="00807243"/>
    <w:rsid w:val="008072A9"/>
    <w:rsid w:val="008073B7"/>
    <w:rsid w:val="0080746D"/>
    <w:rsid w:val="008079DB"/>
    <w:rsid w:val="00807DE3"/>
    <w:rsid w:val="0081003B"/>
    <w:rsid w:val="008100AE"/>
    <w:rsid w:val="00810304"/>
    <w:rsid w:val="0081034A"/>
    <w:rsid w:val="0081076E"/>
    <w:rsid w:val="008108E0"/>
    <w:rsid w:val="00810B37"/>
    <w:rsid w:val="00810BE3"/>
    <w:rsid w:val="00810C6C"/>
    <w:rsid w:val="00810CB1"/>
    <w:rsid w:val="00810F8E"/>
    <w:rsid w:val="00810FD5"/>
    <w:rsid w:val="0081104C"/>
    <w:rsid w:val="00811270"/>
    <w:rsid w:val="0081128F"/>
    <w:rsid w:val="00811310"/>
    <w:rsid w:val="0081137A"/>
    <w:rsid w:val="00811383"/>
    <w:rsid w:val="00811408"/>
    <w:rsid w:val="00811816"/>
    <w:rsid w:val="00811B08"/>
    <w:rsid w:val="00811C08"/>
    <w:rsid w:val="008121C1"/>
    <w:rsid w:val="0081222A"/>
    <w:rsid w:val="00812237"/>
    <w:rsid w:val="0081238B"/>
    <w:rsid w:val="00812483"/>
    <w:rsid w:val="0081260D"/>
    <w:rsid w:val="00812683"/>
    <w:rsid w:val="0081268F"/>
    <w:rsid w:val="008128FE"/>
    <w:rsid w:val="00812904"/>
    <w:rsid w:val="00812DD3"/>
    <w:rsid w:val="00812E58"/>
    <w:rsid w:val="00812E8D"/>
    <w:rsid w:val="00812F08"/>
    <w:rsid w:val="00813437"/>
    <w:rsid w:val="00813468"/>
    <w:rsid w:val="008134B6"/>
    <w:rsid w:val="00813702"/>
    <w:rsid w:val="008137F3"/>
    <w:rsid w:val="00813866"/>
    <w:rsid w:val="00813BC0"/>
    <w:rsid w:val="00814135"/>
    <w:rsid w:val="008141F6"/>
    <w:rsid w:val="00814292"/>
    <w:rsid w:val="00814382"/>
    <w:rsid w:val="008145E0"/>
    <w:rsid w:val="008147F6"/>
    <w:rsid w:val="00814841"/>
    <w:rsid w:val="00814D06"/>
    <w:rsid w:val="00815182"/>
    <w:rsid w:val="00815216"/>
    <w:rsid w:val="008153F0"/>
    <w:rsid w:val="008154DB"/>
    <w:rsid w:val="008155F2"/>
    <w:rsid w:val="00815C18"/>
    <w:rsid w:val="00815D2E"/>
    <w:rsid w:val="0081633F"/>
    <w:rsid w:val="008164B7"/>
    <w:rsid w:val="008165C1"/>
    <w:rsid w:val="0081661E"/>
    <w:rsid w:val="00816775"/>
    <w:rsid w:val="00816808"/>
    <w:rsid w:val="008168DE"/>
    <w:rsid w:val="008168E7"/>
    <w:rsid w:val="008168F2"/>
    <w:rsid w:val="00816930"/>
    <w:rsid w:val="00816933"/>
    <w:rsid w:val="00816AD9"/>
    <w:rsid w:val="00816B46"/>
    <w:rsid w:val="00816B5C"/>
    <w:rsid w:val="00816D37"/>
    <w:rsid w:val="00816DEA"/>
    <w:rsid w:val="00816E36"/>
    <w:rsid w:val="00816E9B"/>
    <w:rsid w:val="00816FDA"/>
    <w:rsid w:val="008170DC"/>
    <w:rsid w:val="00817209"/>
    <w:rsid w:val="0081730B"/>
    <w:rsid w:val="0081735F"/>
    <w:rsid w:val="0081763E"/>
    <w:rsid w:val="0081772F"/>
    <w:rsid w:val="0081773A"/>
    <w:rsid w:val="008177BD"/>
    <w:rsid w:val="008177E0"/>
    <w:rsid w:val="00817957"/>
    <w:rsid w:val="00817B63"/>
    <w:rsid w:val="00817BBE"/>
    <w:rsid w:val="00817CA1"/>
    <w:rsid w:val="008201AD"/>
    <w:rsid w:val="00820335"/>
    <w:rsid w:val="0082066E"/>
    <w:rsid w:val="008208E4"/>
    <w:rsid w:val="00820B63"/>
    <w:rsid w:val="00820D2F"/>
    <w:rsid w:val="00821011"/>
    <w:rsid w:val="008210B0"/>
    <w:rsid w:val="00821188"/>
    <w:rsid w:val="0082126D"/>
    <w:rsid w:val="00821384"/>
    <w:rsid w:val="00821631"/>
    <w:rsid w:val="0082177E"/>
    <w:rsid w:val="00821951"/>
    <w:rsid w:val="008219C5"/>
    <w:rsid w:val="00821A99"/>
    <w:rsid w:val="00821B23"/>
    <w:rsid w:val="00821BF6"/>
    <w:rsid w:val="00821D3F"/>
    <w:rsid w:val="00821F75"/>
    <w:rsid w:val="00822315"/>
    <w:rsid w:val="0082234A"/>
    <w:rsid w:val="00822906"/>
    <w:rsid w:val="0082293C"/>
    <w:rsid w:val="00822960"/>
    <w:rsid w:val="008229F8"/>
    <w:rsid w:val="00822AA9"/>
    <w:rsid w:val="00822EE7"/>
    <w:rsid w:val="00823035"/>
    <w:rsid w:val="008234A6"/>
    <w:rsid w:val="008234BF"/>
    <w:rsid w:val="008235C6"/>
    <w:rsid w:val="00823642"/>
    <w:rsid w:val="0082364B"/>
    <w:rsid w:val="00823681"/>
    <w:rsid w:val="008236F5"/>
    <w:rsid w:val="008238C1"/>
    <w:rsid w:val="00823916"/>
    <w:rsid w:val="00823AC4"/>
    <w:rsid w:val="00823B43"/>
    <w:rsid w:val="00823FDA"/>
    <w:rsid w:val="00824030"/>
    <w:rsid w:val="0082412C"/>
    <w:rsid w:val="0082412F"/>
    <w:rsid w:val="00824198"/>
    <w:rsid w:val="008241F3"/>
    <w:rsid w:val="00824226"/>
    <w:rsid w:val="0082430C"/>
    <w:rsid w:val="0082433F"/>
    <w:rsid w:val="00824482"/>
    <w:rsid w:val="008244FC"/>
    <w:rsid w:val="00824559"/>
    <w:rsid w:val="008245BF"/>
    <w:rsid w:val="008245C7"/>
    <w:rsid w:val="00824CCD"/>
    <w:rsid w:val="00824D0D"/>
    <w:rsid w:val="00824F98"/>
    <w:rsid w:val="00825170"/>
    <w:rsid w:val="00825295"/>
    <w:rsid w:val="0082538A"/>
    <w:rsid w:val="00825537"/>
    <w:rsid w:val="00825F8C"/>
    <w:rsid w:val="0082625E"/>
    <w:rsid w:val="0082651E"/>
    <w:rsid w:val="0082666C"/>
    <w:rsid w:val="00826762"/>
    <w:rsid w:val="00826897"/>
    <w:rsid w:val="008269B7"/>
    <w:rsid w:val="00826A4E"/>
    <w:rsid w:val="00826A6B"/>
    <w:rsid w:val="00826AD4"/>
    <w:rsid w:val="00826B8B"/>
    <w:rsid w:val="00826BCD"/>
    <w:rsid w:val="00826C05"/>
    <w:rsid w:val="00826CE4"/>
    <w:rsid w:val="00826E90"/>
    <w:rsid w:val="00826F6C"/>
    <w:rsid w:val="0082701C"/>
    <w:rsid w:val="00827288"/>
    <w:rsid w:val="008276BF"/>
    <w:rsid w:val="008278E6"/>
    <w:rsid w:val="008279B3"/>
    <w:rsid w:val="00827C12"/>
    <w:rsid w:val="00827D47"/>
    <w:rsid w:val="00827DB5"/>
    <w:rsid w:val="00827EE3"/>
    <w:rsid w:val="0083008D"/>
    <w:rsid w:val="008304AE"/>
    <w:rsid w:val="00830688"/>
    <w:rsid w:val="008307DE"/>
    <w:rsid w:val="0083088C"/>
    <w:rsid w:val="00830CAF"/>
    <w:rsid w:val="00830D49"/>
    <w:rsid w:val="00830DAA"/>
    <w:rsid w:val="00830DDF"/>
    <w:rsid w:val="00830F26"/>
    <w:rsid w:val="00830F9A"/>
    <w:rsid w:val="00831272"/>
    <w:rsid w:val="00831509"/>
    <w:rsid w:val="008315E9"/>
    <w:rsid w:val="0083167F"/>
    <w:rsid w:val="0083168D"/>
    <w:rsid w:val="00831ABF"/>
    <w:rsid w:val="00831B88"/>
    <w:rsid w:val="00831B9C"/>
    <w:rsid w:val="00831BB7"/>
    <w:rsid w:val="008321DD"/>
    <w:rsid w:val="00832616"/>
    <w:rsid w:val="00832772"/>
    <w:rsid w:val="008327FB"/>
    <w:rsid w:val="00832D7B"/>
    <w:rsid w:val="00832D9D"/>
    <w:rsid w:val="00832E3E"/>
    <w:rsid w:val="00832F11"/>
    <w:rsid w:val="00832F4E"/>
    <w:rsid w:val="00832FD7"/>
    <w:rsid w:val="00833105"/>
    <w:rsid w:val="0083338E"/>
    <w:rsid w:val="00833474"/>
    <w:rsid w:val="008334BB"/>
    <w:rsid w:val="00833694"/>
    <w:rsid w:val="008337EC"/>
    <w:rsid w:val="00833A97"/>
    <w:rsid w:val="00833ADC"/>
    <w:rsid w:val="00833B1D"/>
    <w:rsid w:val="00833BBD"/>
    <w:rsid w:val="00833DAD"/>
    <w:rsid w:val="00833DB3"/>
    <w:rsid w:val="00833DE5"/>
    <w:rsid w:val="00834051"/>
    <w:rsid w:val="0083442E"/>
    <w:rsid w:val="00834607"/>
    <w:rsid w:val="008348B8"/>
    <w:rsid w:val="008348BB"/>
    <w:rsid w:val="008349DB"/>
    <w:rsid w:val="00834B10"/>
    <w:rsid w:val="00834B63"/>
    <w:rsid w:val="00834C46"/>
    <w:rsid w:val="00834C4B"/>
    <w:rsid w:val="00834CC5"/>
    <w:rsid w:val="00834ECB"/>
    <w:rsid w:val="00834F39"/>
    <w:rsid w:val="00835003"/>
    <w:rsid w:val="008350CB"/>
    <w:rsid w:val="0083522A"/>
    <w:rsid w:val="0083529B"/>
    <w:rsid w:val="0083542D"/>
    <w:rsid w:val="0083546D"/>
    <w:rsid w:val="00835538"/>
    <w:rsid w:val="0083570E"/>
    <w:rsid w:val="00835720"/>
    <w:rsid w:val="00835859"/>
    <w:rsid w:val="00835A30"/>
    <w:rsid w:val="00835ABE"/>
    <w:rsid w:val="00835B69"/>
    <w:rsid w:val="00835BA3"/>
    <w:rsid w:val="00835D50"/>
    <w:rsid w:val="00835D84"/>
    <w:rsid w:val="008360CB"/>
    <w:rsid w:val="008361EC"/>
    <w:rsid w:val="008364F3"/>
    <w:rsid w:val="0083650E"/>
    <w:rsid w:val="008368F3"/>
    <w:rsid w:val="00836952"/>
    <w:rsid w:val="00836969"/>
    <w:rsid w:val="00836D90"/>
    <w:rsid w:val="00837109"/>
    <w:rsid w:val="008371B4"/>
    <w:rsid w:val="008372D8"/>
    <w:rsid w:val="00837739"/>
    <w:rsid w:val="00837794"/>
    <w:rsid w:val="0083788D"/>
    <w:rsid w:val="008378DF"/>
    <w:rsid w:val="00837998"/>
    <w:rsid w:val="008379D6"/>
    <w:rsid w:val="00837F0B"/>
    <w:rsid w:val="008400B2"/>
    <w:rsid w:val="008400E7"/>
    <w:rsid w:val="008408C8"/>
    <w:rsid w:val="008409E7"/>
    <w:rsid w:val="00840A96"/>
    <w:rsid w:val="00840B4E"/>
    <w:rsid w:val="00840B58"/>
    <w:rsid w:val="00840B8B"/>
    <w:rsid w:val="00840C9F"/>
    <w:rsid w:val="00840F27"/>
    <w:rsid w:val="00841109"/>
    <w:rsid w:val="008413AB"/>
    <w:rsid w:val="0084168D"/>
    <w:rsid w:val="00841783"/>
    <w:rsid w:val="0084196A"/>
    <w:rsid w:val="00841A69"/>
    <w:rsid w:val="00841B71"/>
    <w:rsid w:val="00841C62"/>
    <w:rsid w:val="00841D3D"/>
    <w:rsid w:val="00841D54"/>
    <w:rsid w:val="00841E13"/>
    <w:rsid w:val="00841EC1"/>
    <w:rsid w:val="00842024"/>
    <w:rsid w:val="00842412"/>
    <w:rsid w:val="008425FC"/>
    <w:rsid w:val="00842741"/>
    <w:rsid w:val="00842B71"/>
    <w:rsid w:val="00843070"/>
    <w:rsid w:val="0084342A"/>
    <w:rsid w:val="00843486"/>
    <w:rsid w:val="00843704"/>
    <w:rsid w:val="008437CD"/>
    <w:rsid w:val="0084394D"/>
    <w:rsid w:val="0084398E"/>
    <w:rsid w:val="00843B5C"/>
    <w:rsid w:val="00843B67"/>
    <w:rsid w:val="00843BAB"/>
    <w:rsid w:val="00843BBE"/>
    <w:rsid w:val="008440D1"/>
    <w:rsid w:val="00844239"/>
    <w:rsid w:val="0084429D"/>
    <w:rsid w:val="00844331"/>
    <w:rsid w:val="0084434D"/>
    <w:rsid w:val="008443AB"/>
    <w:rsid w:val="008444E6"/>
    <w:rsid w:val="00844551"/>
    <w:rsid w:val="00844657"/>
    <w:rsid w:val="00844958"/>
    <w:rsid w:val="00844A12"/>
    <w:rsid w:val="00844A3D"/>
    <w:rsid w:val="00844DEE"/>
    <w:rsid w:val="00844E0A"/>
    <w:rsid w:val="00844EDC"/>
    <w:rsid w:val="00844F43"/>
    <w:rsid w:val="00844FE9"/>
    <w:rsid w:val="0084508A"/>
    <w:rsid w:val="008451A4"/>
    <w:rsid w:val="0084539D"/>
    <w:rsid w:val="008455A5"/>
    <w:rsid w:val="00845885"/>
    <w:rsid w:val="00845A3D"/>
    <w:rsid w:val="00845AA7"/>
    <w:rsid w:val="00845B3F"/>
    <w:rsid w:val="00846022"/>
    <w:rsid w:val="008462A0"/>
    <w:rsid w:val="008462B4"/>
    <w:rsid w:val="008463DC"/>
    <w:rsid w:val="00846408"/>
    <w:rsid w:val="0084644A"/>
    <w:rsid w:val="0084659E"/>
    <w:rsid w:val="00846600"/>
    <w:rsid w:val="00846738"/>
    <w:rsid w:val="008468A0"/>
    <w:rsid w:val="008468C8"/>
    <w:rsid w:val="00846ACF"/>
    <w:rsid w:val="00846B93"/>
    <w:rsid w:val="00846C77"/>
    <w:rsid w:val="00846E11"/>
    <w:rsid w:val="00846E12"/>
    <w:rsid w:val="00846F36"/>
    <w:rsid w:val="00846F57"/>
    <w:rsid w:val="0084704E"/>
    <w:rsid w:val="00847076"/>
    <w:rsid w:val="00847144"/>
    <w:rsid w:val="00847377"/>
    <w:rsid w:val="008475C5"/>
    <w:rsid w:val="008475C7"/>
    <w:rsid w:val="0084774F"/>
    <w:rsid w:val="00847865"/>
    <w:rsid w:val="008478B0"/>
    <w:rsid w:val="008479A0"/>
    <w:rsid w:val="008479CC"/>
    <w:rsid w:val="00847DB8"/>
    <w:rsid w:val="00847E96"/>
    <w:rsid w:val="00850004"/>
    <w:rsid w:val="00850045"/>
    <w:rsid w:val="00850114"/>
    <w:rsid w:val="00850365"/>
    <w:rsid w:val="008503EF"/>
    <w:rsid w:val="00850609"/>
    <w:rsid w:val="008506EF"/>
    <w:rsid w:val="00850BC5"/>
    <w:rsid w:val="00850D22"/>
    <w:rsid w:val="00850E6E"/>
    <w:rsid w:val="00850E70"/>
    <w:rsid w:val="00851058"/>
    <w:rsid w:val="008510BB"/>
    <w:rsid w:val="00851366"/>
    <w:rsid w:val="008513D3"/>
    <w:rsid w:val="008517CF"/>
    <w:rsid w:val="008517DC"/>
    <w:rsid w:val="008518E9"/>
    <w:rsid w:val="00851E93"/>
    <w:rsid w:val="00851EEB"/>
    <w:rsid w:val="00851F03"/>
    <w:rsid w:val="00851F20"/>
    <w:rsid w:val="00851F84"/>
    <w:rsid w:val="00851F8B"/>
    <w:rsid w:val="00852142"/>
    <w:rsid w:val="0085225F"/>
    <w:rsid w:val="00852264"/>
    <w:rsid w:val="00852618"/>
    <w:rsid w:val="00852666"/>
    <w:rsid w:val="00852898"/>
    <w:rsid w:val="00852E2B"/>
    <w:rsid w:val="00852FF6"/>
    <w:rsid w:val="00853095"/>
    <w:rsid w:val="008535EC"/>
    <w:rsid w:val="008536F4"/>
    <w:rsid w:val="00853709"/>
    <w:rsid w:val="00853715"/>
    <w:rsid w:val="00853854"/>
    <w:rsid w:val="008539B2"/>
    <w:rsid w:val="00853CEA"/>
    <w:rsid w:val="00853E4E"/>
    <w:rsid w:val="00853F42"/>
    <w:rsid w:val="008542E4"/>
    <w:rsid w:val="00854511"/>
    <w:rsid w:val="008545F4"/>
    <w:rsid w:val="00854613"/>
    <w:rsid w:val="00854786"/>
    <w:rsid w:val="008548CF"/>
    <w:rsid w:val="008548F0"/>
    <w:rsid w:val="008549F8"/>
    <w:rsid w:val="00854B1E"/>
    <w:rsid w:val="00854C05"/>
    <w:rsid w:val="00854CF8"/>
    <w:rsid w:val="00854EA8"/>
    <w:rsid w:val="00854F15"/>
    <w:rsid w:val="00854F54"/>
    <w:rsid w:val="0085509B"/>
    <w:rsid w:val="0085509C"/>
    <w:rsid w:val="008550AE"/>
    <w:rsid w:val="0085519B"/>
    <w:rsid w:val="00855267"/>
    <w:rsid w:val="008553D0"/>
    <w:rsid w:val="008556AA"/>
    <w:rsid w:val="00855806"/>
    <w:rsid w:val="008559B2"/>
    <w:rsid w:val="008559BE"/>
    <w:rsid w:val="008559C0"/>
    <w:rsid w:val="008559D1"/>
    <w:rsid w:val="00855B4B"/>
    <w:rsid w:val="00855ED4"/>
    <w:rsid w:val="00856410"/>
    <w:rsid w:val="008565DA"/>
    <w:rsid w:val="008565EF"/>
    <w:rsid w:val="008566F4"/>
    <w:rsid w:val="00856A39"/>
    <w:rsid w:val="00856B1F"/>
    <w:rsid w:val="00856C8A"/>
    <w:rsid w:val="00856E9F"/>
    <w:rsid w:val="00856F40"/>
    <w:rsid w:val="00856F47"/>
    <w:rsid w:val="00857015"/>
    <w:rsid w:val="0085703C"/>
    <w:rsid w:val="00857109"/>
    <w:rsid w:val="008571B5"/>
    <w:rsid w:val="00857211"/>
    <w:rsid w:val="0085727B"/>
    <w:rsid w:val="008573C7"/>
    <w:rsid w:val="00857437"/>
    <w:rsid w:val="00857443"/>
    <w:rsid w:val="0085758A"/>
    <w:rsid w:val="0085780C"/>
    <w:rsid w:val="00857850"/>
    <w:rsid w:val="008578CA"/>
    <w:rsid w:val="008578D4"/>
    <w:rsid w:val="00857A6F"/>
    <w:rsid w:val="00857AAD"/>
    <w:rsid w:val="00857B8A"/>
    <w:rsid w:val="00857F07"/>
    <w:rsid w:val="0086019C"/>
    <w:rsid w:val="008603FA"/>
    <w:rsid w:val="0086072C"/>
    <w:rsid w:val="008609A9"/>
    <w:rsid w:val="00860A70"/>
    <w:rsid w:val="00860A9F"/>
    <w:rsid w:val="00860C2B"/>
    <w:rsid w:val="00860E20"/>
    <w:rsid w:val="00860E36"/>
    <w:rsid w:val="00860EAF"/>
    <w:rsid w:val="00861347"/>
    <w:rsid w:val="0086134B"/>
    <w:rsid w:val="00861470"/>
    <w:rsid w:val="0086149E"/>
    <w:rsid w:val="008614EE"/>
    <w:rsid w:val="008614FE"/>
    <w:rsid w:val="00861517"/>
    <w:rsid w:val="0086187F"/>
    <w:rsid w:val="0086190D"/>
    <w:rsid w:val="00861925"/>
    <w:rsid w:val="008619A3"/>
    <w:rsid w:val="00861A21"/>
    <w:rsid w:val="00861A51"/>
    <w:rsid w:val="00861B0B"/>
    <w:rsid w:val="00861D68"/>
    <w:rsid w:val="00861DBB"/>
    <w:rsid w:val="0086216B"/>
    <w:rsid w:val="0086236B"/>
    <w:rsid w:val="0086270C"/>
    <w:rsid w:val="00862738"/>
    <w:rsid w:val="00862BBF"/>
    <w:rsid w:val="00862CEA"/>
    <w:rsid w:val="00862D17"/>
    <w:rsid w:val="00862E50"/>
    <w:rsid w:val="00862F17"/>
    <w:rsid w:val="00862F73"/>
    <w:rsid w:val="00862FE3"/>
    <w:rsid w:val="008630B4"/>
    <w:rsid w:val="008631DC"/>
    <w:rsid w:val="008631E9"/>
    <w:rsid w:val="00863236"/>
    <w:rsid w:val="0086351C"/>
    <w:rsid w:val="00863648"/>
    <w:rsid w:val="00863956"/>
    <w:rsid w:val="00863AC3"/>
    <w:rsid w:val="00863C5A"/>
    <w:rsid w:val="00863CC2"/>
    <w:rsid w:val="00863DE8"/>
    <w:rsid w:val="00863E0E"/>
    <w:rsid w:val="00863E8F"/>
    <w:rsid w:val="00863F4E"/>
    <w:rsid w:val="00864144"/>
    <w:rsid w:val="008643DD"/>
    <w:rsid w:val="008643ED"/>
    <w:rsid w:val="008646AE"/>
    <w:rsid w:val="0086479D"/>
    <w:rsid w:val="008647F1"/>
    <w:rsid w:val="00864880"/>
    <w:rsid w:val="00864B8B"/>
    <w:rsid w:val="00865140"/>
    <w:rsid w:val="008651B0"/>
    <w:rsid w:val="008653F3"/>
    <w:rsid w:val="00865521"/>
    <w:rsid w:val="00865591"/>
    <w:rsid w:val="00865685"/>
    <w:rsid w:val="008659E0"/>
    <w:rsid w:val="00865A90"/>
    <w:rsid w:val="00865B42"/>
    <w:rsid w:val="00865B51"/>
    <w:rsid w:val="00865ED1"/>
    <w:rsid w:val="008661CD"/>
    <w:rsid w:val="00866209"/>
    <w:rsid w:val="0086662D"/>
    <w:rsid w:val="00866AF7"/>
    <w:rsid w:val="00866C3B"/>
    <w:rsid w:val="00866CB5"/>
    <w:rsid w:val="00866CED"/>
    <w:rsid w:val="0086737C"/>
    <w:rsid w:val="0086739D"/>
    <w:rsid w:val="00867567"/>
    <w:rsid w:val="00867929"/>
    <w:rsid w:val="00867A14"/>
    <w:rsid w:val="00867BFF"/>
    <w:rsid w:val="00867C09"/>
    <w:rsid w:val="00867DD2"/>
    <w:rsid w:val="00867E15"/>
    <w:rsid w:val="00867E3F"/>
    <w:rsid w:val="00867E91"/>
    <w:rsid w:val="00867F59"/>
    <w:rsid w:val="008701F5"/>
    <w:rsid w:val="00870289"/>
    <w:rsid w:val="00870354"/>
    <w:rsid w:val="00870438"/>
    <w:rsid w:val="00870528"/>
    <w:rsid w:val="0087053A"/>
    <w:rsid w:val="008705DC"/>
    <w:rsid w:val="00870770"/>
    <w:rsid w:val="0087099B"/>
    <w:rsid w:val="00870ABE"/>
    <w:rsid w:val="00870B96"/>
    <w:rsid w:val="00870BB8"/>
    <w:rsid w:val="00870BB9"/>
    <w:rsid w:val="0087145E"/>
    <w:rsid w:val="0087172F"/>
    <w:rsid w:val="00871769"/>
    <w:rsid w:val="008717D0"/>
    <w:rsid w:val="00871903"/>
    <w:rsid w:val="00871A3E"/>
    <w:rsid w:val="00871AF2"/>
    <w:rsid w:val="00871BF7"/>
    <w:rsid w:val="00871C8E"/>
    <w:rsid w:val="00871DAB"/>
    <w:rsid w:val="00872145"/>
    <w:rsid w:val="008721A7"/>
    <w:rsid w:val="008721A9"/>
    <w:rsid w:val="00872227"/>
    <w:rsid w:val="008723F0"/>
    <w:rsid w:val="00872405"/>
    <w:rsid w:val="008724CE"/>
    <w:rsid w:val="00872578"/>
    <w:rsid w:val="0087259B"/>
    <w:rsid w:val="0087262E"/>
    <w:rsid w:val="008728E9"/>
    <w:rsid w:val="00872D9A"/>
    <w:rsid w:val="00872F1B"/>
    <w:rsid w:val="008730E8"/>
    <w:rsid w:val="008732A3"/>
    <w:rsid w:val="0087339B"/>
    <w:rsid w:val="008733A3"/>
    <w:rsid w:val="008733D7"/>
    <w:rsid w:val="00873458"/>
    <w:rsid w:val="0087355A"/>
    <w:rsid w:val="008735A7"/>
    <w:rsid w:val="00873797"/>
    <w:rsid w:val="008739D9"/>
    <w:rsid w:val="00873F56"/>
    <w:rsid w:val="008741B3"/>
    <w:rsid w:val="00874358"/>
    <w:rsid w:val="0087435E"/>
    <w:rsid w:val="00874386"/>
    <w:rsid w:val="008743EE"/>
    <w:rsid w:val="0087442F"/>
    <w:rsid w:val="0087447D"/>
    <w:rsid w:val="008744BF"/>
    <w:rsid w:val="008744D4"/>
    <w:rsid w:val="0087454D"/>
    <w:rsid w:val="008748E7"/>
    <w:rsid w:val="00874932"/>
    <w:rsid w:val="00874B6F"/>
    <w:rsid w:val="00874BB4"/>
    <w:rsid w:val="00874DAD"/>
    <w:rsid w:val="00874E37"/>
    <w:rsid w:val="00874FB1"/>
    <w:rsid w:val="00874FFB"/>
    <w:rsid w:val="00875179"/>
    <w:rsid w:val="00875195"/>
    <w:rsid w:val="00875265"/>
    <w:rsid w:val="00875486"/>
    <w:rsid w:val="00875595"/>
    <w:rsid w:val="0087565F"/>
    <w:rsid w:val="00875944"/>
    <w:rsid w:val="00875A71"/>
    <w:rsid w:val="00875AF3"/>
    <w:rsid w:val="00875AF4"/>
    <w:rsid w:val="00875CB2"/>
    <w:rsid w:val="00875D0C"/>
    <w:rsid w:val="00876085"/>
    <w:rsid w:val="00876435"/>
    <w:rsid w:val="008766C4"/>
    <w:rsid w:val="00876834"/>
    <w:rsid w:val="00876861"/>
    <w:rsid w:val="00876913"/>
    <w:rsid w:val="00876A13"/>
    <w:rsid w:val="00876BFB"/>
    <w:rsid w:val="00876C48"/>
    <w:rsid w:val="00876CE7"/>
    <w:rsid w:val="00876CFF"/>
    <w:rsid w:val="00876D14"/>
    <w:rsid w:val="00876F14"/>
    <w:rsid w:val="00877004"/>
    <w:rsid w:val="00877088"/>
    <w:rsid w:val="008770FD"/>
    <w:rsid w:val="00877196"/>
    <w:rsid w:val="008771D8"/>
    <w:rsid w:val="0087733B"/>
    <w:rsid w:val="008776F6"/>
    <w:rsid w:val="00877999"/>
    <w:rsid w:val="00877CB4"/>
    <w:rsid w:val="00877D45"/>
    <w:rsid w:val="00877DF1"/>
    <w:rsid w:val="00880010"/>
    <w:rsid w:val="00880045"/>
    <w:rsid w:val="00880303"/>
    <w:rsid w:val="008804C0"/>
    <w:rsid w:val="00880AAA"/>
    <w:rsid w:val="00880B82"/>
    <w:rsid w:val="00880CA3"/>
    <w:rsid w:val="00880DF2"/>
    <w:rsid w:val="00880E56"/>
    <w:rsid w:val="00880F2F"/>
    <w:rsid w:val="00881097"/>
    <w:rsid w:val="00881155"/>
    <w:rsid w:val="00881245"/>
    <w:rsid w:val="008812E3"/>
    <w:rsid w:val="00881303"/>
    <w:rsid w:val="0088132D"/>
    <w:rsid w:val="00881857"/>
    <w:rsid w:val="008818A1"/>
    <w:rsid w:val="008818A7"/>
    <w:rsid w:val="00881A16"/>
    <w:rsid w:val="00881C61"/>
    <w:rsid w:val="00881DE7"/>
    <w:rsid w:val="008821B4"/>
    <w:rsid w:val="0088253D"/>
    <w:rsid w:val="00882666"/>
    <w:rsid w:val="008828D1"/>
    <w:rsid w:val="008828EC"/>
    <w:rsid w:val="00882AFE"/>
    <w:rsid w:val="00882B6A"/>
    <w:rsid w:val="00882C4E"/>
    <w:rsid w:val="008830C2"/>
    <w:rsid w:val="0088328C"/>
    <w:rsid w:val="008833C7"/>
    <w:rsid w:val="008833C9"/>
    <w:rsid w:val="008835AB"/>
    <w:rsid w:val="00883684"/>
    <w:rsid w:val="008839AD"/>
    <w:rsid w:val="008839FE"/>
    <w:rsid w:val="00883C33"/>
    <w:rsid w:val="00883D46"/>
    <w:rsid w:val="00883E7E"/>
    <w:rsid w:val="00883FB3"/>
    <w:rsid w:val="00884447"/>
    <w:rsid w:val="008847E2"/>
    <w:rsid w:val="00884881"/>
    <w:rsid w:val="00884AD2"/>
    <w:rsid w:val="00884C4C"/>
    <w:rsid w:val="00884DC7"/>
    <w:rsid w:val="00884F11"/>
    <w:rsid w:val="008851FF"/>
    <w:rsid w:val="00885291"/>
    <w:rsid w:val="0088534C"/>
    <w:rsid w:val="00885409"/>
    <w:rsid w:val="00885691"/>
    <w:rsid w:val="00885AAE"/>
    <w:rsid w:val="00885AB2"/>
    <w:rsid w:val="00886136"/>
    <w:rsid w:val="00886254"/>
    <w:rsid w:val="008862CC"/>
    <w:rsid w:val="0088639E"/>
    <w:rsid w:val="008865D9"/>
    <w:rsid w:val="008867FD"/>
    <w:rsid w:val="008868DC"/>
    <w:rsid w:val="00886B08"/>
    <w:rsid w:val="00886E56"/>
    <w:rsid w:val="00886E92"/>
    <w:rsid w:val="0088724F"/>
    <w:rsid w:val="008872F3"/>
    <w:rsid w:val="0088752A"/>
    <w:rsid w:val="00887615"/>
    <w:rsid w:val="0088766E"/>
    <w:rsid w:val="0088784E"/>
    <w:rsid w:val="00887868"/>
    <w:rsid w:val="008878E7"/>
    <w:rsid w:val="00887A3F"/>
    <w:rsid w:val="00887CCA"/>
    <w:rsid w:val="00887CD4"/>
    <w:rsid w:val="00887D53"/>
    <w:rsid w:val="00887E99"/>
    <w:rsid w:val="00887F79"/>
    <w:rsid w:val="00887FBC"/>
    <w:rsid w:val="008902C5"/>
    <w:rsid w:val="00890383"/>
    <w:rsid w:val="0089066F"/>
    <w:rsid w:val="00890687"/>
    <w:rsid w:val="008907E8"/>
    <w:rsid w:val="00890B44"/>
    <w:rsid w:val="00890C6B"/>
    <w:rsid w:val="00890F04"/>
    <w:rsid w:val="00891106"/>
    <w:rsid w:val="00891275"/>
    <w:rsid w:val="008912FD"/>
    <w:rsid w:val="008913B3"/>
    <w:rsid w:val="008916FD"/>
    <w:rsid w:val="0089174B"/>
    <w:rsid w:val="008919D0"/>
    <w:rsid w:val="00891A28"/>
    <w:rsid w:val="00891B44"/>
    <w:rsid w:val="00891EC3"/>
    <w:rsid w:val="00892076"/>
    <w:rsid w:val="008921E4"/>
    <w:rsid w:val="008922E2"/>
    <w:rsid w:val="008923D4"/>
    <w:rsid w:val="00892645"/>
    <w:rsid w:val="00892695"/>
    <w:rsid w:val="00892BFF"/>
    <w:rsid w:val="0089323B"/>
    <w:rsid w:val="00893387"/>
    <w:rsid w:val="0089340D"/>
    <w:rsid w:val="00893575"/>
    <w:rsid w:val="00893628"/>
    <w:rsid w:val="00893739"/>
    <w:rsid w:val="008937FB"/>
    <w:rsid w:val="00893B2C"/>
    <w:rsid w:val="00893CAC"/>
    <w:rsid w:val="00893E5C"/>
    <w:rsid w:val="00894071"/>
    <w:rsid w:val="00894152"/>
    <w:rsid w:val="00894396"/>
    <w:rsid w:val="008944F3"/>
    <w:rsid w:val="008945E8"/>
    <w:rsid w:val="0089477A"/>
    <w:rsid w:val="00894B24"/>
    <w:rsid w:val="00894C6F"/>
    <w:rsid w:val="00894D6C"/>
    <w:rsid w:val="00895229"/>
    <w:rsid w:val="008952BB"/>
    <w:rsid w:val="008952CB"/>
    <w:rsid w:val="00895408"/>
    <w:rsid w:val="0089553E"/>
    <w:rsid w:val="0089572E"/>
    <w:rsid w:val="0089594C"/>
    <w:rsid w:val="00895A2F"/>
    <w:rsid w:val="00895D23"/>
    <w:rsid w:val="00895F4B"/>
    <w:rsid w:val="008960CE"/>
    <w:rsid w:val="008962FA"/>
    <w:rsid w:val="00896799"/>
    <w:rsid w:val="008968CC"/>
    <w:rsid w:val="00896970"/>
    <w:rsid w:val="00896A17"/>
    <w:rsid w:val="00896A47"/>
    <w:rsid w:val="00896D66"/>
    <w:rsid w:val="00896DC3"/>
    <w:rsid w:val="0089701F"/>
    <w:rsid w:val="00897187"/>
    <w:rsid w:val="008973AA"/>
    <w:rsid w:val="00897540"/>
    <w:rsid w:val="00897618"/>
    <w:rsid w:val="00897747"/>
    <w:rsid w:val="0089782E"/>
    <w:rsid w:val="00897BE3"/>
    <w:rsid w:val="00897CF6"/>
    <w:rsid w:val="00897D57"/>
    <w:rsid w:val="00897F11"/>
    <w:rsid w:val="00897F86"/>
    <w:rsid w:val="00897F99"/>
    <w:rsid w:val="008A0015"/>
    <w:rsid w:val="008A0152"/>
    <w:rsid w:val="008A01A0"/>
    <w:rsid w:val="008A01B7"/>
    <w:rsid w:val="008A039C"/>
    <w:rsid w:val="008A03E1"/>
    <w:rsid w:val="008A0517"/>
    <w:rsid w:val="008A0754"/>
    <w:rsid w:val="008A0A6B"/>
    <w:rsid w:val="008A0A94"/>
    <w:rsid w:val="008A0BD2"/>
    <w:rsid w:val="008A0CAE"/>
    <w:rsid w:val="008A0F04"/>
    <w:rsid w:val="008A0F94"/>
    <w:rsid w:val="008A0FF2"/>
    <w:rsid w:val="008A11BC"/>
    <w:rsid w:val="008A1214"/>
    <w:rsid w:val="008A144E"/>
    <w:rsid w:val="008A14ED"/>
    <w:rsid w:val="008A1530"/>
    <w:rsid w:val="008A15AE"/>
    <w:rsid w:val="008A161F"/>
    <w:rsid w:val="008A1645"/>
    <w:rsid w:val="008A171F"/>
    <w:rsid w:val="008A1B48"/>
    <w:rsid w:val="008A1E5F"/>
    <w:rsid w:val="008A1ED8"/>
    <w:rsid w:val="008A2077"/>
    <w:rsid w:val="008A20F2"/>
    <w:rsid w:val="008A2122"/>
    <w:rsid w:val="008A23B1"/>
    <w:rsid w:val="008A2423"/>
    <w:rsid w:val="008A24DA"/>
    <w:rsid w:val="008A252B"/>
    <w:rsid w:val="008A2699"/>
    <w:rsid w:val="008A27C7"/>
    <w:rsid w:val="008A2980"/>
    <w:rsid w:val="008A29CE"/>
    <w:rsid w:val="008A3030"/>
    <w:rsid w:val="008A3120"/>
    <w:rsid w:val="008A3140"/>
    <w:rsid w:val="008A329E"/>
    <w:rsid w:val="008A32D7"/>
    <w:rsid w:val="008A330A"/>
    <w:rsid w:val="008A35B5"/>
    <w:rsid w:val="008A3620"/>
    <w:rsid w:val="008A3673"/>
    <w:rsid w:val="008A37A6"/>
    <w:rsid w:val="008A37A8"/>
    <w:rsid w:val="008A386F"/>
    <w:rsid w:val="008A395D"/>
    <w:rsid w:val="008A3C1E"/>
    <w:rsid w:val="008A3E23"/>
    <w:rsid w:val="008A3F3D"/>
    <w:rsid w:val="008A4145"/>
    <w:rsid w:val="008A42A1"/>
    <w:rsid w:val="008A4423"/>
    <w:rsid w:val="008A45AA"/>
    <w:rsid w:val="008A4654"/>
    <w:rsid w:val="008A47E9"/>
    <w:rsid w:val="008A4B8C"/>
    <w:rsid w:val="008A4D36"/>
    <w:rsid w:val="008A534B"/>
    <w:rsid w:val="008A53D2"/>
    <w:rsid w:val="008A5B75"/>
    <w:rsid w:val="008A5D8C"/>
    <w:rsid w:val="008A5DDF"/>
    <w:rsid w:val="008A5E14"/>
    <w:rsid w:val="008A5F74"/>
    <w:rsid w:val="008A6070"/>
    <w:rsid w:val="008A62F3"/>
    <w:rsid w:val="008A638A"/>
    <w:rsid w:val="008A6471"/>
    <w:rsid w:val="008A6497"/>
    <w:rsid w:val="008A67FF"/>
    <w:rsid w:val="008A6828"/>
    <w:rsid w:val="008A6B96"/>
    <w:rsid w:val="008A6D3F"/>
    <w:rsid w:val="008A6D67"/>
    <w:rsid w:val="008A6EED"/>
    <w:rsid w:val="008A6F6F"/>
    <w:rsid w:val="008A7191"/>
    <w:rsid w:val="008A7242"/>
    <w:rsid w:val="008A73E8"/>
    <w:rsid w:val="008A7482"/>
    <w:rsid w:val="008A7B6C"/>
    <w:rsid w:val="008A7C41"/>
    <w:rsid w:val="008A7F99"/>
    <w:rsid w:val="008B0131"/>
    <w:rsid w:val="008B0212"/>
    <w:rsid w:val="008B0292"/>
    <w:rsid w:val="008B037B"/>
    <w:rsid w:val="008B0721"/>
    <w:rsid w:val="008B07C9"/>
    <w:rsid w:val="008B081D"/>
    <w:rsid w:val="008B08BE"/>
    <w:rsid w:val="008B0AAA"/>
    <w:rsid w:val="008B0C05"/>
    <w:rsid w:val="008B0C29"/>
    <w:rsid w:val="008B0EC6"/>
    <w:rsid w:val="008B158E"/>
    <w:rsid w:val="008B1868"/>
    <w:rsid w:val="008B1983"/>
    <w:rsid w:val="008B1B1E"/>
    <w:rsid w:val="008B21D6"/>
    <w:rsid w:val="008B2213"/>
    <w:rsid w:val="008B2433"/>
    <w:rsid w:val="008B2733"/>
    <w:rsid w:val="008B27D2"/>
    <w:rsid w:val="008B288C"/>
    <w:rsid w:val="008B2C8E"/>
    <w:rsid w:val="008B2EF9"/>
    <w:rsid w:val="008B2F71"/>
    <w:rsid w:val="008B3279"/>
    <w:rsid w:val="008B3325"/>
    <w:rsid w:val="008B34FA"/>
    <w:rsid w:val="008B38BA"/>
    <w:rsid w:val="008B392C"/>
    <w:rsid w:val="008B3BE7"/>
    <w:rsid w:val="008B3C70"/>
    <w:rsid w:val="008B3D23"/>
    <w:rsid w:val="008B3D5E"/>
    <w:rsid w:val="008B3D8E"/>
    <w:rsid w:val="008B3DF0"/>
    <w:rsid w:val="008B3E33"/>
    <w:rsid w:val="008B3E93"/>
    <w:rsid w:val="008B3F65"/>
    <w:rsid w:val="008B3F72"/>
    <w:rsid w:val="008B417E"/>
    <w:rsid w:val="008B426A"/>
    <w:rsid w:val="008B4341"/>
    <w:rsid w:val="008B4649"/>
    <w:rsid w:val="008B4775"/>
    <w:rsid w:val="008B4C15"/>
    <w:rsid w:val="008B4DEC"/>
    <w:rsid w:val="008B4E6B"/>
    <w:rsid w:val="008B4F4B"/>
    <w:rsid w:val="008B5025"/>
    <w:rsid w:val="008B517E"/>
    <w:rsid w:val="008B51A0"/>
    <w:rsid w:val="008B5229"/>
    <w:rsid w:val="008B562A"/>
    <w:rsid w:val="008B569D"/>
    <w:rsid w:val="008B5767"/>
    <w:rsid w:val="008B5A3E"/>
    <w:rsid w:val="008B5BBE"/>
    <w:rsid w:val="008B5D84"/>
    <w:rsid w:val="008B6231"/>
    <w:rsid w:val="008B636A"/>
    <w:rsid w:val="008B6383"/>
    <w:rsid w:val="008B65B6"/>
    <w:rsid w:val="008B65B8"/>
    <w:rsid w:val="008B65D7"/>
    <w:rsid w:val="008B6B26"/>
    <w:rsid w:val="008B6DA8"/>
    <w:rsid w:val="008B7065"/>
    <w:rsid w:val="008B7096"/>
    <w:rsid w:val="008B73AD"/>
    <w:rsid w:val="008B7465"/>
    <w:rsid w:val="008B75FF"/>
    <w:rsid w:val="008B7A24"/>
    <w:rsid w:val="008B7A95"/>
    <w:rsid w:val="008B7CDA"/>
    <w:rsid w:val="008B7ED0"/>
    <w:rsid w:val="008C027B"/>
    <w:rsid w:val="008C02F6"/>
    <w:rsid w:val="008C0321"/>
    <w:rsid w:val="008C046C"/>
    <w:rsid w:val="008C0621"/>
    <w:rsid w:val="008C06CC"/>
    <w:rsid w:val="008C0892"/>
    <w:rsid w:val="008C092C"/>
    <w:rsid w:val="008C0969"/>
    <w:rsid w:val="008C09CA"/>
    <w:rsid w:val="008C0A11"/>
    <w:rsid w:val="008C0BAD"/>
    <w:rsid w:val="008C0C3E"/>
    <w:rsid w:val="008C0C41"/>
    <w:rsid w:val="008C0E84"/>
    <w:rsid w:val="008C0F67"/>
    <w:rsid w:val="008C0FF6"/>
    <w:rsid w:val="008C1105"/>
    <w:rsid w:val="008C118E"/>
    <w:rsid w:val="008C12D2"/>
    <w:rsid w:val="008C12F0"/>
    <w:rsid w:val="008C1304"/>
    <w:rsid w:val="008C132D"/>
    <w:rsid w:val="008C134E"/>
    <w:rsid w:val="008C13EE"/>
    <w:rsid w:val="008C1765"/>
    <w:rsid w:val="008C1BBC"/>
    <w:rsid w:val="008C1DB7"/>
    <w:rsid w:val="008C2184"/>
    <w:rsid w:val="008C23F3"/>
    <w:rsid w:val="008C273D"/>
    <w:rsid w:val="008C2824"/>
    <w:rsid w:val="008C2B1B"/>
    <w:rsid w:val="008C2E1A"/>
    <w:rsid w:val="008C2F00"/>
    <w:rsid w:val="008C2FD9"/>
    <w:rsid w:val="008C302D"/>
    <w:rsid w:val="008C30E3"/>
    <w:rsid w:val="008C333F"/>
    <w:rsid w:val="008C35FC"/>
    <w:rsid w:val="008C36A9"/>
    <w:rsid w:val="008C3E76"/>
    <w:rsid w:val="008C3FAB"/>
    <w:rsid w:val="008C4072"/>
    <w:rsid w:val="008C40B0"/>
    <w:rsid w:val="008C4159"/>
    <w:rsid w:val="008C42B3"/>
    <w:rsid w:val="008C42FB"/>
    <w:rsid w:val="008C44BC"/>
    <w:rsid w:val="008C4BEC"/>
    <w:rsid w:val="008C509F"/>
    <w:rsid w:val="008C5409"/>
    <w:rsid w:val="008C54BA"/>
    <w:rsid w:val="008C55CC"/>
    <w:rsid w:val="008C57B5"/>
    <w:rsid w:val="008C59C7"/>
    <w:rsid w:val="008C654B"/>
    <w:rsid w:val="008C65B6"/>
    <w:rsid w:val="008C68E6"/>
    <w:rsid w:val="008C6C9B"/>
    <w:rsid w:val="008C6D70"/>
    <w:rsid w:val="008C6D94"/>
    <w:rsid w:val="008C6E71"/>
    <w:rsid w:val="008C6FE8"/>
    <w:rsid w:val="008C7060"/>
    <w:rsid w:val="008C7892"/>
    <w:rsid w:val="008C7AAA"/>
    <w:rsid w:val="008C7AF0"/>
    <w:rsid w:val="008C7C57"/>
    <w:rsid w:val="008D0069"/>
    <w:rsid w:val="008D024B"/>
    <w:rsid w:val="008D0584"/>
    <w:rsid w:val="008D07C1"/>
    <w:rsid w:val="008D07E2"/>
    <w:rsid w:val="008D085A"/>
    <w:rsid w:val="008D0B64"/>
    <w:rsid w:val="008D0E2B"/>
    <w:rsid w:val="008D0F3D"/>
    <w:rsid w:val="008D10DD"/>
    <w:rsid w:val="008D11CA"/>
    <w:rsid w:val="008D1272"/>
    <w:rsid w:val="008D138E"/>
    <w:rsid w:val="008D14BD"/>
    <w:rsid w:val="008D155B"/>
    <w:rsid w:val="008D15F7"/>
    <w:rsid w:val="008D1922"/>
    <w:rsid w:val="008D1B18"/>
    <w:rsid w:val="008D20B4"/>
    <w:rsid w:val="008D20FB"/>
    <w:rsid w:val="008D2567"/>
    <w:rsid w:val="008D258F"/>
    <w:rsid w:val="008D26AE"/>
    <w:rsid w:val="008D287F"/>
    <w:rsid w:val="008D289B"/>
    <w:rsid w:val="008D28E6"/>
    <w:rsid w:val="008D28F7"/>
    <w:rsid w:val="008D2B9E"/>
    <w:rsid w:val="008D2D9F"/>
    <w:rsid w:val="008D2E39"/>
    <w:rsid w:val="008D2FCE"/>
    <w:rsid w:val="008D3145"/>
    <w:rsid w:val="008D3257"/>
    <w:rsid w:val="008D32CE"/>
    <w:rsid w:val="008D331F"/>
    <w:rsid w:val="008D33D8"/>
    <w:rsid w:val="008D34C9"/>
    <w:rsid w:val="008D3847"/>
    <w:rsid w:val="008D3CF0"/>
    <w:rsid w:val="008D3DFE"/>
    <w:rsid w:val="008D3E12"/>
    <w:rsid w:val="008D3EF8"/>
    <w:rsid w:val="008D3F28"/>
    <w:rsid w:val="008D4236"/>
    <w:rsid w:val="008D428A"/>
    <w:rsid w:val="008D433C"/>
    <w:rsid w:val="008D44AC"/>
    <w:rsid w:val="008D4508"/>
    <w:rsid w:val="008D458C"/>
    <w:rsid w:val="008D4845"/>
    <w:rsid w:val="008D4934"/>
    <w:rsid w:val="008D4948"/>
    <w:rsid w:val="008D494E"/>
    <w:rsid w:val="008D4A40"/>
    <w:rsid w:val="008D4BAB"/>
    <w:rsid w:val="008D4E92"/>
    <w:rsid w:val="008D4FF2"/>
    <w:rsid w:val="008D5057"/>
    <w:rsid w:val="008D51F2"/>
    <w:rsid w:val="008D54A1"/>
    <w:rsid w:val="008D54EB"/>
    <w:rsid w:val="008D5529"/>
    <w:rsid w:val="008D5538"/>
    <w:rsid w:val="008D576A"/>
    <w:rsid w:val="008D582F"/>
    <w:rsid w:val="008D5862"/>
    <w:rsid w:val="008D5AAA"/>
    <w:rsid w:val="008D5C40"/>
    <w:rsid w:val="008D5FCC"/>
    <w:rsid w:val="008D60ED"/>
    <w:rsid w:val="008D6124"/>
    <w:rsid w:val="008D61EE"/>
    <w:rsid w:val="008D6296"/>
    <w:rsid w:val="008D6527"/>
    <w:rsid w:val="008D652C"/>
    <w:rsid w:val="008D66A9"/>
    <w:rsid w:val="008D6935"/>
    <w:rsid w:val="008D6A5D"/>
    <w:rsid w:val="008D6B51"/>
    <w:rsid w:val="008D6E95"/>
    <w:rsid w:val="008D7195"/>
    <w:rsid w:val="008D73C7"/>
    <w:rsid w:val="008D74E1"/>
    <w:rsid w:val="008D7565"/>
    <w:rsid w:val="008D7697"/>
    <w:rsid w:val="008D7722"/>
    <w:rsid w:val="008D7762"/>
    <w:rsid w:val="008D7823"/>
    <w:rsid w:val="008D7A8B"/>
    <w:rsid w:val="008D7A8C"/>
    <w:rsid w:val="008D7E20"/>
    <w:rsid w:val="008D7EE2"/>
    <w:rsid w:val="008E0098"/>
    <w:rsid w:val="008E012D"/>
    <w:rsid w:val="008E01DD"/>
    <w:rsid w:val="008E0278"/>
    <w:rsid w:val="008E043F"/>
    <w:rsid w:val="008E059A"/>
    <w:rsid w:val="008E05E0"/>
    <w:rsid w:val="008E06D9"/>
    <w:rsid w:val="008E0746"/>
    <w:rsid w:val="008E07CE"/>
    <w:rsid w:val="008E083C"/>
    <w:rsid w:val="008E0A19"/>
    <w:rsid w:val="008E0E59"/>
    <w:rsid w:val="008E0F24"/>
    <w:rsid w:val="008E10BB"/>
    <w:rsid w:val="008E133F"/>
    <w:rsid w:val="008E13E1"/>
    <w:rsid w:val="008E15E6"/>
    <w:rsid w:val="008E18CF"/>
    <w:rsid w:val="008E1977"/>
    <w:rsid w:val="008E19C9"/>
    <w:rsid w:val="008E1AFD"/>
    <w:rsid w:val="008E1B83"/>
    <w:rsid w:val="008E1BA7"/>
    <w:rsid w:val="008E1BAB"/>
    <w:rsid w:val="008E1CFB"/>
    <w:rsid w:val="008E212B"/>
    <w:rsid w:val="008E242C"/>
    <w:rsid w:val="008E25CC"/>
    <w:rsid w:val="008E28AB"/>
    <w:rsid w:val="008E29B7"/>
    <w:rsid w:val="008E2A1B"/>
    <w:rsid w:val="008E2A61"/>
    <w:rsid w:val="008E2BAE"/>
    <w:rsid w:val="008E2DCC"/>
    <w:rsid w:val="008E2EC8"/>
    <w:rsid w:val="008E302D"/>
    <w:rsid w:val="008E33A0"/>
    <w:rsid w:val="008E3419"/>
    <w:rsid w:val="008E3BD4"/>
    <w:rsid w:val="008E3F8C"/>
    <w:rsid w:val="008E400A"/>
    <w:rsid w:val="008E424B"/>
    <w:rsid w:val="008E43D0"/>
    <w:rsid w:val="008E475C"/>
    <w:rsid w:val="008E48EC"/>
    <w:rsid w:val="008E4E7B"/>
    <w:rsid w:val="008E4F21"/>
    <w:rsid w:val="008E504F"/>
    <w:rsid w:val="008E544C"/>
    <w:rsid w:val="008E54EA"/>
    <w:rsid w:val="008E564F"/>
    <w:rsid w:val="008E56B0"/>
    <w:rsid w:val="008E56BD"/>
    <w:rsid w:val="008E5C35"/>
    <w:rsid w:val="008E5D85"/>
    <w:rsid w:val="008E5E7E"/>
    <w:rsid w:val="008E5EC1"/>
    <w:rsid w:val="008E5EDF"/>
    <w:rsid w:val="008E5F01"/>
    <w:rsid w:val="008E5F3A"/>
    <w:rsid w:val="008E5FDC"/>
    <w:rsid w:val="008E6033"/>
    <w:rsid w:val="008E618B"/>
    <w:rsid w:val="008E63E7"/>
    <w:rsid w:val="008E6493"/>
    <w:rsid w:val="008E6515"/>
    <w:rsid w:val="008E6553"/>
    <w:rsid w:val="008E6561"/>
    <w:rsid w:val="008E6763"/>
    <w:rsid w:val="008E69B5"/>
    <w:rsid w:val="008E6BB1"/>
    <w:rsid w:val="008E6D96"/>
    <w:rsid w:val="008E6EB4"/>
    <w:rsid w:val="008E7123"/>
    <w:rsid w:val="008E728F"/>
    <w:rsid w:val="008E7345"/>
    <w:rsid w:val="008E73CF"/>
    <w:rsid w:val="008E7422"/>
    <w:rsid w:val="008E761D"/>
    <w:rsid w:val="008E7823"/>
    <w:rsid w:val="008E7838"/>
    <w:rsid w:val="008E7CE4"/>
    <w:rsid w:val="008E7D1C"/>
    <w:rsid w:val="008E7DF6"/>
    <w:rsid w:val="008E7E4D"/>
    <w:rsid w:val="008F0155"/>
    <w:rsid w:val="008F04A6"/>
    <w:rsid w:val="008F04B4"/>
    <w:rsid w:val="008F063F"/>
    <w:rsid w:val="008F07E1"/>
    <w:rsid w:val="008F08D6"/>
    <w:rsid w:val="008F08E4"/>
    <w:rsid w:val="008F0AF1"/>
    <w:rsid w:val="008F0BC2"/>
    <w:rsid w:val="008F0BCF"/>
    <w:rsid w:val="008F1219"/>
    <w:rsid w:val="008F122F"/>
    <w:rsid w:val="008F16ED"/>
    <w:rsid w:val="008F1778"/>
    <w:rsid w:val="008F1807"/>
    <w:rsid w:val="008F1A33"/>
    <w:rsid w:val="008F1DE3"/>
    <w:rsid w:val="008F1E02"/>
    <w:rsid w:val="008F23B4"/>
    <w:rsid w:val="008F25FF"/>
    <w:rsid w:val="008F2660"/>
    <w:rsid w:val="008F2A75"/>
    <w:rsid w:val="008F2C11"/>
    <w:rsid w:val="008F2CCC"/>
    <w:rsid w:val="008F317C"/>
    <w:rsid w:val="008F34AE"/>
    <w:rsid w:val="008F368D"/>
    <w:rsid w:val="008F36A6"/>
    <w:rsid w:val="008F3703"/>
    <w:rsid w:val="008F3852"/>
    <w:rsid w:val="008F388E"/>
    <w:rsid w:val="008F38A0"/>
    <w:rsid w:val="008F39A2"/>
    <w:rsid w:val="008F39DD"/>
    <w:rsid w:val="008F3A1D"/>
    <w:rsid w:val="008F3B69"/>
    <w:rsid w:val="008F3BA6"/>
    <w:rsid w:val="008F3BF1"/>
    <w:rsid w:val="008F3E02"/>
    <w:rsid w:val="008F3EC6"/>
    <w:rsid w:val="008F3FC6"/>
    <w:rsid w:val="008F3FFB"/>
    <w:rsid w:val="008F4049"/>
    <w:rsid w:val="008F40AD"/>
    <w:rsid w:val="008F40C2"/>
    <w:rsid w:val="008F41AA"/>
    <w:rsid w:val="008F41AD"/>
    <w:rsid w:val="008F430F"/>
    <w:rsid w:val="008F44C4"/>
    <w:rsid w:val="008F48B4"/>
    <w:rsid w:val="008F495A"/>
    <w:rsid w:val="008F4B99"/>
    <w:rsid w:val="008F4CE1"/>
    <w:rsid w:val="008F4EC2"/>
    <w:rsid w:val="008F4ECB"/>
    <w:rsid w:val="008F521A"/>
    <w:rsid w:val="008F5477"/>
    <w:rsid w:val="008F567C"/>
    <w:rsid w:val="008F5889"/>
    <w:rsid w:val="008F5927"/>
    <w:rsid w:val="008F5B19"/>
    <w:rsid w:val="008F5B7C"/>
    <w:rsid w:val="008F5F6E"/>
    <w:rsid w:val="008F627F"/>
    <w:rsid w:val="008F65A8"/>
    <w:rsid w:val="008F663B"/>
    <w:rsid w:val="008F67CD"/>
    <w:rsid w:val="008F6819"/>
    <w:rsid w:val="008F6B50"/>
    <w:rsid w:val="008F6F71"/>
    <w:rsid w:val="008F7217"/>
    <w:rsid w:val="008F73A3"/>
    <w:rsid w:val="008F73FB"/>
    <w:rsid w:val="008F7515"/>
    <w:rsid w:val="008F76A1"/>
    <w:rsid w:val="008F79F7"/>
    <w:rsid w:val="008F7B59"/>
    <w:rsid w:val="008F7C58"/>
    <w:rsid w:val="008F7E71"/>
    <w:rsid w:val="008F7F87"/>
    <w:rsid w:val="00900120"/>
    <w:rsid w:val="009003BB"/>
    <w:rsid w:val="0090046D"/>
    <w:rsid w:val="00900735"/>
    <w:rsid w:val="009007FE"/>
    <w:rsid w:val="009009FC"/>
    <w:rsid w:val="00900A6F"/>
    <w:rsid w:val="00900AAB"/>
    <w:rsid w:val="00900D15"/>
    <w:rsid w:val="00900DE9"/>
    <w:rsid w:val="0090106C"/>
    <w:rsid w:val="009011B3"/>
    <w:rsid w:val="009011ED"/>
    <w:rsid w:val="0090143C"/>
    <w:rsid w:val="009014A7"/>
    <w:rsid w:val="009017E1"/>
    <w:rsid w:val="00901801"/>
    <w:rsid w:val="00901886"/>
    <w:rsid w:val="0090192D"/>
    <w:rsid w:val="009019A7"/>
    <w:rsid w:val="00901ABB"/>
    <w:rsid w:val="00901DD6"/>
    <w:rsid w:val="00901DDE"/>
    <w:rsid w:val="00901DF1"/>
    <w:rsid w:val="00901F0B"/>
    <w:rsid w:val="0090219C"/>
    <w:rsid w:val="0090229A"/>
    <w:rsid w:val="009023FC"/>
    <w:rsid w:val="0090244E"/>
    <w:rsid w:val="009027BD"/>
    <w:rsid w:val="00902821"/>
    <w:rsid w:val="00902833"/>
    <w:rsid w:val="00902A28"/>
    <w:rsid w:val="00902A2B"/>
    <w:rsid w:val="00902AC3"/>
    <w:rsid w:val="00902F13"/>
    <w:rsid w:val="0090320E"/>
    <w:rsid w:val="00903293"/>
    <w:rsid w:val="0090352B"/>
    <w:rsid w:val="00903568"/>
    <w:rsid w:val="0090360C"/>
    <w:rsid w:val="0090363E"/>
    <w:rsid w:val="00903720"/>
    <w:rsid w:val="00903D61"/>
    <w:rsid w:val="00903FD8"/>
    <w:rsid w:val="009040A2"/>
    <w:rsid w:val="0090413D"/>
    <w:rsid w:val="00904157"/>
    <w:rsid w:val="009043AF"/>
    <w:rsid w:val="00904422"/>
    <w:rsid w:val="00904450"/>
    <w:rsid w:val="009045A9"/>
    <w:rsid w:val="0090482E"/>
    <w:rsid w:val="0090499A"/>
    <w:rsid w:val="009049CB"/>
    <w:rsid w:val="00904CD4"/>
    <w:rsid w:val="00904EAB"/>
    <w:rsid w:val="00904F64"/>
    <w:rsid w:val="00905000"/>
    <w:rsid w:val="0090524C"/>
    <w:rsid w:val="009054D2"/>
    <w:rsid w:val="00905535"/>
    <w:rsid w:val="009056C4"/>
    <w:rsid w:val="00905AD7"/>
    <w:rsid w:val="00905D9E"/>
    <w:rsid w:val="00905E9A"/>
    <w:rsid w:val="00906002"/>
    <w:rsid w:val="00906259"/>
    <w:rsid w:val="00906414"/>
    <w:rsid w:val="009065E7"/>
    <w:rsid w:val="0090676F"/>
    <w:rsid w:val="0090686C"/>
    <w:rsid w:val="009068BC"/>
    <w:rsid w:val="00906A9D"/>
    <w:rsid w:val="00906C62"/>
    <w:rsid w:val="00906D64"/>
    <w:rsid w:val="00906D6B"/>
    <w:rsid w:val="00906F0E"/>
    <w:rsid w:val="0090704C"/>
    <w:rsid w:val="00907196"/>
    <w:rsid w:val="00907228"/>
    <w:rsid w:val="009072B6"/>
    <w:rsid w:val="00907393"/>
    <w:rsid w:val="009073CD"/>
    <w:rsid w:val="009073D8"/>
    <w:rsid w:val="00907875"/>
    <w:rsid w:val="009078BC"/>
    <w:rsid w:val="009078E9"/>
    <w:rsid w:val="00907A1B"/>
    <w:rsid w:val="00907D5D"/>
    <w:rsid w:val="00907DAA"/>
    <w:rsid w:val="009100E5"/>
    <w:rsid w:val="00910347"/>
    <w:rsid w:val="009104B8"/>
    <w:rsid w:val="00910765"/>
    <w:rsid w:val="009108B3"/>
    <w:rsid w:val="00910A65"/>
    <w:rsid w:val="00910AB7"/>
    <w:rsid w:val="00910BF4"/>
    <w:rsid w:val="00910C69"/>
    <w:rsid w:val="00910DB6"/>
    <w:rsid w:val="0091100A"/>
    <w:rsid w:val="0091100C"/>
    <w:rsid w:val="00911025"/>
    <w:rsid w:val="009111FE"/>
    <w:rsid w:val="00911341"/>
    <w:rsid w:val="00911380"/>
    <w:rsid w:val="009113AB"/>
    <w:rsid w:val="0091141E"/>
    <w:rsid w:val="00911932"/>
    <w:rsid w:val="00911BB8"/>
    <w:rsid w:val="00911BEA"/>
    <w:rsid w:val="00911BF4"/>
    <w:rsid w:val="00911F58"/>
    <w:rsid w:val="00912057"/>
    <w:rsid w:val="009120D9"/>
    <w:rsid w:val="00912470"/>
    <w:rsid w:val="00912493"/>
    <w:rsid w:val="0091278F"/>
    <w:rsid w:val="009127F1"/>
    <w:rsid w:val="009128B0"/>
    <w:rsid w:val="009129B7"/>
    <w:rsid w:val="00912B63"/>
    <w:rsid w:val="00912D05"/>
    <w:rsid w:val="00912E50"/>
    <w:rsid w:val="00912EF6"/>
    <w:rsid w:val="00912FCD"/>
    <w:rsid w:val="00913032"/>
    <w:rsid w:val="00913374"/>
    <w:rsid w:val="009133CD"/>
    <w:rsid w:val="009135CF"/>
    <w:rsid w:val="009137FE"/>
    <w:rsid w:val="00913866"/>
    <w:rsid w:val="009138B8"/>
    <w:rsid w:val="00913B65"/>
    <w:rsid w:val="00913BBB"/>
    <w:rsid w:val="00913BBE"/>
    <w:rsid w:val="00913C3D"/>
    <w:rsid w:val="00913C87"/>
    <w:rsid w:val="00913E38"/>
    <w:rsid w:val="00913FE7"/>
    <w:rsid w:val="0091402F"/>
    <w:rsid w:val="0091411D"/>
    <w:rsid w:val="00914178"/>
    <w:rsid w:val="009141D4"/>
    <w:rsid w:val="00914253"/>
    <w:rsid w:val="009143A4"/>
    <w:rsid w:val="009144D1"/>
    <w:rsid w:val="009145C0"/>
    <w:rsid w:val="009145C3"/>
    <w:rsid w:val="00914744"/>
    <w:rsid w:val="009148DE"/>
    <w:rsid w:val="009149A8"/>
    <w:rsid w:val="00915077"/>
    <w:rsid w:val="009150AC"/>
    <w:rsid w:val="009151AE"/>
    <w:rsid w:val="00915491"/>
    <w:rsid w:val="009156DA"/>
    <w:rsid w:val="0091579F"/>
    <w:rsid w:val="009158AE"/>
    <w:rsid w:val="009158E4"/>
    <w:rsid w:val="009159C7"/>
    <w:rsid w:val="00915E5D"/>
    <w:rsid w:val="00916364"/>
    <w:rsid w:val="00916381"/>
    <w:rsid w:val="00916422"/>
    <w:rsid w:val="009164D1"/>
    <w:rsid w:val="00916631"/>
    <w:rsid w:val="00916773"/>
    <w:rsid w:val="0091683B"/>
    <w:rsid w:val="009169E9"/>
    <w:rsid w:val="00916A92"/>
    <w:rsid w:val="00916AAB"/>
    <w:rsid w:val="00916B31"/>
    <w:rsid w:val="00916C37"/>
    <w:rsid w:val="00916DC1"/>
    <w:rsid w:val="00916E56"/>
    <w:rsid w:val="00916F91"/>
    <w:rsid w:val="0091713B"/>
    <w:rsid w:val="0091731A"/>
    <w:rsid w:val="0091734B"/>
    <w:rsid w:val="009173BE"/>
    <w:rsid w:val="009174C8"/>
    <w:rsid w:val="00917610"/>
    <w:rsid w:val="0091775C"/>
    <w:rsid w:val="00917B65"/>
    <w:rsid w:val="00917B77"/>
    <w:rsid w:val="00917C21"/>
    <w:rsid w:val="00917C7B"/>
    <w:rsid w:val="00917D0D"/>
    <w:rsid w:val="00917EFF"/>
    <w:rsid w:val="009202B7"/>
    <w:rsid w:val="00920396"/>
    <w:rsid w:val="00920506"/>
    <w:rsid w:val="0092054B"/>
    <w:rsid w:val="00920815"/>
    <w:rsid w:val="00920AA8"/>
    <w:rsid w:val="00920AAF"/>
    <w:rsid w:val="00920B4C"/>
    <w:rsid w:val="00920C17"/>
    <w:rsid w:val="00920F64"/>
    <w:rsid w:val="0092125A"/>
    <w:rsid w:val="0092145C"/>
    <w:rsid w:val="00921513"/>
    <w:rsid w:val="00921791"/>
    <w:rsid w:val="00921DD9"/>
    <w:rsid w:val="00921F04"/>
    <w:rsid w:val="009220E4"/>
    <w:rsid w:val="009220E6"/>
    <w:rsid w:val="00922119"/>
    <w:rsid w:val="0092253F"/>
    <w:rsid w:val="00922561"/>
    <w:rsid w:val="00922672"/>
    <w:rsid w:val="00922866"/>
    <w:rsid w:val="009229B5"/>
    <w:rsid w:val="009229BE"/>
    <w:rsid w:val="00922A1B"/>
    <w:rsid w:val="00922B9D"/>
    <w:rsid w:val="00922BF2"/>
    <w:rsid w:val="00922CD9"/>
    <w:rsid w:val="00922D19"/>
    <w:rsid w:val="00922DE8"/>
    <w:rsid w:val="00922F3E"/>
    <w:rsid w:val="00922F7D"/>
    <w:rsid w:val="009234AD"/>
    <w:rsid w:val="00923BC5"/>
    <w:rsid w:val="00923C7E"/>
    <w:rsid w:val="00923EEC"/>
    <w:rsid w:val="00923F39"/>
    <w:rsid w:val="00923FDA"/>
    <w:rsid w:val="00924048"/>
    <w:rsid w:val="00924155"/>
    <w:rsid w:val="009243E7"/>
    <w:rsid w:val="0092442B"/>
    <w:rsid w:val="00924650"/>
    <w:rsid w:val="0092487B"/>
    <w:rsid w:val="00924EA6"/>
    <w:rsid w:val="00924FE4"/>
    <w:rsid w:val="009250CB"/>
    <w:rsid w:val="009250FF"/>
    <w:rsid w:val="009253AD"/>
    <w:rsid w:val="0092552B"/>
    <w:rsid w:val="009256DC"/>
    <w:rsid w:val="0092570D"/>
    <w:rsid w:val="00925C6E"/>
    <w:rsid w:val="00925F56"/>
    <w:rsid w:val="009261A1"/>
    <w:rsid w:val="00926236"/>
    <w:rsid w:val="009264D6"/>
    <w:rsid w:val="009264D9"/>
    <w:rsid w:val="009266B6"/>
    <w:rsid w:val="00926AC3"/>
    <w:rsid w:val="00926B41"/>
    <w:rsid w:val="00926B5F"/>
    <w:rsid w:val="00926CE0"/>
    <w:rsid w:val="00926D52"/>
    <w:rsid w:val="00926E34"/>
    <w:rsid w:val="00927368"/>
    <w:rsid w:val="009273C7"/>
    <w:rsid w:val="0092772A"/>
    <w:rsid w:val="00927765"/>
    <w:rsid w:val="00927924"/>
    <w:rsid w:val="00927A2E"/>
    <w:rsid w:val="00927AFB"/>
    <w:rsid w:val="00927CD6"/>
    <w:rsid w:val="00927E00"/>
    <w:rsid w:val="00927FDC"/>
    <w:rsid w:val="00930367"/>
    <w:rsid w:val="00930405"/>
    <w:rsid w:val="0093074C"/>
    <w:rsid w:val="00930A58"/>
    <w:rsid w:val="00930BC4"/>
    <w:rsid w:val="00930CBC"/>
    <w:rsid w:val="00930DA7"/>
    <w:rsid w:val="00930DBF"/>
    <w:rsid w:val="0093110B"/>
    <w:rsid w:val="009311B6"/>
    <w:rsid w:val="00931315"/>
    <w:rsid w:val="00931427"/>
    <w:rsid w:val="009314F4"/>
    <w:rsid w:val="00931517"/>
    <w:rsid w:val="009317A2"/>
    <w:rsid w:val="0093193B"/>
    <w:rsid w:val="00931BAB"/>
    <w:rsid w:val="00931DF6"/>
    <w:rsid w:val="00931EDA"/>
    <w:rsid w:val="00931FB3"/>
    <w:rsid w:val="0093203A"/>
    <w:rsid w:val="009320CA"/>
    <w:rsid w:val="009320E8"/>
    <w:rsid w:val="009324ED"/>
    <w:rsid w:val="00932823"/>
    <w:rsid w:val="009328EA"/>
    <w:rsid w:val="00932FE9"/>
    <w:rsid w:val="00933297"/>
    <w:rsid w:val="00933324"/>
    <w:rsid w:val="00933351"/>
    <w:rsid w:val="0093335D"/>
    <w:rsid w:val="0093348E"/>
    <w:rsid w:val="0093350D"/>
    <w:rsid w:val="0093352D"/>
    <w:rsid w:val="009336F6"/>
    <w:rsid w:val="0093399D"/>
    <w:rsid w:val="00933B0B"/>
    <w:rsid w:val="00933CDD"/>
    <w:rsid w:val="00933E21"/>
    <w:rsid w:val="00933E50"/>
    <w:rsid w:val="00934123"/>
    <w:rsid w:val="00934192"/>
    <w:rsid w:val="0093427F"/>
    <w:rsid w:val="00934299"/>
    <w:rsid w:val="009342F2"/>
    <w:rsid w:val="0093459A"/>
    <w:rsid w:val="00934B95"/>
    <w:rsid w:val="00934ECF"/>
    <w:rsid w:val="0093505F"/>
    <w:rsid w:val="0093515C"/>
    <w:rsid w:val="00935413"/>
    <w:rsid w:val="0093546D"/>
    <w:rsid w:val="0093574B"/>
    <w:rsid w:val="00935BA5"/>
    <w:rsid w:val="00935D7C"/>
    <w:rsid w:val="00935E17"/>
    <w:rsid w:val="0093606D"/>
    <w:rsid w:val="009368FC"/>
    <w:rsid w:val="0093694C"/>
    <w:rsid w:val="00936BF9"/>
    <w:rsid w:val="00936D57"/>
    <w:rsid w:val="00936E60"/>
    <w:rsid w:val="00936FCF"/>
    <w:rsid w:val="00937215"/>
    <w:rsid w:val="0093754B"/>
    <w:rsid w:val="009377B1"/>
    <w:rsid w:val="00937CC7"/>
    <w:rsid w:val="00937E68"/>
    <w:rsid w:val="00937FD3"/>
    <w:rsid w:val="00940361"/>
    <w:rsid w:val="00940362"/>
    <w:rsid w:val="009406DC"/>
    <w:rsid w:val="00940769"/>
    <w:rsid w:val="00940836"/>
    <w:rsid w:val="009409D7"/>
    <w:rsid w:val="00940A18"/>
    <w:rsid w:val="009411EC"/>
    <w:rsid w:val="00941209"/>
    <w:rsid w:val="0094127C"/>
    <w:rsid w:val="009412AA"/>
    <w:rsid w:val="009412F9"/>
    <w:rsid w:val="009415C9"/>
    <w:rsid w:val="00941660"/>
    <w:rsid w:val="009416A9"/>
    <w:rsid w:val="0094171B"/>
    <w:rsid w:val="00941955"/>
    <w:rsid w:val="009419B4"/>
    <w:rsid w:val="00941A4F"/>
    <w:rsid w:val="00941ABB"/>
    <w:rsid w:val="00941B79"/>
    <w:rsid w:val="00941CF6"/>
    <w:rsid w:val="00941D7B"/>
    <w:rsid w:val="00941DC6"/>
    <w:rsid w:val="00941E59"/>
    <w:rsid w:val="00941EF9"/>
    <w:rsid w:val="00941F27"/>
    <w:rsid w:val="009420B3"/>
    <w:rsid w:val="009422A7"/>
    <w:rsid w:val="009427BA"/>
    <w:rsid w:val="009429F0"/>
    <w:rsid w:val="00942A43"/>
    <w:rsid w:val="00942C07"/>
    <w:rsid w:val="00942D56"/>
    <w:rsid w:val="00942E68"/>
    <w:rsid w:val="00942FFE"/>
    <w:rsid w:val="009434E4"/>
    <w:rsid w:val="009434F1"/>
    <w:rsid w:val="00943655"/>
    <w:rsid w:val="00943668"/>
    <w:rsid w:val="009438DE"/>
    <w:rsid w:val="0094392F"/>
    <w:rsid w:val="00943967"/>
    <w:rsid w:val="00943BF2"/>
    <w:rsid w:val="00943CED"/>
    <w:rsid w:val="00943DB2"/>
    <w:rsid w:val="00943E1B"/>
    <w:rsid w:val="00943E99"/>
    <w:rsid w:val="0094426A"/>
    <w:rsid w:val="009443C3"/>
    <w:rsid w:val="009449AB"/>
    <w:rsid w:val="00944AE9"/>
    <w:rsid w:val="00944D74"/>
    <w:rsid w:val="00944EAA"/>
    <w:rsid w:val="009450EA"/>
    <w:rsid w:val="00945161"/>
    <w:rsid w:val="009452BD"/>
    <w:rsid w:val="00945413"/>
    <w:rsid w:val="0094546F"/>
    <w:rsid w:val="009456DD"/>
    <w:rsid w:val="0094571C"/>
    <w:rsid w:val="00945BA7"/>
    <w:rsid w:val="00945C33"/>
    <w:rsid w:val="00945F6F"/>
    <w:rsid w:val="00946073"/>
    <w:rsid w:val="00946659"/>
    <w:rsid w:val="009466D0"/>
    <w:rsid w:val="009467D8"/>
    <w:rsid w:val="00946880"/>
    <w:rsid w:val="00946A4F"/>
    <w:rsid w:val="00946B0F"/>
    <w:rsid w:val="00946C0D"/>
    <w:rsid w:val="00946E2A"/>
    <w:rsid w:val="00946E58"/>
    <w:rsid w:val="00946F4D"/>
    <w:rsid w:val="00946F9F"/>
    <w:rsid w:val="009471E2"/>
    <w:rsid w:val="00947497"/>
    <w:rsid w:val="009477BC"/>
    <w:rsid w:val="009479DE"/>
    <w:rsid w:val="00947A1A"/>
    <w:rsid w:val="00947BC8"/>
    <w:rsid w:val="00947D3B"/>
    <w:rsid w:val="00947E55"/>
    <w:rsid w:val="0095060C"/>
    <w:rsid w:val="00950717"/>
    <w:rsid w:val="0095080F"/>
    <w:rsid w:val="00950912"/>
    <w:rsid w:val="00950A24"/>
    <w:rsid w:val="00950AE0"/>
    <w:rsid w:val="00950DE6"/>
    <w:rsid w:val="00950EA6"/>
    <w:rsid w:val="00950EBC"/>
    <w:rsid w:val="00950FCC"/>
    <w:rsid w:val="009512A1"/>
    <w:rsid w:val="009513FF"/>
    <w:rsid w:val="0095190E"/>
    <w:rsid w:val="00951CB4"/>
    <w:rsid w:val="009522CE"/>
    <w:rsid w:val="00952384"/>
    <w:rsid w:val="009524AB"/>
    <w:rsid w:val="00952536"/>
    <w:rsid w:val="009526C0"/>
    <w:rsid w:val="009526C4"/>
    <w:rsid w:val="0095271E"/>
    <w:rsid w:val="00952755"/>
    <w:rsid w:val="009527AD"/>
    <w:rsid w:val="0095291B"/>
    <w:rsid w:val="00952A81"/>
    <w:rsid w:val="00952B1A"/>
    <w:rsid w:val="00952C1C"/>
    <w:rsid w:val="00952F74"/>
    <w:rsid w:val="00953255"/>
    <w:rsid w:val="00953864"/>
    <w:rsid w:val="0095388B"/>
    <w:rsid w:val="00953965"/>
    <w:rsid w:val="00953B27"/>
    <w:rsid w:val="00953CB6"/>
    <w:rsid w:val="00953D6E"/>
    <w:rsid w:val="00953D83"/>
    <w:rsid w:val="00953DA4"/>
    <w:rsid w:val="00953EEA"/>
    <w:rsid w:val="00954130"/>
    <w:rsid w:val="009541E2"/>
    <w:rsid w:val="00954266"/>
    <w:rsid w:val="009542A8"/>
    <w:rsid w:val="00954516"/>
    <w:rsid w:val="009548BA"/>
    <w:rsid w:val="00954960"/>
    <w:rsid w:val="00954B7C"/>
    <w:rsid w:val="00954FFE"/>
    <w:rsid w:val="0095512F"/>
    <w:rsid w:val="009551FB"/>
    <w:rsid w:val="0095529C"/>
    <w:rsid w:val="009552DC"/>
    <w:rsid w:val="009555E1"/>
    <w:rsid w:val="00955A0C"/>
    <w:rsid w:val="00955AF5"/>
    <w:rsid w:val="00955BDC"/>
    <w:rsid w:val="00955E2A"/>
    <w:rsid w:val="00955F9C"/>
    <w:rsid w:val="0095600E"/>
    <w:rsid w:val="009560A4"/>
    <w:rsid w:val="00956274"/>
    <w:rsid w:val="009562CF"/>
    <w:rsid w:val="00956305"/>
    <w:rsid w:val="00956B16"/>
    <w:rsid w:val="00956E3F"/>
    <w:rsid w:val="00956F00"/>
    <w:rsid w:val="00956F4E"/>
    <w:rsid w:val="00957174"/>
    <w:rsid w:val="009572A8"/>
    <w:rsid w:val="009572C5"/>
    <w:rsid w:val="009574B6"/>
    <w:rsid w:val="00957818"/>
    <w:rsid w:val="009578D8"/>
    <w:rsid w:val="00957A97"/>
    <w:rsid w:val="00957B71"/>
    <w:rsid w:val="00957E55"/>
    <w:rsid w:val="00957F81"/>
    <w:rsid w:val="00960014"/>
    <w:rsid w:val="00960180"/>
    <w:rsid w:val="00960194"/>
    <w:rsid w:val="009602A4"/>
    <w:rsid w:val="00960300"/>
    <w:rsid w:val="00960308"/>
    <w:rsid w:val="0096041C"/>
    <w:rsid w:val="00960473"/>
    <w:rsid w:val="00960483"/>
    <w:rsid w:val="009604D2"/>
    <w:rsid w:val="009604F1"/>
    <w:rsid w:val="00960633"/>
    <w:rsid w:val="00960696"/>
    <w:rsid w:val="00960D35"/>
    <w:rsid w:val="00960D69"/>
    <w:rsid w:val="00961006"/>
    <w:rsid w:val="00961092"/>
    <w:rsid w:val="009610BF"/>
    <w:rsid w:val="0096123A"/>
    <w:rsid w:val="00961279"/>
    <w:rsid w:val="009613E5"/>
    <w:rsid w:val="00961443"/>
    <w:rsid w:val="009614B3"/>
    <w:rsid w:val="0096164C"/>
    <w:rsid w:val="009619F5"/>
    <w:rsid w:val="00961A51"/>
    <w:rsid w:val="00961B91"/>
    <w:rsid w:val="00961BB8"/>
    <w:rsid w:val="00961F50"/>
    <w:rsid w:val="00962284"/>
    <w:rsid w:val="00962306"/>
    <w:rsid w:val="0096233C"/>
    <w:rsid w:val="0096239F"/>
    <w:rsid w:val="00962435"/>
    <w:rsid w:val="00962593"/>
    <w:rsid w:val="0096261A"/>
    <w:rsid w:val="009627CC"/>
    <w:rsid w:val="009628BB"/>
    <w:rsid w:val="00962936"/>
    <w:rsid w:val="009629B0"/>
    <w:rsid w:val="00962A0A"/>
    <w:rsid w:val="00962B34"/>
    <w:rsid w:val="00962B51"/>
    <w:rsid w:val="00962B59"/>
    <w:rsid w:val="00962CAD"/>
    <w:rsid w:val="00962D56"/>
    <w:rsid w:val="00962DAE"/>
    <w:rsid w:val="009631EA"/>
    <w:rsid w:val="00963478"/>
    <w:rsid w:val="0096376D"/>
    <w:rsid w:val="00963B1D"/>
    <w:rsid w:val="00963B54"/>
    <w:rsid w:val="00963B92"/>
    <w:rsid w:val="00963D80"/>
    <w:rsid w:val="00963DA0"/>
    <w:rsid w:val="00963DE9"/>
    <w:rsid w:val="00964024"/>
    <w:rsid w:val="009643D6"/>
    <w:rsid w:val="0096473F"/>
    <w:rsid w:val="0096476B"/>
    <w:rsid w:val="00964A22"/>
    <w:rsid w:val="00964A52"/>
    <w:rsid w:val="00964B41"/>
    <w:rsid w:val="00964CE9"/>
    <w:rsid w:val="00964D1C"/>
    <w:rsid w:val="00964DAC"/>
    <w:rsid w:val="0096522B"/>
    <w:rsid w:val="0096526F"/>
    <w:rsid w:val="00965293"/>
    <w:rsid w:val="0096532B"/>
    <w:rsid w:val="009653AF"/>
    <w:rsid w:val="009656B6"/>
    <w:rsid w:val="0096576A"/>
    <w:rsid w:val="0096595C"/>
    <w:rsid w:val="00965B6A"/>
    <w:rsid w:val="00965E0E"/>
    <w:rsid w:val="00965EC6"/>
    <w:rsid w:val="00966193"/>
    <w:rsid w:val="009663CD"/>
    <w:rsid w:val="00966550"/>
    <w:rsid w:val="00966603"/>
    <w:rsid w:val="009667AF"/>
    <w:rsid w:val="0096696D"/>
    <w:rsid w:val="009669E4"/>
    <w:rsid w:val="00966B27"/>
    <w:rsid w:val="00966C0E"/>
    <w:rsid w:val="00966D92"/>
    <w:rsid w:val="00966E37"/>
    <w:rsid w:val="00966FA3"/>
    <w:rsid w:val="009670A3"/>
    <w:rsid w:val="0096717E"/>
    <w:rsid w:val="009671C2"/>
    <w:rsid w:val="009671C4"/>
    <w:rsid w:val="00967295"/>
    <w:rsid w:val="009672D9"/>
    <w:rsid w:val="009675D8"/>
    <w:rsid w:val="009675E9"/>
    <w:rsid w:val="0096784F"/>
    <w:rsid w:val="0096791F"/>
    <w:rsid w:val="00967B4D"/>
    <w:rsid w:val="00967F09"/>
    <w:rsid w:val="0097005C"/>
    <w:rsid w:val="00970177"/>
    <w:rsid w:val="0097029D"/>
    <w:rsid w:val="009703C9"/>
    <w:rsid w:val="0097061C"/>
    <w:rsid w:val="00970643"/>
    <w:rsid w:val="00970AA6"/>
    <w:rsid w:val="00970E8A"/>
    <w:rsid w:val="009713B0"/>
    <w:rsid w:val="00971471"/>
    <w:rsid w:val="009715EC"/>
    <w:rsid w:val="009715F1"/>
    <w:rsid w:val="0097172B"/>
    <w:rsid w:val="009717E4"/>
    <w:rsid w:val="009717ED"/>
    <w:rsid w:val="00971803"/>
    <w:rsid w:val="00971931"/>
    <w:rsid w:val="00971B2B"/>
    <w:rsid w:val="00971B52"/>
    <w:rsid w:val="00971C8C"/>
    <w:rsid w:val="0097201B"/>
    <w:rsid w:val="00972114"/>
    <w:rsid w:val="009723B3"/>
    <w:rsid w:val="0097246C"/>
    <w:rsid w:val="0097252E"/>
    <w:rsid w:val="00972BA6"/>
    <w:rsid w:val="00972BCB"/>
    <w:rsid w:val="00972E97"/>
    <w:rsid w:val="00972FA4"/>
    <w:rsid w:val="00972FF3"/>
    <w:rsid w:val="00973486"/>
    <w:rsid w:val="009735EE"/>
    <w:rsid w:val="00973683"/>
    <w:rsid w:val="00973828"/>
    <w:rsid w:val="00973954"/>
    <w:rsid w:val="00973B63"/>
    <w:rsid w:val="00973BB2"/>
    <w:rsid w:val="00973DC4"/>
    <w:rsid w:val="00973FCE"/>
    <w:rsid w:val="0097411B"/>
    <w:rsid w:val="00974284"/>
    <w:rsid w:val="00974318"/>
    <w:rsid w:val="009743C4"/>
    <w:rsid w:val="009746D1"/>
    <w:rsid w:val="00974807"/>
    <w:rsid w:val="00974A3A"/>
    <w:rsid w:val="00974A93"/>
    <w:rsid w:val="00974C29"/>
    <w:rsid w:val="00974FF6"/>
    <w:rsid w:val="00975083"/>
    <w:rsid w:val="009753D6"/>
    <w:rsid w:val="009755C3"/>
    <w:rsid w:val="00975626"/>
    <w:rsid w:val="0097565D"/>
    <w:rsid w:val="00975748"/>
    <w:rsid w:val="0097593D"/>
    <w:rsid w:val="00975AA1"/>
    <w:rsid w:val="00975AF6"/>
    <w:rsid w:val="00975B94"/>
    <w:rsid w:val="00975BDF"/>
    <w:rsid w:val="00975E65"/>
    <w:rsid w:val="00975F02"/>
    <w:rsid w:val="009760A4"/>
    <w:rsid w:val="009765A4"/>
    <w:rsid w:val="009765D8"/>
    <w:rsid w:val="00976684"/>
    <w:rsid w:val="009766E2"/>
    <w:rsid w:val="00976817"/>
    <w:rsid w:val="00976920"/>
    <w:rsid w:val="00976A26"/>
    <w:rsid w:val="00976B93"/>
    <w:rsid w:val="00976BF1"/>
    <w:rsid w:val="00976CA6"/>
    <w:rsid w:val="00976D0C"/>
    <w:rsid w:val="00976D3A"/>
    <w:rsid w:val="00976F50"/>
    <w:rsid w:val="0097723C"/>
    <w:rsid w:val="00977246"/>
    <w:rsid w:val="009772C0"/>
    <w:rsid w:val="009773C6"/>
    <w:rsid w:val="0097741D"/>
    <w:rsid w:val="0097744C"/>
    <w:rsid w:val="00977699"/>
    <w:rsid w:val="009779EF"/>
    <w:rsid w:val="00977A32"/>
    <w:rsid w:val="00977A6F"/>
    <w:rsid w:val="00977A9F"/>
    <w:rsid w:val="00977BED"/>
    <w:rsid w:val="00977D60"/>
    <w:rsid w:val="00977EA2"/>
    <w:rsid w:val="00977F04"/>
    <w:rsid w:val="0098006D"/>
    <w:rsid w:val="009801A4"/>
    <w:rsid w:val="00980348"/>
    <w:rsid w:val="00980359"/>
    <w:rsid w:val="0098041D"/>
    <w:rsid w:val="0098046D"/>
    <w:rsid w:val="00980472"/>
    <w:rsid w:val="009807F9"/>
    <w:rsid w:val="00980809"/>
    <w:rsid w:val="009810F0"/>
    <w:rsid w:val="00981118"/>
    <w:rsid w:val="009814F0"/>
    <w:rsid w:val="00981563"/>
    <w:rsid w:val="009815ED"/>
    <w:rsid w:val="00981867"/>
    <w:rsid w:val="00981983"/>
    <w:rsid w:val="00981A86"/>
    <w:rsid w:val="00981CAA"/>
    <w:rsid w:val="00981CB5"/>
    <w:rsid w:val="00981D5B"/>
    <w:rsid w:val="0098213C"/>
    <w:rsid w:val="00982313"/>
    <w:rsid w:val="00982454"/>
    <w:rsid w:val="00982911"/>
    <w:rsid w:val="00982BAA"/>
    <w:rsid w:val="00982C45"/>
    <w:rsid w:val="00982D03"/>
    <w:rsid w:val="00982D59"/>
    <w:rsid w:val="00982DA0"/>
    <w:rsid w:val="00982DBB"/>
    <w:rsid w:val="0098304B"/>
    <w:rsid w:val="009831F8"/>
    <w:rsid w:val="009833D3"/>
    <w:rsid w:val="009834B5"/>
    <w:rsid w:val="00983506"/>
    <w:rsid w:val="009835C1"/>
    <w:rsid w:val="009835FB"/>
    <w:rsid w:val="00983957"/>
    <w:rsid w:val="009839E1"/>
    <w:rsid w:val="00983B7F"/>
    <w:rsid w:val="00983B86"/>
    <w:rsid w:val="00983D27"/>
    <w:rsid w:val="00983ED3"/>
    <w:rsid w:val="00983F15"/>
    <w:rsid w:val="009840C4"/>
    <w:rsid w:val="009847FC"/>
    <w:rsid w:val="00984A3E"/>
    <w:rsid w:val="00984BAA"/>
    <w:rsid w:val="00984C96"/>
    <w:rsid w:val="00984DE0"/>
    <w:rsid w:val="00984FD3"/>
    <w:rsid w:val="009850A8"/>
    <w:rsid w:val="009853B1"/>
    <w:rsid w:val="00985529"/>
    <w:rsid w:val="009855AE"/>
    <w:rsid w:val="0098580B"/>
    <w:rsid w:val="00985936"/>
    <w:rsid w:val="00985994"/>
    <w:rsid w:val="00985BE3"/>
    <w:rsid w:val="00986341"/>
    <w:rsid w:val="0098654D"/>
    <w:rsid w:val="009866B1"/>
    <w:rsid w:val="0098678C"/>
    <w:rsid w:val="0098680D"/>
    <w:rsid w:val="00986907"/>
    <w:rsid w:val="00986921"/>
    <w:rsid w:val="009869E5"/>
    <w:rsid w:val="00986ABF"/>
    <w:rsid w:val="00986C3D"/>
    <w:rsid w:val="00986C54"/>
    <w:rsid w:val="00986C78"/>
    <w:rsid w:val="00986D0E"/>
    <w:rsid w:val="00986D57"/>
    <w:rsid w:val="00986EC1"/>
    <w:rsid w:val="009872C2"/>
    <w:rsid w:val="00987382"/>
    <w:rsid w:val="00987462"/>
    <w:rsid w:val="00987471"/>
    <w:rsid w:val="009876E7"/>
    <w:rsid w:val="009878C7"/>
    <w:rsid w:val="00987A00"/>
    <w:rsid w:val="00987F37"/>
    <w:rsid w:val="009903B9"/>
    <w:rsid w:val="00990568"/>
    <w:rsid w:val="00990A0D"/>
    <w:rsid w:val="00990B5A"/>
    <w:rsid w:val="00990C34"/>
    <w:rsid w:val="00990D25"/>
    <w:rsid w:val="00990D34"/>
    <w:rsid w:val="00990D4B"/>
    <w:rsid w:val="00991565"/>
    <w:rsid w:val="009915EE"/>
    <w:rsid w:val="00991644"/>
    <w:rsid w:val="00991675"/>
    <w:rsid w:val="0099206F"/>
    <w:rsid w:val="009920A7"/>
    <w:rsid w:val="00992212"/>
    <w:rsid w:val="00992310"/>
    <w:rsid w:val="00992325"/>
    <w:rsid w:val="009923BD"/>
    <w:rsid w:val="00992726"/>
    <w:rsid w:val="00992749"/>
    <w:rsid w:val="0099290E"/>
    <w:rsid w:val="009929B6"/>
    <w:rsid w:val="00992A12"/>
    <w:rsid w:val="00992A28"/>
    <w:rsid w:val="00992C34"/>
    <w:rsid w:val="00992C4F"/>
    <w:rsid w:val="00992D3B"/>
    <w:rsid w:val="00992F82"/>
    <w:rsid w:val="009931ED"/>
    <w:rsid w:val="009935A2"/>
    <w:rsid w:val="0099367F"/>
    <w:rsid w:val="00993984"/>
    <w:rsid w:val="0099398B"/>
    <w:rsid w:val="00993AB1"/>
    <w:rsid w:val="00993C3A"/>
    <w:rsid w:val="00993F09"/>
    <w:rsid w:val="0099405B"/>
    <w:rsid w:val="00994129"/>
    <w:rsid w:val="0099430A"/>
    <w:rsid w:val="009943A1"/>
    <w:rsid w:val="009943E0"/>
    <w:rsid w:val="00994517"/>
    <w:rsid w:val="00994907"/>
    <w:rsid w:val="00994970"/>
    <w:rsid w:val="009949A3"/>
    <w:rsid w:val="00994A9A"/>
    <w:rsid w:val="00994C80"/>
    <w:rsid w:val="009950C2"/>
    <w:rsid w:val="009952E8"/>
    <w:rsid w:val="009953C8"/>
    <w:rsid w:val="00995507"/>
    <w:rsid w:val="00995526"/>
    <w:rsid w:val="009959F3"/>
    <w:rsid w:val="00995AC9"/>
    <w:rsid w:val="00995DC7"/>
    <w:rsid w:val="00996134"/>
    <w:rsid w:val="00996438"/>
    <w:rsid w:val="009965E6"/>
    <w:rsid w:val="00996641"/>
    <w:rsid w:val="009966DC"/>
    <w:rsid w:val="00996800"/>
    <w:rsid w:val="00996844"/>
    <w:rsid w:val="00996A49"/>
    <w:rsid w:val="00996BCE"/>
    <w:rsid w:val="00996E09"/>
    <w:rsid w:val="00996EF1"/>
    <w:rsid w:val="009971B6"/>
    <w:rsid w:val="009971CC"/>
    <w:rsid w:val="0099729D"/>
    <w:rsid w:val="009973D8"/>
    <w:rsid w:val="009974C9"/>
    <w:rsid w:val="0099759E"/>
    <w:rsid w:val="00997998"/>
    <w:rsid w:val="009979F9"/>
    <w:rsid w:val="00997B3A"/>
    <w:rsid w:val="00997D51"/>
    <w:rsid w:val="00997D8A"/>
    <w:rsid w:val="00997FA3"/>
    <w:rsid w:val="00997FCF"/>
    <w:rsid w:val="009A01CF"/>
    <w:rsid w:val="009A02A0"/>
    <w:rsid w:val="009A0635"/>
    <w:rsid w:val="009A069F"/>
    <w:rsid w:val="009A0988"/>
    <w:rsid w:val="009A0CF8"/>
    <w:rsid w:val="009A0D15"/>
    <w:rsid w:val="009A0D9A"/>
    <w:rsid w:val="009A0DFD"/>
    <w:rsid w:val="009A0FF6"/>
    <w:rsid w:val="009A1053"/>
    <w:rsid w:val="009A109F"/>
    <w:rsid w:val="009A10B2"/>
    <w:rsid w:val="009A120F"/>
    <w:rsid w:val="009A13D2"/>
    <w:rsid w:val="009A14F0"/>
    <w:rsid w:val="009A1530"/>
    <w:rsid w:val="009A16BA"/>
    <w:rsid w:val="009A1C72"/>
    <w:rsid w:val="009A1CB7"/>
    <w:rsid w:val="009A1D53"/>
    <w:rsid w:val="009A1D7A"/>
    <w:rsid w:val="009A1DB7"/>
    <w:rsid w:val="009A21E0"/>
    <w:rsid w:val="009A2601"/>
    <w:rsid w:val="009A26BA"/>
    <w:rsid w:val="009A26BE"/>
    <w:rsid w:val="009A26ED"/>
    <w:rsid w:val="009A2910"/>
    <w:rsid w:val="009A291A"/>
    <w:rsid w:val="009A2CE8"/>
    <w:rsid w:val="009A2F4D"/>
    <w:rsid w:val="009A304B"/>
    <w:rsid w:val="009A3194"/>
    <w:rsid w:val="009A323C"/>
    <w:rsid w:val="009A32E8"/>
    <w:rsid w:val="009A3414"/>
    <w:rsid w:val="009A3532"/>
    <w:rsid w:val="009A3652"/>
    <w:rsid w:val="009A38D7"/>
    <w:rsid w:val="009A3909"/>
    <w:rsid w:val="009A3948"/>
    <w:rsid w:val="009A3AE5"/>
    <w:rsid w:val="009A3E3F"/>
    <w:rsid w:val="009A3EF5"/>
    <w:rsid w:val="009A3FE2"/>
    <w:rsid w:val="009A4183"/>
    <w:rsid w:val="009A45A5"/>
    <w:rsid w:val="009A4686"/>
    <w:rsid w:val="009A4878"/>
    <w:rsid w:val="009A4C5D"/>
    <w:rsid w:val="009A4D6B"/>
    <w:rsid w:val="009A4EBE"/>
    <w:rsid w:val="009A501D"/>
    <w:rsid w:val="009A51BE"/>
    <w:rsid w:val="009A52F8"/>
    <w:rsid w:val="009A53E6"/>
    <w:rsid w:val="009A54D1"/>
    <w:rsid w:val="009A562B"/>
    <w:rsid w:val="009A58AC"/>
    <w:rsid w:val="009A5A05"/>
    <w:rsid w:val="009A5CF2"/>
    <w:rsid w:val="009A5D70"/>
    <w:rsid w:val="009A5F16"/>
    <w:rsid w:val="009A5FF4"/>
    <w:rsid w:val="009A6264"/>
    <w:rsid w:val="009A6481"/>
    <w:rsid w:val="009A65B0"/>
    <w:rsid w:val="009A6664"/>
    <w:rsid w:val="009A68D0"/>
    <w:rsid w:val="009A6A7F"/>
    <w:rsid w:val="009A6C45"/>
    <w:rsid w:val="009A7026"/>
    <w:rsid w:val="009A70E7"/>
    <w:rsid w:val="009A71D2"/>
    <w:rsid w:val="009A721D"/>
    <w:rsid w:val="009A76EE"/>
    <w:rsid w:val="009A7928"/>
    <w:rsid w:val="009A7B54"/>
    <w:rsid w:val="009A7BD9"/>
    <w:rsid w:val="009A7CB2"/>
    <w:rsid w:val="009A7FFD"/>
    <w:rsid w:val="009B014C"/>
    <w:rsid w:val="009B01BA"/>
    <w:rsid w:val="009B020D"/>
    <w:rsid w:val="009B0280"/>
    <w:rsid w:val="009B0604"/>
    <w:rsid w:val="009B08A1"/>
    <w:rsid w:val="009B08AE"/>
    <w:rsid w:val="009B09B5"/>
    <w:rsid w:val="009B0B0F"/>
    <w:rsid w:val="009B0B45"/>
    <w:rsid w:val="009B0BF5"/>
    <w:rsid w:val="009B0CB7"/>
    <w:rsid w:val="009B0CBD"/>
    <w:rsid w:val="009B0D2C"/>
    <w:rsid w:val="009B103B"/>
    <w:rsid w:val="009B12B4"/>
    <w:rsid w:val="009B16CD"/>
    <w:rsid w:val="009B1808"/>
    <w:rsid w:val="009B1904"/>
    <w:rsid w:val="009B200F"/>
    <w:rsid w:val="009B20CB"/>
    <w:rsid w:val="009B2210"/>
    <w:rsid w:val="009B27C7"/>
    <w:rsid w:val="009B2A2F"/>
    <w:rsid w:val="009B2B2B"/>
    <w:rsid w:val="009B2CA9"/>
    <w:rsid w:val="009B2E53"/>
    <w:rsid w:val="009B2EEE"/>
    <w:rsid w:val="009B3060"/>
    <w:rsid w:val="009B3100"/>
    <w:rsid w:val="009B31CB"/>
    <w:rsid w:val="009B3535"/>
    <w:rsid w:val="009B3668"/>
    <w:rsid w:val="009B37E5"/>
    <w:rsid w:val="009B39CE"/>
    <w:rsid w:val="009B3B7A"/>
    <w:rsid w:val="009B3BB1"/>
    <w:rsid w:val="009B3C40"/>
    <w:rsid w:val="009B3EA7"/>
    <w:rsid w:val="009B3FF7"/>
    <w:rsid w:val="009B4108"/>
    <w:rsid w:val="009B4430"/>
    <w:rsid w:val="009B44FF"/>
    <w:rsid w:val="009B47FF"/>
    <w:rsid w:val="009B4868"/>
    <w:rsid w:val="009B4DCA"/>
    <w:rsid w:val="009B4EF3"/>
    <w:rsid w:val="009B5035"/>
    <w:rsid w:val="009B51E9"/>
    <w:rsid w:val="009B5337"/>
    <w:rsid w:val="009B544F"/>
    <w:rsid w:val="009B54F0"/>
    <w:rsid w:val="009B552D"/>
    <w:rsid w:val="009B55E2"/>
    <w:rsid w:val="009B569B"/>
    <w:rsid w:val="009B584B"/>
    <w:rsid w:val="009B58F5"/>
    <w:rsid w:val="009B5BEE"/>
    <w:rsid w:val="009B6002"/>
    <w:rsid w:val="009B6072"/>
    <w:rsid w:val="009B60E1"/>
    <w:rsid w:val="009B6680"/>
    <w:rsid w:val="009B6E88"/>
    <w:rsid w:val="009B6F5F"/>
    <w:rsid w:val="009B701C"/>
    <w:rsid w:val="009B72E2"/>
    <w:rsid w:val="009B7349"/>
    <w:rsid w:val="009B73C6"/>
    <w:rsid w:val="009B75A3"/>
    <w:rsid w:val="009B7A54"/>
    <w:rsid w:val="009B7AA7"/>
    <w:rsid w:val="009B7C3F"/>
    <w:rsid w:val="009B7CAE"/>
    <w:rsid w:val="009B7DDF"/>
    <w:rsid w:val="009B7FF7"/>
    <w:rsid w:val="009C00C3"/>
    <w:rsid w:val="009C01DB"/>
    <w:rsid w:val="009C04AE"/>
    <w:rsid w:val="009C0639"/>
    <w:rsid w:val="009C0720"/>
    <w:rsid w:val="009C0750"/>
    <w:rsid w:val="009C0841"/>
    <w:rsid w:val="009C0993"/>
    <w:rsid w:val="009C09B9"/>
    <w:rsid w:val="009C0AB8"/>
    <w:rsid w:val="009C0B5E"/>
    <w:rsid w:val="009C0E3F"/>
    <w:rsid w:val="009C107C"/>
    <w:rsid w:val="009C10BC"/>
    <w:rsid w:val="009C121A"/>
    <w:rsid w:val="009C13B1"/>
    <w:rsid w:val="009C1507"/>
    <w:rsid w:val="009C1546"/>
    <w:rsid w:val="009C163F"/>
    <w:rsid w:val="009C184D"/>
    <w:rsid w:val="009C1972"/>
    <w:rsid w:val="009C1999"/>
    <w:rsid w:val="009C1A10"/>
    <w:rsid w:val="009C1CD5"/>
    <w:rsid w:val="009C1E90"/>
    <w:rsid w:val="009C1EFA"/>
    <w:rsid w:val="009C1EFD"/>
    <w:rsid w:val="009C1FF4"/>
    <w:rsid w:val="009C20CD"/>
    <w:rsid w:val="009C213E"/>
    <w:rsid w:val="009C22AA"/>
    <w:rsid w:val="009C2345"/>
    <w:rsid w:val="009C25B8"/>
    <w:rsid w:val="009C28B6"/>
    <w:rsid w:val="009C2949"/>
    <w:rsid w:val="009C2A06"/>
    <w:rsid w:val="009C2F34"/>
    <w:rsid w:val="009C2FD3"/>
    <w:rsid w:val="009C315C"/>
    <w:rsid w:val="009C3189"/>
    <w:rsid w:val="009C32B3"/>
    <w:rsid w:val="009C330D"/>
    <w:rsid w:val="009C335D"/>
    <w:rsid w:val="009C33C2"/>
    <w:rsid w:val="009C38D7"/>
    <w:rsid w:val="009C402D"/>
    <w:rsid w:val="009C40AF"/>
    <w:rsid w:val="009C412B"/>
    <w:rsid w:val="009C4234"/>
    <w:rsid w:val="009C46CC"/>
    <w:rsid w:val="009C4832"/>
    <w:rsid w:val="009C485D"/>
    <w:rsid w:val="009C49ED"/>
    <w:rsid w:val="009C4B9E"/>
    <w:rsid w:val="009C4C04"/>
    <w:rsid w:val="009C4DD7"/>
    <w:rsid w:val="009C4EF1"/>
    <w:rsid w:val="009C52F5"/>
    <w:rsid w:val="009C531A"/>
    <w:rsid w:val="009C5561"/>
    <w:rsid w:val="009C562E"/>
    <w:rsid w:val="009C59DF"/>
    <w:rsid w:val="009C59FA"/>
    <w:rsid w:val="009C5B16"/>
    <w:rsid w:val="009C5B85"/>
    <w:rsid w:val="009C5C7B"/>
    <w:rsid w:val="009C5D84"/>
    <w:rsid w:val="009C602E"/>
    <w:rsid w:val="009C60B2"/>
    <w:rsid w:val="009C62E1"/>
    <w:rsid w:val="009C65FF"/>
    <w:rsid w:val="009C6670"/>
    <w:rsid w:val="009C66A6"/>
    <w:rsid w:val="009C6A39"/>
    <w:rsid w:val="009C6A7E"/>
    <w:rsid w:val="009C6B6A"/>
    <w:rsid w:val="009C6C3E"/>
    <w:rsid w:val="009C71E3"/>
    <w:rsid w:val="009C7342"/>
    <w:rsid w:val="009C7604"/>
    <w:rsid w:val="009C7683"/>
    <w:rsid w:val="009C76C1"/>
    <w:rsid w:val="009C7761"/>
    <w:rsid w:val="009C7B30"/>
    <w:rsid w:val="009C7C1F"/>
    <w:rsid w:val="009C7D2E"/>
    <w:rsid w:val="009C7D8D"/>
    <w:rsid w:val="009C7E4F"/>
    <w:rsid w:val="009D0459"/>
    <w:rsid w:val="009D083C"/>
    <w:rsid w:val="009D08D7"/>
    <w:rsid w:val="009D0A30"/>
    <w:rsid w:val="009D0B91"/>
    <w:rsid w:val="009D0BE8"/>
    <w:rsid w:val="009D0D86"/>
    <w:rsid w:val="009D0DC6"/>
    <w:rsid w:val="009D0E8B"/>
    <w:rsid w:val="009D0E97"/>
    <w:rsid w:val="009D1286"/>
    <w:rsid w:val="009D1440"/>
    <w:rsid w:val="009D144A"/>
    <w:rsid w:val="009D155E"/>
    <w:rsid w:val="009D15C2"/>
    <w:rsid w:val="009D16E4"/>
    <w:rsid w:val="009D1714"/>
    <w:rsid w:val="009D17F3"/>
    <w:rsid w:val="009D1AD0"/>
    <w:rsid w:val="009D1B99"/>
    <w:rsid w:val="009D1C49"/>
    <w:rsid w:val="009D1C4B"/>
    <w:rsid w:val="009D1E40"/>
    <w:rsid w:val="009D1E9B"/>
    <w:rsid w:val="009D1EB3"/>
    <w:rsid w:val="009D20A2"/>
    <w:rsid w:val="009D2147"/>
    <w:rsid w:val="009D2457"/>
    <w:rsid w:val="009D2518"/>
    <w:rsid w:val="009D26EA"/>
    <w:rsid w:val="009D2AD3"/>
    <w:rsid w:val="009D2F67"/>
    <w:rsid w:val="009D3066"/>
    <w:rsid w:val="009D33BD"/>
    <w:rsid w:val="009D343D"/>
    <w:rsid w:val="009D3791"/>
    <w:rsid w:val="009D38A5"/>
    <w:rsid w:val="009D3971"/>
    <w:rsid w:val="009D3986"/>
    <w:rsid w:val="009D3C8A"/>
    <w:rsid w:val="009D406C"/>
    <w:rsid w:val="009D4082"/>
    <w:rsid w:val="009D40B8"/>
    <w:rsid w:val="009D4263"/>
    <w:rsid w:val="009D42DD"/>
    <w:rsid w:val="009D439E"/>
    <w:rsid w:val="009D4408"/>
    <w:rsid w:val="009D4694"/>
    <w:rsid w:val="009D4699"/>
    <w:rsid w:val="009D49C3"/>
    <w:rsid w:val="009D4B06"/>
    <w:rsid w:val="009D4B70"/>
    <w:rsid w:val="009D4B79"/>
    <w:rsid w:val="009D4CEB"/>
    <w:rsid w:val="009D4D8E"/>
    <w:rsid w:val="009D5129"/>
    <w:rsid w:val="009D588F"/>
    <w:rsid w:val="009D59F0"/>
    <w:rsid w:val="009D5AB3"/>
    <w:rsid w:val="009D5B4E"/>
    <w:rsid w:val="009D602C"/>
    <w:rsid w:val="009D61E0"/>
    <w:rsid w:val="009D6450"/>
    <w:rsid w:val="009D661E"/>
    <w:rsid w:val="009D6E90"/>
    <w:rsid w:val="009D6EB7"/>
    <w:rsid w:val="009D6EF4"/>
    <w:rsid w:val="009D7042"/>
    <w:rsid w:val="009D70BE"/>
    <w:rsid w:val="009D711B"/>
    <w:rsid w:val="009D79D6"/>
    <w:rsid w:val="009D7A00"/>
    <w:rsid w:val="009D7F85"/>
    <w:rsid w:val="009D7FDF"/>
    <w:rsid w:val="009E0044"/>
    <w:rsid w:val="009E012A"/>
    <w:rsid w:val="009E01FF"/>
    <w:rsid w:val="009E0559"/>
    <w:rsid w:val="009E0727"/>
    <w:rsid w:val="009E0A2B"/>
    <w:rsid w:val="009E0AD6"/>
    <w:rsid w:val="009E0BB6"/>
    <w:rsid w:val="009E0DA4"/>
    <w:rsid w:val="009E0E57"/>
    <w:rsid w:val="009E0E7A"/>
    <w:rsid w:val="009E0F41"/>
    <w:rsid w:val="009E1081"/>
    <w:rsid w:val="009E1146"/>
    <w:rsid w:val="009E120F"/>
    <w:rsid w:val="009E1396"/>
    <w:rsid w:val="009E13FC"/>
    <w:rsid w:val="009E1410"/>
    <w:rsid w:val="009E15EA"/>
    <w:rsid w:val="009E1631"/>
    <w:rsid w:val="009E1A7E"/>
    <w:rsid w:val="009E1AAC"/>
    <w:rsid w:val="009E1B44"/>
    <w:rsid w:val="009E1B4D"/>
    <w:rsid w:val="009E1D20"/>
    <w:rsid w:val="009E1EA4"/>
    <w:rsid w:val="009E1F77"/>
    <w:rsid w:val="009E1FA1"/>
    <w:rsid w:val="009E1FDB"/>
    <w:rsid w:val="009E202D"/>
    <w:rsid w:val="009E2189"/>
    <w:rsid w:val="009E22FA"/>
    <w:rsid w:val="009E239D"/>
    <w:rsid w:val="009E2532"/>
    <w:rsid w:val="009E26D3"/>
    <w:rsid w:val="009E2BC2"/>
    <w:rsid w:val="009E2C75"/>
    <w:rsid w:val="009E2D15"/>
    <w:rsid w:val="009E2E73"/>
    <w:rsid w:val="009E2EA4"/>
    <w:rsid w:val="009E2FCD"/>
    <w:rsid w:val="009E3136"/>
    <w:rsid w:val="009E3196"/>
    <w:rsid w:val="009E31F3"/>
    <w:rsid w:val="009E3510"/>
    <w:rsid w:val="009E3516"/>
    <w:rsid w:val="009E3603"/>
    <w:rsid w:val="009E37EA"/>
    <w:rsid w:val="009E3AC0"/>
    <w:rsid w:val="009E3C3A"/>
    <w:rsid w:val="009E3D1C"/>
    <w:rsid w:val="009E4448"/>
    <w:rsid w:val="009E46B1"/>
    <w:rsid w:val="009E4AD4"/>
    <w:rsid w:val="009E4CEC"/>
    <w:rsid w:val="009E4CFB"/>
    <w:rsid w:val="009E4DF4"/>
    <w:rsid w:val="009E4EBB"/>
    <w:rsid w:val="009E51AB"/>
    <w:rsid w:val="009E535D"/>
    <w:rsid w:val="009E593F"/>
    <w:rsid w:val="009E5BAC"/>
    <w:rsid w:val="009E5E78"/>
    <w:rsid w:val="009E5F58"/>
    <w:rsid w:val="009E5FD3"/>
    <w:rsid w:val="009E60F0"/>
    <w:rsid w:val="009E621B"/>
    <w:rsid w:val="009E6349"/>
    <w:rsid w:val="009E63B7"/>
    <w:rsid w:val="009E646E"/>
    <w:rsid w:val="009E64A6"/>
    <w:rsid w:val="009E67CB"/>
    <w:rsid w:val="009E6B2A"/>
    <w:rsid w:val="009E6E05"/>
    <w:rsid w:val="009E6E31"/>
    <w:rsid w:val="009E7046"/>
    <w:rsid w:val="009E705E"/>
    <w:rsid w:val="009E70F3"/>
    <w:rsid w:val="009E740B"/>
    <w:rsid w:val="009E77D1"/>
    <w:rsid w:val="009E7AC0"/>
    <w:rsid w:val="009E7C18"/>
    <w:rsid w:val="009E7C90"/>
    <w:rsid w:val="009E7D86"/>
    <w:rsid w:val="009E7FD2"/>
    <w:rsid w:val="009F0065"/>
    <w:rsid w:val="009F053E"/>
    <w:rsid w:val="009F0864"/>
    <w:rsid w:val="009F095D"/>
    <w:rsid w:val="009F09E0"/>
    <w:rsid w:val="009F0B6E"/>
    <w:rsid w:val="009F0BA4"/>
    <w:rsid w:val="009F0C96"/>
    <w:rsid w:val="009F0DBB"/>
    <w:rsid w:val="009F0E84"/>
    <w:rsid w:val="009F0F3D"/>
    <w:rsid w:val="009F1162"/>
    <w:rsid w:val="009F1378"/>
    <w:rsid w:val="009F1662"/>
    <w:rsid w:val="009F16E8"/>
    <w:rsid w:val="009F170C"/>
    <w:rsid w:val="009F19AC"/>
    <w:rsid w:val="009F1A27"/>
    <w:rsid w:val="009F1AE8"/>
    <w:rsid w:val="009F1E7E"/>
    <w:rsid w:val="009F1EE2"/>
    <w:rsid w:val="009F1F19"/>
    <w:rsid w:val="009F2154"/>
    <w:rsid w:val="009F22FA"/>
    <w:rsid w:val="009F2684"/>
    <w:rsid w:val="009F2736"/>
    <w:rsid w:val="009F2786"/>
    <w:rsid w:val="009F2C94"/>
    <w:rsid w:val="009F2D99"/>
    <w:rsid w:val="009F2E27"/>
    <w:rsid w:val="009F2FC4"/>
    <w:rsid w:val="009F31FA"/>
    <w:rsid w:val="009F328B"/>
    <w:rsid w:val="009F32C2"/>
    <w:rsid w:val="009F3522"/>
    <w:rsid w:val="009F36B6"/>
    <w:rsid w:val="009F3B02"/>
    <w:rsid w:val="009F3F6A"/>
    <w:rsid w:val="009F40CD"/>
    <w:rsid w:val="009F41DF"/>
    <w:rsid w:val="009F4290"/>
    <w:rsid w:val="009F458F"/>
    <w:rsid w:val="009F460A"/>
    <w:rsid w:val="009F47F0"/>
    <w:rsid w:val="009F47F2"/>
    <w:rsid w:val="009F4AC0"/>
    <w:rsid w:val="009F4D53"/>
    <w:rsid w:val="009F4E1D"/>
    <w:rsid w:val="009F51FF"/>
    <w:rsid w:val="009F52BE"/>
    <w:rsid w:val="009F55E0"/>
    <w:rsid w:val="009F570D"/>
    <w:rsid w:val="009F579B"/>
    <w:rsid w:val="009F59ED"/>
    <w:rsid w:val="009F5AD2"/>
    <w:rsid w:val="009F5DEC"/>
    <w:rsid w:val="009F5E5B"/>
    <w:rsid w:val="009F5EFF"/>
    <w:rsid w:val="009F6544"/>
    <w:rsid w:val="009F66AB"/>
    <w:rsid w:val="009F66EC"/>
    <w:rsid w:val="009F66F9"/>
    <w:rsid w:val="009F687D"/>
    <w:rsid w:val="009F698C"/>
    <w:rsid w:val="009F6C98"/>
    <w:rsid w:val="009F6DDC"/>
    <w:rsid w:val="009F6E69"/>
    <w:rsid w:val="009F71CA"/>
    <w:rsid w:val="009F7280"/>
    <w:rsid w:val="009F72E3"/>
    <w:rsid w:val="009F73D5"/>
    <w:rsid w:val="009F73D8"/>
    <w:rsid w:val="009F7836"/>
    <w:rsid w:val="009F790C"/>
    <w:rsid w:val="009F7E0F"/>
    <w:rsid w:val="00A000D3"/>
    <w:rsid w:val="00A0024D"/>
    <w:rsid w:val="00A00314"/>
    <w:rsid w:val="00A0045F"/>
    <w:rsid w:val="00A00610"/>
    <w:rsid w:val="00A00792"/>
    <w:rsid w:val="00A00798"/>
    <w:rsid w:val="00A008DC"/>
    <w:rsid w:val="00A009E7"/>
    <w:rsid w:val="00A00A8A"/>
    <w:rsid w:val="00A00C86"/>
    <w:rsid w:val="00A0117E"/>
    <w:rsid w:val="00A013F0"/>
    <w:rsid w:val="00A01483"/>
    <w:rsid w:val="00A014AE"/>
    <w:rsid w:val="00A0151A"/>
    <w:rsid w:val="00A016F1"/>
    <w:rsid w:val="00A019FC"/>
    <w:rsid w:val="00A01F89"/>
    <w:rsid w:val="00A01F94"/>
    <w:rsid w:val="00A02454"/>
    <w:rsid w:val="00A02854"/>
    <w:rsid w:val="00A029D5"/>
    <w:rsid w:val="00A029DE"/>
    <w:rsid w:val="00A02EBC"/>
    <w:rsid w:val="00A02F2C"/>
    <w:rsid w:val="00A02F8A"/>
    <w:rsid w:val="00A02FE5"/>
    <w:rsid w:val="00A03298"/>
    <w:rsid w:val="00A0345E"/>
    <w:rsid w:val="00A035A8"/>
    <w:rsid w:val="00A035E9"/>
    <w:rsid w:val="00A03622"/>
    <w:rsid w:val="00A03632"/>
    <w:rsid w:val="00A03849"/>
    <w:rsid w:val="00A03A41"/>
    <w:rsid w:val="00A03BAD"/>
    <w:rsid w:val="00A03C6C"/>
    <w:rsid w:val="00A040AC"/>
    <w:rsid w:val="00A045EC"/>
    <w:rsid w:val="00A0477A"/>
    <w:rsid w:val="00A04871"/>
    <w:rsid w:val="00A048C0"/>
    <w:rsid w:val="00A048D2"/>
    <w:rsid w:val="00A04DA9"/>
    <w:rsid w:val="00A04E8A"/>
    <w:rsid w:val="00A05299"/>
    <w:rsid w:val="00A05382"/>
    <w:rsid w:val="00A05391"/>
    <w:rsid w:val="00A054EA"/>
    <w:rsid w:val="00A0581E"/>
    <w:rsid w:val="00A05AB0"/>
    <w:rsid w:val="00A05B99"/>
    <w:rsid w:val="00A05F4E"/>
    <w:rsid w:val="00A062A2"/>
    <w:rsid w:val="00A062AB"/>
    <w:rsid w:val="00A06482"/>
    <w:rsid w:val="00A06542"/>
    <w:rsid w:val="00A06918"/>
    <w:rsid w:val="00A06A3E"/>
    <w:rsid w:val="00A06BA1"/>
    <w:rsid w:val="00A06C84"/>
    <w:rsid w:val="00A06D6F"/>
    <w:rsid w:val="00A06DFB"/>
    <w:rsid w:val="00A07247"/>
    <w:rsid w:val="00A072C2"/>
    <w:rsid w:val="00A07502"/>
    <w:rsid w:val="00A07525"/>
    <w:rsid w:val="00A077EF"/>
    <w:rsid w:val="00A07B6D"/>
    <w:rsid w:val="00A07C4E"/>
    <w:rsid w:val="00A07ECD"/>
    <w:rsid w:val="00A10333"/>
    <w:rsid w:val="00A10357"/>
    <w:rsid w:val="00A1048F"/>
    <w:rsid w:val="00A10618"/>
    <w:rsid w:val="00A107B1"/>
    <w:rsid w:val="00A107B4"/>
    <w:rsid w:val="00A109FD"/>
    <w:rsid w:val="00A10D13"/>
    <w:rsid w:val="00A10DF9"/>
    <w:rsid w:val="00A10EF6"/>
    <w:rsid w:val="00A10F29"/>
    <w:rsid w:val="00A111FB"/>
    <w:rsid w:val="00A11247"/>
    <w:rsid w:val="00A113C8"/>
    <w:rsid w:val="00A11430"/>
    <w:rsid w:val="00A1162A"/>
    <w:rsid w:val="00A1169A"/>
    <w:rsid w:val="00A11707"/>
    <w:rsid w:val="00A117A4"/>
    <w:rsid w:val="00A11830"/>
    <w:rsid w:val="00A11A16"/>
    <w:rsid w:val="00A11A8A"/>
    <w:rsid w:val="00A11CD2"/>
    <w:rsid w:val="00A11D4A"/>
    <w:rsid w:val="00A1220E"/>
    <w:rsid w:val="00A12336"/>
    <w:rsid w:val="00A12464"/>
    <w:rsid w:val="00A125EB"/>
    <w:rsid w:val="00A126FB"/>
    <w:rsid w:val="00A12764"/>
    <w:rsid w:val="00A12CC2"/>
    <w:rsid w:val="00A12F46"/>
    <w:rsid w:val="00A12FFD"/>
    <w:rsid w:val="00A13188"/>
    <w:rsid w:val="00A131FD"/>
    <w:rsid w:val="00A13277"/>
    <w:rsid w:val="00A13860"/>
    <w:rsid w:val="00A13956"/>
    <w:rsid w:val="00A1397D"/>
    <w:rsid w:val="00A1398A"/>
    <w:rsid w:val="00A13A7A"/>
    <w:rsid w:val="00A13BCE"/>
    <w:rsid w:val="00A13C15"/>
    <w:rsid w:val="00A13FE3"/>
    <w:rsid w:val="00A142F6"/>
    <w:rsid w:val="00A14529"/>
    <w:rsid w:val="00A14576"/>
    <w:rsid w:val="00A14805"/>
    <w:rsid w:val="00A149A3"/>
    <w:rsid w:val="00A149D2"/>
    <w:rsid w:val="00A14D0F"/>
    <w:rsid w:val="00A14D7A"/>
    <w:rsid w:val="00A14FA4"/>
    <w:rsid w:val="00A1501E"/>
    <w:rsid w:val="00A15380"/>
    <w:rsid w:val="00A155A7"/>
    <w:rsid w:val="00A158E7"/>
    <w:rsid w:val="00A15938"/>
    <w:rsid w:val="00A15A00"/>
    <w:rsid w:val="00A15A4F"/>
    <w:rsid w:val="00A15AC4"/>
    <w:rsid w:val="00A15C19"/>
    <w:rsid w:val="00A15D58"/>
    <w:rsid w:val="00A15D74"/>
    <w:rsid w:val="00A163C3"/>
    <w:rsid w:val="00A1669C"/>
    <w:rsid w:val="00A166A5"/>
    <w:rsid w:val="00A16AC5"/>
    <w:rsid w:val="00A16B36"/>
    <w:rsid w:val="00A16C23"/>
    <w:rsid w:val="00A16D36"/>
    <w:rsid w:val="00A16F6D"/>
    <w:rsid w:val="00A176DC"/>
    <w:rsid w:val="00A177D5"/>
    <w:rsid w:val="00A1792C"/>
    <w:rsid w:val="00A179FA"/>
    <w:rsid w:val="00A17AD8"/>
    <w:rsid w:val="00A17BCD"/>
    <w:rsid w:val="00A202DD"/>
    <w:rsid w:val="00A20355"/>
    <w:rsid w:val="00A20555"/>
    <w:rsid w:val="00A20B27"/>
    <w:rsid w:val="00A20C1C"/>
    <w:rsid w:val="00A20CB2"/>
    <w:rsid w:val="00A20D68"/>
    <w:rsid w:val="00A20EF3"/>
    <w:rsid w:val="00A21047"/>
    <w:rsid w:val="00A21073"/>
    <w:rsid w:val="00A21122"/>
    <w:rsid w:val="00A2126A"/>
    <w:rsid w:val="00A2135C"/>
    <w:rsid w:val="00A214C2"/>
    <w:rsid w:val="00A21950"/>
    <w:rsid w:val="00A21991"/>
    <w:rsid w:val="00A21B01"/>
    <w:rsid w:val="00A21CB9"/>
    <w:rsid w:val="00A21DAC"/>
    <w:rsid w:val="00A21E1E"/>
    <w:rsid w:val="00A21EFB"/>
    <w:rsid w:val="00A21F71"/>
    <w:rsid w:val="00A22072"/>
    <w:rsid w:val="00A2232E"/>
    <w:rsid w:val="00A224D0"/>
    <w:rsid w:val="00A2264F"/>
    <w:rsid w:val="00A22911"/>
    <w:rsid w:val="00A2298F"/>
    <w:rsid w:val="00A22BA5"/>
    <w:rsid w:val="00A22CA0"/>
    <w:rsid w:val="00A22D30"/>
    <w:rsid w:val="00A22D47"/>
    <w:rsid w:val="00A22DA7"/>
    <w:rsid w:val="00A23818"/>
    <w:rsid w:val="00A23A2D"/>
    <w:rsid w:val="00A23B06"/>
    <w:rsid w:val="00A23B0F"/>
    <w:rsid w:val="00A23CBF"/>
    <w:rsid w:val="00A23D41"/>
    <w:rsid w:val="00A23E3E"/>
    <w:rsid w:val="00A23E43"/>
    <w:rsid w:val="00A23F4B"/>
    <w:rsid w:val="00A244BD"/>
    <w:rsid w:val="00A246CC"/>
    <w:rsid w:val="00A24813"/>
    <w:rsid w:val="00A2490D"/>
    <w:rsid w:val="00A24981"/>
    <w:rsid w:val="00A24B72"/>
    <w:rsid w:val="00A24CCB"/>
    <w:rsid w:val="00A24CF6"/>
    <w:rsid w:val="00A24DA2"/>
    <w:rsid w:val="00A24E18"/>
    <w:rsid w:val="00A24EBA"/>
    <w:rsid w:val="00A24F4D"/>
    <w:rsid w:val="00A250A3"/>
    <w:rsid w:val="00A25334"/>
    <w:rsid w:val="00A256B4"/>
    <w:rsid w:val="00A2582C"/>
    <w:rsid w:val="00A2592F"/>
    <w:rsid w:val="00A25AD6"/>
    <w:rsid w:val="00A25F83"/>
    <w:rsid w:val="00A25F86"/>
    <w:rsid w:val="00A260CF"/>
    <w:rsid w:val="00A262D4"/>
    <w:rsid w:val="00A2645E"/>
    <w:rsid w:val="00A26483"/>
    <w:rsid w:val="00A264DB"/>
    <w:rsid w:val="00A265CD"/>
    <w:rsid w:val="00A266D1"/>
    <w:rsid w:val="00A267DD"/>
    <w:rsid w:val="00A269AC"/>
    <w:rsid w:val="00A26AB7"/>
    <w:rsid w:val="00A26CE3"/>
    <w:rsid w:val="00A26D0F"/>
    <w:rsid w:val="00A26D21"/>
    <w:rsid w:val="00A26DFA"/>
    <w:rsid w:val="00A27033"/>
    <w:rsid w:val="00A270A3"/>
    <w:rsid w:val="00A27102"/>
    <w:rsid w:val="00A274AC"/>
    <w:rsid w:val="00A274DB"/>
    <w:rsid w:val="00A275A0"/>
    <w:rsid w:val="00A27658"/>
    <w:rsid w:val="00A27737"/>
    <w:rsid w:val="00A27745"/>
    <w:rsid w:val="00A277D5"/>
    <w:rsid w:val="00A2790B"/>
    <w:rsid w:val="00A27CF9"/>
    <w:rsid w:val="00A27E84"/>
    <w:rsid w:val="00A30012"/>
    <w:rsid w:val="00A300E3"/>
    <w:rsid w:val="00A30169"/>
    <w:rsid w:val="00A30293"/>
    <w:rsid w:val="00A30397"/>
    <w:rsid w:val="00A308D8"/>
    <w:rsid w:val="00A30937"/>
    <w:rsid w:val="00A30A00"/>
    <w:rsid w:val="00A30CB2"/>
    <w:rsid w:val="00A30D9B"/>
    <w:rsid w:val="00A30F18"/>
    <w:rsid w:val="00A30FB9"/>
    <w:rsid w:val="00A312EF"/>
    <w:rsid w:val="00A313FA"/>
    <w:rsid w:val="00A314D8"/>
    <w:rsid w:val="00A31526"/>
    <w:rsid w:val="00A31844"/>
    <w:rsid w:val="00A31926"/>
    <w:rsid w:val="00A31CBA"/>
    <w:rsid w:val="00A31D3C"/>
    <w:rsid w:val="00A31E9E"/>
    <w:rsid w:val="00A322C2"/>
    <w:rsid w:val="00A32342"/>
    <w:rsid w:val="00A32456"/>
    <w:rsid w:val="00A3269D"/>
    <w:rsid w:val="00A326B8"/>
    <w:rsid w:val="00A32B28"/>
    <w:rsid w:val="00A32B42"/>
    <w:rsid w:val="00A32C35"/>
    <w:rsid w:val="00A32F3F"/>
    <w:rsid w:val="00A32F7B"/>
    <w:rsid w:val="00A3308C"/>
    <w:rsid w:val="00A330F1"/>
    <w:rsid w:val="00A332B5"/>
    <w:rsid w:val="00A33394"/>
    <w:rsid w:val="00A3340B"/>
    <w:rsid w:val="00A3359C"/>
    <w:rsid w:val="00A33653"/>
    <w:rsid w:val="00A33783"/>
    <w:rsid w:val="00A3392B"/>
    <w:rsid w:val="00A33AD6"/>
    <w:rsid w:val="00A33D81"/>
    <w:rsid w:val="00A340B9"/>
    <w:rsid w:val="00A340EC"/>
    <w:rsid w:val="00A344F9"/>
    <w:rsid w:val="00A34A27"/>
    <w:rsid w:val="00A34B6E"/>
    <w:rsid w:val="00A34C16"/>
    <w:rsid w:val="00A34C6F"/>
    <w:rsid w:val="00A34CDF"/>
    <w:rsid w:val="00A34E78"/>
    <w:rsid w:val="00A34E87"/>
    <w:rsid w:val="00A34E93"/>
    <w:rsid w:val="00A35128"/>
    <w:rsid w:val="00A351EC"/>
    <w:rsid w:val="00A353A6"/>
    <w:rsid w:val="00A353DF"/>
    <w:rsid w:val="00A354B6"/>
    <w:rsid w:val="00A3575D"/>
    <w:rsid w:val="00A35809"/>
    <w:rsid w:val="00A35930"/>
    <w:rsid w:val="00A35E9D"/>
    <w:rsid w:val="00A35F60"/>
    <w:rsid w:val="00A35F6A"/>
    <w:rsid w:val="00A360B6"/>
    <w:rsid w:val="00A36263"/>
    <w:rsid w:val="00A36352"/>
    <w:rsid w:val="00A36980"/>
    <w:rsid w:val="00A36B72"/>
    <w:rsid w:val="00A36CFB"/>
    <w:rsid w:val="00A36D90"/>
    <w:rsid w:val="00A36E10"/>
    <w:rsid w:val="00A3727C"/>
    <w:rsid w:val="00A37297"/>
    <w:rsid w:val="00A37492"/>
    <w:rsid w:val="00A375DE"/>
    <w:rsid w:val="00A376C1"/>
    <w:rsid w:val="00A37747"/>
    <w:rsid w:val="00A377BD"/>
    <w:rsid w:val="00A37897"/>
    <w:rsid w:val="00A378EB"/>
    <w:rsid w:val="00A3799D"/>
    <w:rsid w:val="00A37BFF"/>
    <w:rsid w:val="00A37C67"/>
    <w:rsid w:val="00A37F82"/>
    <w:rsid w:val="00A40067"/>
    <w:rsid w:val="00A40552"/>
    <w:rsid w:val="00A408AE"/>
    <w:rsid w:val="00A409F2"/>
    <w:rsid w:val="00A40B1D"/>
    <w:rsid w:val="00A40C21"/>
    <w:rsid w:val="00A40C28"/>
    <w:rsid w:val="00A4101B"/>
    <w:rsid w:val="00A411FE"/>
    <w:rsid w:val="00A4128B"/>
    <w:rsid w:val="00A41343"/>
    <w:rsid w:val="00A41FF7"/>
    <w:rsid w:val="00A4202B"/>
    <w:rsid w:val="00A42082"/>
    <w:rsid w:val="00A42472"/>
    <w:rsid w:val="00A4278E"/>
    <w:rsid w:val="00A42938"/>
    <w:rsid w:val="00A429EB"/>
    <w:rsid w:val="00A42AE8"/>
    <w:rsid w:val="00A42B1E"/>
    <w:rsid w:val="00A42BC1"/>
    <w:rsid w:val="00A43008"/>
    <w:rsid w:val="00A43613"/>
    <w:rsid w:val="00A4361C"/>
    <w:rsid w:val="00A43675"/>
    <w:rsid w:val="00A4397F"/>
    <w:rsid w:val="00A439A9"/>
    <w:rsid w:val="00A43ABE"/>
    <w:rsid w:val="00A43AC2"/>
    <w:rsid w:val="00A44368"/>
    <w:rsid w:val="00A44426"/>
    <w:rsid w:val="00A44431"/>
    <w:rsid w:val="00A444FC"/>
    <w:rsid w:val="00A44745"/>
    <w:rsid w:val="00A44892"/>
    <w:rsid w:val="00A448B6"/>
    <w:rsid w:val="00A44A23"/>
    <w:rsid w:val="00A44DC2"/>
    <w:rsid w:val="00A44DCF"/>
    <w:rsid w:val="00A44E32"/>
    <w:rsid w:val="00A44E8A"/>
    <w:rsid w:val="00A44F09"/>
    <w:rsid w:val="00A453B0"/>
    <w:rsid w:val="00A453B4"/>
    <w:rsid w:val="00A45669"/>
    <w:rsid w:val="00A45823"/>
    <w:rsid w:val="00A45B2C"/>
    <w:rsid w:val="00A45B93"/>
    <w:rsid w:val="00A462E5"/>
    <w:rsid w:val="00A465D3"/>
    <w:rsid w:val="00A468E2"/>
    <w:rsid w:val="00A46B2D"/>
    <w:rsid w:val="00A46B5F"/>
    <w:rsid w:val="00A46BFA"/>
    <w:rsid w:val="00A46C91"/>
    <w:rsid w:val="00A46F8B"/>
    <w:rsid w:val="00A4708A"/>
    <w:rsid w:val="00A47243"/>
    <w:rsid w:val="00A47314"/>
    <w:rsid w:val="00A47377"/>
    <w:rsid w:val="00A4763C"/>
    <w:rsid w:val="00A47A78"/>
    <w:rsid w:val="00A47CD7"/>
    <w:rsid w:val="00A47E7E"/>
    <w:rsid w:val="00A47EB0"/>
    <w:rsid w:val="00A47EE1"/>
    <w:rsid w:val="00A5025B"/>
    <w:rsid w:val="00A503ED"/>
    <w:rsid w:val="00A50539"/>
    <w:rsid w:val="00A505A4"/>
    <w:rsid w:val="00A505D9"/>
    <w:rsid w:val="00A507E3"/>
    <w:rsid w:val="00A50828"/>
    <w:rsid w:val="00A50B9F"/>
    <w:rsid w:val="00A50C75"/>
    <w:rsid w:val="00A50E3E"/>
    <w:rsid w:val="00A5113C"/>
    <w:rsid w:val="00A511FE"/>
    <w:rsid w:val="00A513AB"/>
    <w:rsid w:val="00A513ED"/>
    <w:rsid w:val="00A5146D"/>
    <w:rsid w:val="00A51518"/>
    <w:rsid w:val="00A51574"/>
    <w:rsid w:val="00A516F9"/>
    <w:rsid w:val="00A5170A"/>
    <w:rsid w:val="00A51834"/>
    <w:rsid w:val="00A5188C"/>
    <w:rsid w:val="00A51BFD"/>
    <w:rsid w:val="00A51D1D"/>
    <w:rsid w:val="00A51E06"/>
    <w:rsid w:val="00A51E7E"/>
    <w:rsid w:val="00A51FE4"/>
    <w:rsid w:val="00A52574"/>
    <w:rsid w:val="00A525CD"/>
    <w:rsid w:val="00A526E9"/>
    <w:rsid w:val="00A52A10"/>
    <w:rsid w:val="00A52B2F"/>
    <w:rsid w:val="00A52B99"/>
    <w:rsid w:val="00A52C59"/>
    <w:rsid w:val="00A52C8A"/>
    <w:rsid w:val="00A52D97"/>
    <w:rsid w:val="00A52DA6"/>
    <w:rsid w:val="00A53159"/>
    <w:rsid w:val="00A531EC"/>
    <w:rsid w:val="00A532A7"/>
    <w:rsid w:val="00A533F0"/>
    <w:rsid w:val="00A53443"/>
    <w:rsid w:val="00A5349D"/>
    <w:rsid w:val="00A53503"/>
    <w:rsid w:val="00A53792"/>
    <w:rsid w:val="00A537A2"/>
    <w:rsid w:val="00A537D5"/>
    <w:rsid w:val="00A53DDF"/>
    <w:rsid w:val="00A5409A"/>
    <w:rsid w:val="00A545D6"/>
    <w:rsid w:val="00A54603"/>
    <w:rsid w:val="00A54626"/>
    <w:rsid w:val="00A54630"/>
    <w:rsid w:val="00A5493F"/>
    <w:rsid w:val="00A549BF"/>
    <w:rsid w:val="00A54F89"/>
    <w:rsid w:val="00A54FB4"/>
    <w:rsid w:val="00A55289"/>
    <w:rsid w:val="00A553A7"/>
    <w:rsid w:val="00A55614"/>
    <w:rsid w:val="00A55813"/>
    <w:rsid w:val="00A558C9"/>
    <w:rsid w:val="00A55937"/>
    <w:rsid w:val="00A55A8F"/>
    <w:rsid w:val="00A55B95"/>
    <w:rsid w:val="00A55BAF"/>
    <w:rsid w:val="00A55C97"/>
    <w:rsid w:val="00A55D44"/>
    <w:rsid w:val="00A55D69"/>
    <w:rsid w:val="00A55E60"/>
    <w:rsid w:val="00A55EC1"/>
    <w:rsid w:val="00A55EEB"/>
    <w:rsid w:val="00A56275"/>
    <w:rsid w:val="00A562D9"/>
    <w:rsid w:val="00A56330"/>
    <w:rsid w:val="00A563C1"/>
    <w:rsid w:val="00A5644A"/>
    <w:rsid w:val="00A5665A"/>
    <w:rsid w:val="00A568A4"/>
    <w:rsid w:val="00A56952"/>
    <w:rsid w:val="00A57184"/>
    <w:rsid w:val="00A574FE"/>
    <w:rsid w:val="00A57561"/>
    <w:rsid w:val="00A576E0"/>
    <w:rsid w:val="00A57A45"/>
    <w:rsid w:val="00A57B9C"/>
    <w:rsid w:val="00A57BC9"/>
    <w:rsid w:val="00A57BD7"/>
    <w:rsid w:val="00A57C8F"/>
    <w:rsid w:val="00A57D8E"/>
    <w:rsid w:val="00A57ED9"/>
    <w:rsid w:val="00A57EDD"/>
    <w:rsid w:val="00A57F5B"/>
    <w:rsid w:val="00A601A6"/>
    <w:rsid w:val="00A602FA"/>
    <w:rsid w:val="00A60328"/>
    <w:rsid w:val="00A6036F"/>
    <w:rsid w:val="00A603A7"/>
    <w:rsid w:val="00A603F1"/>
    <w:rsid w:val="00A606B1"/>
    <w:rsid w:val="00A6164C"/>
    <w:rsid w:val="00A61717"/>
    <w:rsid w:val="00A617B1"/>
    <w:rsid w:val="00A61C50"/>
    <w:rsid w:val="00A61CA6"/>
    <w:rsid w:val="00A61CD4"/>
    <w:rsid w:val="00A61CE1"/>
    <w:rsid w:val="00A61D07"/>
    <w:rsid w:val="00A61F15"/>
    <w:rsid w:val="00A6204E"/>
    <w:rsid w:val="00A622DC"/>
    <w:rsid w:val="00A625B1"/>
    <w:rsid w:val="00A626DD"/>
    <w:rsid w:val="00A6278A"/>
    <w:rsid w:val="00A62A9A"/>
    <w:rsid w:val="00A62B89"/>
    <w:rsid w:val="00A62BFF"/>
    <w:rsid w:val="00A62E42"/>
    <w:rsid w:val="00A62F2A"/>
    <w:rsid w:val="00A62F4D"/>
    <w:rsid w:val="00A6303C"/>
    <w:rsid w:val="00A631E3"/>
    <w:rsid w:val="00A63228"/>
    <w:rsid w:val="00A6331C"/>
    <w:rsid w:val="00A6358E"/>
    <w:rsid w:val="00A6365E"/>
    <w:rsid w:val="00A637C2"/>
    <w:rsid w:val="00A63847"/>
    <w:rsid w:val="00A63AB3"/>
    <w:rsid w:val="00A63B17"/>
    <w:rsid w:val="00A63E74"/>
    <w:rsid w:val="00A63FEB"/>
    <w:rsid w:val="00A640A0"/>
    <w:rsid w:val="00A64141"/>
    <w:rsid w:val="00A64150"/>
    <w:rsid w:val="00A641FF"/>
    <w:rsid w:val="00A6420E"/>
    <w:rsid w:val="00A64297"/>
    <w:rsid w:val="00A64477"/>
    <w:rsid w:val="00A64649"/>
    <w:rsid w:val="00A647D8"/>
    <w:rsid w:val="00A647FA"/>
    <w:rsid w:val="00A64867"/>
    <w:rsid w:val="00A6496B"/>
    <w:rsid w:val="00A64B2A"/>
    <w:rsid w:val="00A64D0F"/>
    <w:rsid w:val="00A64D24"/>
    <w:rsid w:val="00A64EF4"/>
    <w:rsid w:val="00A650EC"/>
    <w:rsid w:val="00A65491"/>
    <w:rsid w:val="00A6549A"/>
    <w:rsid w:val="00A654C1"/>
    <w:rsid w:val="00A65532"/>
    <w:rsid w:val="00A658B8"/>
    <w:rsid w:val="00A65BD6"/>
    <w:rsid w:val="00A65D03"/>
    <w:rsid w:val="00A65E86"/>
    <w:rsid w:val="00A65FC9"/>
    <w:rsid w:val="00A66011"/>
    <w:rsid w:val="00A6622D"/>
    <w:rsid w:val="00A6644F"/>
    <w:rsid w:val="00A66568"/>
    <w:rsid w:val="00A66998"/>
    <w:rsid w:val="00A669EC"/>
    <w:rsid w:val="00A66A26"/>
    <w:rsid w:val="00A66AF8"/>
    <w:rsid w:val="00A66B3D"/>
    <w:rsid w:val="00A66B68"/>
    <w:rsid w:val="00A66BBB"/>
    <w:rsid w:val="00A66C7D"/>
    <w:rsid w:val="00A66D1C"/>
    <w:rsid w:val="00A66E4E"/>
    <w:rsid w:val="00A670A6"/>
    <w:rsid w:val="00A670A9"/>
    <w:rsid w:val="00A6717F"/>
    <w:rsid w:val="00A675AC"/>
    <w:rsid w:val="00A67706"/>
    <w:rsid w:val="00A67851"/>
    <w:rsid w:val="00A678D6"/>
    <w:rsid w:val="00A67A7E"/>
    <w:rsid w:val="00A67BC8"/>
    <w:rsid w:val="00A67D6D"/>
    <w:rsid w:val="00A70135"/>
    <w:rsid w:val="00A7016D"/>
    <w:rsid w:val="00A704FE"/>
    <w:rsid w:val="00A70565"/>
    <w:rsid w:val="00A706A5"/>
    <w:rsid w:val="00A707E1"/>
    <w:rsid w:val="00A709CE"/>
    <w:rsid w:val="00A70A6F"/>
    <w:rsid w:val="00A70AC3"/>
    <w:rsid w:val="00A70AE1"/>
    <w:rsid w:val="00A70C3B"/>
    <w:rsid w:val="00A70C5C"/>
    <w:rsid w:val="00A70F73"/>
    <w:rsid w:val="00A71460"/>
    <w:rsid w:val="00A71472"/>
    <w:rsid w:val="00A714B2"/>
    <w:rsid w:val="00A715D7"/>
    <w:rsid w:val="00A7172B"/>
    <w:rsid w:val="00A717B2"/>
    <w:rsid w:val="00A71845"/>
    <w:rsid w:val="00A71873"/>
    <w:rsid w:val="00A7196D"/>
    <w:rsid w:val="00A71B96"/>
    <w:rsid w:val="00A71BB8"/>
    <w:rsid w:val="00A71D93"/>
    <w:rsid w:val="00A71FE3"/>
    <w:rsid w:val="00A721AF"/>
    <w:rsid w:val="00A7226B"/>
    <w:rsid w:val="00A724CC"/>
    <w:rsid w:val="00A725AF"/>
    <w:rsid w:val="00A7274F"/>
    <w:rsid w:val="00A727A7"/>
    <w:rsid w:val="00A727ED"/>
    <w:rsid w:val="00A72902"/>
    <w:rsid w:val="00A729FE"/>
    <w:rsid w:val="00A72DBE"/>
    <w:rsid w:val="00A72F71"/>
    <w:rsid w:val="00A730DE"/>
    <w:rsid w:val="00A737AD"/>
    <w:rsid w:val="00A73AE0"/>
    <w:rsid w:val="00A73FDA"/>
    <w:rsid w:val="00A7402A"/>
    <w:rsid w:val="00A74041"/>
    <w:rsid w:val="00A740EA"/>
    <w:rsid w:val="00A742EA"/>
    <w:rsid w:val="00A7461F"/>
    <w:rsid w:val="00A74977"/>
    <w:rsid w:val="00A74BA9"/>
    <w:rsid w:val="00A74C6C"/>
    <w:rsid w:val="00A74F34"/>
    <w:rsid w:val="00A75257"/>
    <w:rsid w:val="00A7541E"/>
    <w:rsid w:val="00A754D9"/>
    <w:rsid w:val="00A758B4"/>
    <w:rsid w:val="00A75DB3"/>
    <w:rsid w:val="00A75E3C"/>
    <w:rsid w:val="00A765EF"/>
    <w:rsid w:val="00A768E9"/>
    <w:rsid w:val="00A76C16"/>
    <w:rsid w:val="00A76CDC"/>
    <w:rsid w:val="00A76D71"/>
    <w:rsid w:val="00A76F62"/>
    <w:rsid w:val="00A77023"/>
    <w:rsid w:val="00A77200"/>
    <w:rsid w:val="00A77284"/>
    <w:rsid w:val="00A774D5"/>
    <w:rsid w:val="00A7794F"/>
    <w:rsid w:val="00A779AB"/>
    <w:rsid w:val="00A77A60"/>
    <w:rsid w:val="00A77B12"/>
    <w:rsid w:val="00A77C78"/>
    <w:rsid w:val="00A77F67"/>
    <w:rsid w:val="00A8024C"/>
    <w:rsid w:val="00A803CC"/>
    <w:rsid w:val="00A80450"/>
    <w:rsid w:val="00A80469"/>
    <w:rsid w:val="00A805A4"/>
    <w:rsid w:val="00A80620"/>
    <w:rsid w:val="00A80687"/>
    <w:rsid w:val="00A806CC"/>
    <w:rsid w:val="00A807C9"/>
    <w:rsid w:val="00A80AEA"/>
    <w:rsid w:val="00A80B86"/>
    <w:rsid w:val="00A80D4A"/>
    <w:rsid w:val="00A80DCB"/>
    <w:rsid w:val="00A80F1A"/>
    <w:rsid w:val="00A8128B"/>
    <w:rsid w:val="00A8143C"/>
    <w:rsid w:val="00A815F1"/>
    <w:rsid w:val="00A81839"/>
    <w:rsid w:val="00A818E2"/>
    <w:rsid w:val="00A8190F"/>
    <w:rsid w:val="00A81972"/>
    <w:rsid w:val="00A81B07"/>
    <w:rsid w:val="00A81F48"/>
    <w:rsid w:val="00A826F7"/>
    <w:rsid w:val="00A82A3B"/>
    <w:rsid w:val="00A82CFD"/>
    <w:rsid w:val="00A82E64"/>
    <w:rsid w:val="00A83678"/>
    <w:rsid w:val="00A83981"/>
    <w:rsid w:val="00A83D4F"/>
    <w:rsid w:val="00A8419F"/>
    <w:rsid w:val="00A842D8"/>
    <w:rsid w:val="00A84387"/>
    <w:rsid w:val="00A8450E"/>
    <w:rsid w:val="00A8491C"/>
    <w:rsid w:val="00A84B40"/>
    <w:rsid w:val="00A84C07"/>
    <w:rsid w:val="00A84C92"/>
    <w:rsid w:val="00A84EC9"/>
    <w:rsid w:val="00A84ED1"/>
    <w:rsid w:val="00A85095"/>
    <w:rsid w:val="00A853BA"/>
    <w:rsid w:val="00A854D7"/>
    <w:rsid w:val="00A85607"/>
    <w:rsid w:val="00A8575B"/>
    <w:rsid w:val="00A857F4"/>
    <w:rsid w:val="00A8598D"/>
    <w:rsid w:val="00A859C0"/>
    <w:rsid w:val="00A859D4"/>
    <w:rsid w:val="00A85A1D"/>
    <w:rsid w:val="00A85D6B"/>
    <w:rsid w:val="00A85E83"/>
    <w:rsid w:val="00A86097"/>
    <w:rsid w:val="00A86101"/>
    <w:rsid w:val="00A862B5"/>
    <w:rsid w:val="00A865F3"/>
    <w:rsid w:val="00A86819"/>
    <w:rsid w:val="00A86C7E"/>
    <w:rsid w:val="00A86D7C"/>
    <w:rsid w:val="00A86E87"/>
    <w:rsid w:val="00A86F06"/>
    <w:rsid w:val="00A87045"/>
    <w:rsid w:val="00A870B9"/>
    <w:rsid w:val="00A8736A"/>
    <w:rsid w:val="00A87437"/>
    <w:rsid w:val="00A87635"/>
    <w:rsid w:val="00A87658"/>
    <w:rsid w:val="00A8773E"/>
    <w:rsid w:val="00A877D2"/>
    <w:rsid w:val="00A87B35"/>
    <w:rsid w:val="00A87E91"/>
    <w:rsid w:val="00A87EF5"/>
    <w:rsid w:val="00A90213"/>
    <w:rsid w:val="00A903D9"/>
    <w:rsid w:val="00A90422"/>
    <w:rsid w:val="00A90484"/>
    <w:rsid w:val="00A90509"/>
    <w:rsid w:val="00A9050F"/>
    <w:rsid w:val="00A90586"/>
    <w:rsid w:val="00A906F9"/>
    <w:rsid w:val="00A9081E"/>
    <w:rsid w:val="00A90909"/>
    <w:rsid w:val="00A90918"/>
    <w:rsid w:val="00A90973"/>
    <w:rsid w:val="00A90995"/>
    <w:rsid w:val="00A90A97"/>
    <w:rsid w:val="00A90B31"/>
    <w:rsid w:val="00A90C98"/>
    <w:rsid w:val="00A90E6C"/>
    <w:rsid w:val="00A90F96"/>
    <w:rsid w:val="00A91008"/>
    <w:rsid w:val="00A9103D"/>
    <w:rsid w:val="00A910B7"/>
    <w:rsid w:val="00A910CF"/>
    <w:rsid w:val="00A910FB"/>
    <w:rsid w:val="00A91147"/>
    <w:rsid w:val="00A913EB"/>
    <w:rsid w:val="00A9141B"/>
    <w:rsid w:val="00A9146B"/>
    <w:rsid w:val="00A9155D"/>
    <w:rsid w:val="00A91811"/>
    <w:rsid w:val="00A918B1"/>
    <w:rsid w:val="00A9190C"/>
    <w:rsid w:val="00A91984"/>
    <w:rsid w:val="00A91AFA"/>
    <w:rsid w:val="00A91C6F"/>
    <w:rsid w:val="00A91C75"/>
    <w:rsid w:val="00A91DD7"/>
    <w:rsid w:val="00A91E38"/>
    <w:rsid w:val="00A91E8F"/>
    <w:rsid w:val="00A91F2D"/>
    <w:rsid w:val="00A92287"/>
    <w:rsid w:val="00A922F1"/>
    <w:rsid w:val="00A925B1"/>
    <w:rsid w:val="00A92632"/>
    <w:rsid w:val="00A92737"/>
    <w:rsid w:val="00A928C0"/>
    <w:rsid w:val="00A928DC"/>
    <w:rsid w:val="00A929EF"/>
    <w:rsid w:val="00A929FE"/>
    <w:rsid w:val="00A92A17"/>
    <w:rsid w:val="00A92A5A"/>
    <w:rsid w:val="00A92A88"/>
    <w:rsid w:val="00A92C46"/>
    <w:rsid w:val="00A92C5F"/>
    <w:rsid w:val="00A92C6C"/>
    <w:rsid w:val="00A92F5E"/>
    <w:rsid w:val="00A92FC6"/>
    <w:rsid w:val="00A93205"/>
    <w:rsid w:val="00A93244"/>
    <w:rsid w:val="00A933CE"/>
    <w:rsid w:val="00A934BE"/>
    <w:rsid w:val="00A935E9"/>
    <w:rsid w:val="00A935FB"/>
    <w:rsid w:val="00A93643"/>
    <w:rsid w:val="00A936ED"/>
    <w:rsid w:val="00A937B0"/>
    <w:rsid w:val="00A938CA"/>
    <w:rsid w:val="00A93971"/>
    <w:rsid w:val="00A93AEE"/>
    <w:rsid w:val="00A93C7F"/>
    <w:rsid w:val="00A93D35"/>
    <w:rsid w:val="00A93EF1"/>
    <w:rsid w:val="00A9409F"/>
    <w:rsid w:val="00A94126"/>
    <w:rsid w:val="00A94441"/>
    <w:rsid w:val="00A9449D"/>
    <w:rsid w:val="00A945A8"/>
    <w:rsid w:val="00A9461E"/>
    <w:rsid w:val="00A947AE"/>
    <w:rsid w:val="00A94890"/>
    <w:rsid w:val="00A94AC3"/>
    <w:rsid w:val="00A94AEA"/>
    <w:rsid w:val="00A94B9A"/>
    <w:rsid w:val="00A94C22"/>
    <w:rsid w:val="00A94DBB"/>
    <w:rsid w:val="00A94F79"/>
    <w:rsid w:val="00A951A9"/>
    <w:rsid w:val="00A95341"/>
    <w:rsid w:val="00A9542E"/>
    <w:rsid w:val="00A95485"/>
    <w:rsid w:val="00A954D0"/>
    <w:rsid w:val="00A9567F"/>
    <w:rsid w:val="00A956A7"/>
    <w:rsid w:val="00A956AE"/>
    <w:rsid w:val="00A9573E"/>
    <w:rsid w:val="00A9588A"/>
    <w:rsid w:val="00A95915"/>
    <w:rsid w:val="00A95A5A"/>
    <w:rsid w:val="00A95AFE"/>
    <w:rsid w:val="00A95B75"/>
    <w:rsid w:val="00A95B91"/>
    <w:rsid w:val="00A95EDC"/>
    <w:rsid w:val="00A95F6F"/>
    <w:rsid w:val="00A95FCE"/>
    <w:rsid w:val="00A96197"/>
    <w:rsid w:val="00A9637E"/>
    <w:rsid w:val="00A96452"/>
    <w:rsid w:val="00A966D9"/>
    <w:rsid w:val="00A96752"/>
    <w:rsid w:val="00A9678F"/>
    <w:rsid w:val="00A96C09"/>
    <w:rsid w:val="00A96CBE"/>
    <w:rsid w:val="00A96D9F"/>
    <w:rsid w:val="00A971A6"/>
    <w:rsid w:val="00A971AE"/>
    <w:rsid w:val="00A9735A"/>
    <w:rsid w:val="00A9747E"/>
    <w:rsid w:val="00A974AB"/>
    <w:rsid w:val="00A97688"/>
    <w:rsid w:val="00A97849"/>
    <w:rsid w:val="00A97AF3"/>
    <w:rsid w:val="00A97C04"/>
    <w:rsid w:val="00AA0012"/>
    <w:rsid w:val="00AA002D"/>
    <w:rsid w:val="00AA0115"/>
    <w:rsid w:val="00AA05D6"/>
    <w:rsid w:val="00AA0C9B"/>
    <w:rsid w:val="00AA0D72"/>
    <w:rsid w:val="00AA0DBE"/>
    <w:rsid w:val="00AA0FE2"/>
    <w:rsid w:val="00AA11C1"/>
    <w:rsid w:val="00AA120C"/>
    <w:rsid w:val="00AA12B1"/>
    <w:rsid w:val="00AA1317"/>
    <w:rsid w:val="00AA13DD"/>
    <w:rsid w:val="00AA170E"/>
    <w:rsid w:val="00AA193C"/>
    <w:rsid w:val="00AA1B6C"/>
    <w:rsid w:val="00AA1BE3"/>
    <w:rsid w:val="00AA1CE0"/>
    <w:rsid w:val="00AA1D43"/>
    <w:rsid w:val="00AA1F90"/>
    <w:rsid w:val="00AA213A"/>
    <w:rsid w:val="00AA248B"/>
    <w:rsid w:val="00AA250E"/>
    <w:rsid w:val="00AA26B9"/>
    <w:rsid w:val="00AA278F"/>
    <w:rsid w:val="00AA284A"/>
    <w:rsid w:val="00AA28BC"/>
    <w:rsid w:val="00AA28C6"/>
    <w:rsid w:val="00AA29F7"/>
    <w:rsid w:val="00AA3043"/>
    <w:rsid w:val="00AA308D"/>
    <w:rsid w:val="00AA3463"/>
    <w:rsid w:val="00AA36F8"/>
    <w:rsid w:val="00AA3799"/>
    <w:rsid w:val="00AA3938"/>
    <w:rsid w:val="00AA398A"/>
    <w:rsid w:val="00AA39EB"/>
    <w:rsid w:val="00AA3D74"/>
    <w:rsid w:val="00AA3F0C"/>
    <w:rsid w:val="00AA4179"/>
    <w:rsid w:val="00AA4270"/>
    <w:rsid w:val="00AA4348"/>
    <w:rsid w:val="00AA4441"/>
    <w:rsid w:val="00AA4492"/>
    <w:rsid w:val="00AA45BA"/>
    <w:rsid w:val="00AA46B5"/>
    <w:rsid w:val="00AA4758"/>
    <w:rsid w:val="00AA4962"/>
    <w:rsid w:val="00AA4AF0"/>
    <w:rsid w:val="00AA4C59"/>
    <w:rsid w:val="00AA4CE4"/>
    <w:rsid w:val="00AA4D41"/>
    <w:rsid w:val="00AA4F37"/>
    <w:rsid w:val="00AA5116"/>
    <w:rsid w:val="00AA5119"/>
    <w:rsid w:val="00AA511A"/>
    <w:rsid w:val="00AA52C5"/>
    <w:rsid w:val="00AA5422"/>
    <w:rsid w:val="00AA5528"/>
    <w:rsid w:val="00AA5578"/>
    <w:rsid w:val="00AA5688"/>
    <w:rsid w:val="00AA5805"/>
    <w:rsid w:val="00AA585B"/>
    <w:rsid w:val="00AA5B33"/>
    <w:rsid w:val="00AA5C9F"/>
    <w:rsid w:val="00AA5CBF"/>
    <w:rsid w:val="00AA5D31"/>
    <w:rsid w:val="00AA5D8F"/>
    <w:rsid w:val="00AA5FA0"/>
    <w:rsid w:val="00AA6127"/>
    <w:rsid w:val="00AA624C"/>
    <w:rsid w:val="00AA6555"/>
    <w:rsid w:val="00AA6730"/>
    <w:rsid w:val="00AA68FC"/>
    <w:rsid w:val="00AA6939"/>
    <w:rsid w:val="00AA69FD"/>
    <w:rsid w:val="00AA6C3C"/>
    <w:rsid w:val="00AA6FC7"/>
    <w:rsid w:val="00AA718D"/>
    <w:rsid w:val="00AA7327"/>
    <w:rsid w:val="00AA7524"/>
    <w:rsid w:val="00AA755F"/>
    <w:rsid w:val="00AA76B8"/>
    <w:rsid w:val="00AA76C5"/>
    <w:rsid w:val="00AA7742"/>
    <w:rsid w:val="00AA7869"/>
    <w:rsid w:val="00AA7AE5"/>
    <w:rsid w:val="00AA7BB3"/>
    <w:rsid w:val="00AA7D6D"/>
    <w:rsid w:val="00AA7F0D"/>
    <w:rsid w:val="00AB000B"/>
    <w:rsid w:val="00AB001C"/>
    <w:rsid w:val="00AB0116"/>
    <w:rsid w:val="00AB02CD"/>
    <w:rsid w:val="00AB0946"/>
    <w:rsid w:val="00AB09DC"/>
    <w:rsid w:val="00AB0ABA"/>
    <w:rsid w:val="00AB0AC8"/>
    <w:rsid w:val="00AB0BF6"/>
    <w:rsid w:val="00AB0D1D"/>
    <w:rsid w:val="00AB0F4B"/>
    <w:rsid w:val="00AB1121"/>
    <w:rsid w:val="00AB131A"/>
    <w:rsid w:val="00AB16DE"/>
    <w:rsid w:val="00AB1771"/>
    <w:rsid w:val="00AB186B"/>
    <w:rsid w:val="00AB19A2"/>
    <w:rsid w:val="00AB1B8E"/>
    <w:rsid w:val="00AB1CDB"/>
    <w:rsid w:val="00AB1F61"/>
    <w:rsid w:val="00AB2029"/>
    <w:rsid w:val="00AB210B"/>
    <w:rsid w:val="00AB26E2"/>
    <w:rsid w:val="00AB2DB1"/>
    <w:rsid w:val="00AB305A"/>
    <w:rsid w:val="00AB309B"/>
    <w:rsid w:val="00AB3272"/>
    <w:rsid w:val="00AB348A"/>
    <w:rsid w:val="00AB34E9"/>
    <w:rsid w:val="00AB35DF"/>
    <w:rsid w:val="00AB3622"/>
    <w:rsid w:val="00AB37EA"/>
    <w:rsid w:val="00AB3973"/>
    <w:rsid w:val="00AB3C12"/>
    <w:rsid w:val="00AB3F2F"/>
    <w:rsid w:val="00AB3F87"/>
    <w:rsid w:val="00AB3F96"/>
    <w:rsid w:val="00AB41D4"/>
    <w:rsid w:val="00AB43AE"/>
    <w:rsid w:val="00AB45B4"/>
    <w:rsid w:val="00AB4670"/>
    <w:rsid w:val="00AB4989"/>
    <w:rsid w:val="00AB4B4A"/>
    <w:rsid w:val="00AB4CE2"/>
    <w:rsid w:val="00AB4D45"/>
    <w:rsid w:val="00AB4D47"/>
    <w:rsid w:val="00AB5194"/>
    <w:rsid w:val="00AB53B5"/>
    <w:rsid w:val="00AB5481"/>
    <w:rsid w:val="00AB54AB"/>
    <w:rsid w:val="00AB54D5"/>
    <w:rsid w:val="00AB554A"/>
    <w:rsid w:val="00AB55EE"/>
    <w:rsid w:val="00AB578C"/>
    <w:rsid w:val="00AB58C4"/>
    <w:rsid w:val="00AB5AD2"/>
    <w:rsid w:val="00AB5B26"/>
    <w:rsid w:val="00AB5D44"/>
    <w:rsid w:val="00AB5D5B"/>
    <w:rsid w:val="00AB5F62"/>
    <w:rsid w:val="00AB6245"/>
    <w:rsid w:val="00AB6385"/>
    <w:rsid w:val="00AB6778"/>
    <w:rsid w:val="00AB6948"/>
    <w:rsid w:val="00AB6DCA"/>
    <w:rsid w:val="00AB7002"/>
    <w:rsid w:val="00AB700A"/>
    <w:rsid w:val="00AB713F"/>
    <w:rsid w:val="00AB7493"/>
    <w:rsid w:val="00AB762A"/>
    <w:rsid w:val="00AB78F9"/>
    <w:rsid w:val="00AB7BD2"/>
    <w:rsid w:val="00AB7C08"/>
    <w:rsid w:val="00AB7FC4"/>
    <w:rsid w:val="00AC0079"/>
    <w:rsid w:val="00AC0370"/>
    <w:rsid w:val="00AC05E7"/>
    <w:rsid w:val="00AC0A4B"/>
    <w:rsid w:val="00AC1143"/>
    <w:rsid w:val="00AC1150"/>
    <w:rsid w:val="00AC1271"/>
    <w:rsid w:val="00AC129C"/>
    <w:rsid w:val="00AC12F3"/>
    <w:rsid w:val="00AC1329"/>
    <w:rsid w:val="00AC1373"/>
    <w:rsid w:val="00AC15D3"/>
    <w:rsid w:val="00AC1692"/>
    <w:rsid w:val="00AC18E7"/>
    <w:rsid w:val="00AC1A4D"/>
    <w:rsid w:val="00AC1FD0"/>
    <w:rsid w:val="00AC20F9"/>
    <w:rsid w:val="00AC22EC"/>
    <w:rsid w:val="00AC2576"/>
    <w:rsid w:val="00AC2900"/>
    <w:rsid w:val="00AC2925"/>
    <w:rsid w:val="00AC2935"/>
    <w:rsid w:val="00AC2C01"/>
    <w:rsid w:val="00AC2D5E"/>
    <w:rsid w:val="00AC2D84"/>
    <w:rsid w:val="00AC2DBA"/>
    <w:rsid w:val="00AC2DCC"/>
    <w:rsid w:val="00AC2E7E"/>
    <w:rsid w:val="00AC2F28"/>
    <w:rsid w:val="00AC31D6"/>
    <w:rsid w:val="00AC3268"/>
    <w:rsid w:val="00AC3383"/>
    <w:rsid w:val="00AC3437"/>
    <w:rsid w:val="00AC34D6"/>
    <w:rsid w:val="00AC3519"/>
    <w:rsid w:val="00AC3761"/>
    <w:rsid w:val="00AC3AAE"/>
    <w:rsid w:val="00AC4071"/>
    <w:rsid w:val="00AC40EF"/>
    <w:rsid w:val="00AC41BB"/>
    <w:rsid w:val="00AC4459"/>
    <w:rsid w:val="00AC448F"/>
    <w:rsid w:val="00AC44BA"/>
    <w:rsid w:val="00AC45CE"/>
    <w:rsid w:val="00AC4671"/>
    <w:rsid w:val="00AC473C"/>
    <w:rsid w:val="00AC4750"/>
    <w:rsid w:val="00AC4BFC"/>
    <w:rsid w:val="00AC4CFE"/>
    <w:rsid w:val="00AC4DB1"/>
    <w:rsid w:val="00AC4DE1"/>
    <w:rsid w:val="00AC4DEC"/>
    <w:rsid w:val="00AC50A2"/>
    <w:rsid w:val="00AC521E"/>
    <w:rsid w:val="00AC5560"/>
    <w:rsid w:val="00AC57C7"/>
    <w:rsid w:val="00AC5A4F"/>
    <w:rsid w:val="00AC5BF0"/>
    <w:rsid w:val="00AC5C39"/>
    <w:rsid w:val="00AC5D7B"/>
    <w:rsid w:val="00AC5E49"/>
    <w:rsid w:val="00AC60B9"/>
    <w:rsid w:val="00AC6159"/>
    <w:rsid w:val="00AC61F7"/>
    <w:rsid w:val="00AC6543"/>
    <w:rsid w:val="00AC6897"/>
    <w:rsid w:val="00AC68F6"/>
    <w:rsid w:val="00AC69A8"/>
    <w:rsid w:val="00AC6BE1"/>
    <w:rsid w:val="00AC6D48"/>
    <w:rsid w:val="00AC6ED0"/>
    <w:rsid w:val="00AC6F80"/>
    <w:rsid w:val="00AC6F8F"/>
    <w:rsid w:val="00AC6FA2"/>
    <w:rsid w:val="00AC6FCE"/>
    <w:rsid w:val="00AC71B7"/>
    <w:rsid w:val="00AC73D7"/>
    <w:rsid w:val="00AC73EE"/>
    <w:rsid w:val="00AC7531"/>
    <w:rsid w:val="00AC76FF"/>
    <w:rsid w:val="00AC77B3"/>
    <w:rsid w:val="00AC77EE"/>
    <w:rsid w:val="00AC7A39"/>
    <w:rsid w:val="00AC7A40"/>
    <w:rsid w:val="00AC7A47"/>
    <w:rsid w:val="00AC7CE6"/>
    <w:rsid w:val="00AC7D2A"/>
    <w:rsid w:val="00AC7DB1"/>
    <w:rsid w:val="00AD0011"/>
    <w:rsid w:val="00AD0049"/>
    <w:rsid w:val="00AD00ED"/>
    <w:rsid w:val="00AD02B3"/>
    <w:rsid w:val="00AD03B4"/>
    <w:rsid w:val="00AD07D6"/>
    <w:rsid w:val="00AD0855"/>
    <w:rsid w:val="00AD092A"/>
    <w:rsid w:val="00AD0A8B"/>
    <w:rsid w:val="00AD0BC4"/>
    <w:rsid w:val="00AD0C15"/>
    <w:rsid w:val="00AD0C1C"/>
    <w:rsid w:val="00AD0C73"/>
    <w:rsid w:val="00AD0DD8"/>
    <w:rsid w:val="00AD0F1B"/>
    <w:rsid w:val="00AD0F76"/>
    <w:rsid w:val="00AD119E"/>
    <w:rsid w:val="00AD11B5"/>
    <w:rsid w:val="00AD1371"/>
    <w:rsid w:val="00AD13A0"/>
    <w:rsid w:val="00AD1493"/>
    <w:rsid w:val="00AD15E6"/>
    <w:rsid w:val="00AD186D"/>
    <w:rsid w:val="00AD1969"/>
    <w:rsid w:val="00AD1B89"/>
    <w:rsid w:val="00AD1C18"/>
    <w:rsid w:val="00AD1E27"/>
    <w:rsid w:val="00AD20F3"/>
    <w:rsid w:val="00AD23A6"/>
    <w:rsid w:val="00AD2442"/>
    <w:rsid w:val="00AD25DA"/>
    <w:rsid w:val="00AD274F"/>
    <w:rsid w:val="00AD2804"/>
    <w:rsid w:val="00AD29AD"/>
    <w:rsid w:val="00AD2A1E"/>
    <w:rsid w:val="00AD2C06"/>
    <w:rsid w:val="00AD2CA6"/>
    <w:rsid w:val="00AD3094"/>
    <w:rsid w:val="00AD316C"/>
    <w:rsid w:val="00AD31AB"/>
    <w:rsid w:val="00AD31C0"/>
    <w:rsid w:val="00AD3389"/>
    <w:rsid w:val="00AD33D7"/>
    <w:rsid w:val="00AD362C"/>
    <w:rsid w:val="00AD364A"/>
    <w:rsid w:val="00AD3746"/>
    <w:rsid w:val="00AD3762"/>
    <w:rsid w:val="00AD38EA"/>
    <w:rsid w:val="00AD3912"/>
    <w:rsid w:val="00AD394F"/>
    <w:rsid w:val="00AD39CC"/>
    <w:rsid w:val="00AD3D41"/>
    <w:rsid w:val="00AD3FA2"/>
    <w:rsid w:val="00AD42A2"/>
    <w:rsid w:val="00AD44ED"/>
    <w:rsid w:val="00AD4576"/>
    <w:rsid w:val="00AD46AA"/>
    <w:rsid w:val="00AD46E5"/>
    <w:rsid w:val="00AD47D9"/>
    <w:rsid w:val="00AD4845"/>
    <w:rsid w:val="00AD494E"/>
    <w:rsid w:val="00AD4CBE"/>
    <w:rsid w:val="00AD4CFD"/>
    <w:rsid w:val="00AD4E00"/>
    <w:rsid w:val="00AD502D"/>
    <w:rsid w:val="00AD5032"/>
    <w:rsid w:val="00AD5224"/>
    <w:rsid w:val="00AD55E9"/>
    <w:rsid w:val="00AD56AC"/>
    <w:rsid w:val="00AD5746"/>
    <w:rsid w:val="00AD59DB"/>
    <w:rsid w:val="00AD5A12"/>
    <w:rsid w:val="00AD5A1B"/>
    <w:rsid w:val="00AD5AFD"/>
    <w:rsid w:val="00AD5D19"/>
    <w:rsid w:val="00AD5E5B"/>
    <w:rsid w:val="00AD5F1E"/>
    <w:rsid w:val="00AD601A"/>
    <w:rsid w:val="00AD61A6"/>
    <w:rsid w:val="00AD6273"/>
    <w:rsid w:val="00AD627D"/>
    <w:rsid w:val="00AD64B2"/>
    <w:rsid w:val="00AD64CA"/>
    <w:rsid w:val="00AD6575"/>
    <w:rsid w:val="00AD6AB2"/>
    <w:rsid w:val="00AD6AC2"/>
    <w:rsid w:val="00AD6B6E"/>
    <w:rsid w:val="00AD6E0C"/>
    <w:rsid w:val="00AD70ED"/>
    <w:rsid w:val="00AD71BA"/>
    <w:rsid w:val="00AD7247"/>
    <w:rsid w:val="00AD744E"/>
    <w:rsid w:val="00AD75DA"/>
    <w:rsid w:val="00AD77D7"/>
    <w:rsid w:val="00AD79AA"/>
    <w:rsid w:val="00AD7A87"/>
    <w:rsid w:val="00AD7C74"/>
    <w:rsid w:val="00AD7C96"/>
    <w:rsid w:val="00AD7CF9"/>
    <w:rsid w:val="00AD7D7F"/>
    <w:rsid w:val="00AD7F13"/>
    <w:rsid w:val="00AD7F59"/>
    <w:rsid w:val="00AD7FF9"/>
    <w:rsid w:val="00AE0190"/>
    <w:rsid w:val="00AE0230"/>
    <w:rsid w:val="00AE04EF"/>
    <w:rsid w:val="00AE059B"/>
    <w:rsid w:val="00AE08D9"/>
    <w:rsid w:val="00AE0B60"/>
    <w:rsid w:val="00AE0ED4"/>
    <w:rsid w:val="00AE0F2B"/>
    <w:rsid w:val="00AE1041"/>
    <w:rsid w:val="00AE10B8"/>
    <w:rsid w:val="00AE11E8"/>
    <w:rsid w:val="00AE12B1"/>
    <w:rsid w:val="00AE14F2"/>
    <w:rsid w:val="00AE16D4"/>
    <w:rsid w:val="00AE184F"/>
    <w:rsid w:val="00AE187A"/>
    <w:rsid w:val="00AE19C0"/>
    <w:rsid w:val="00AE1C08"/>
    <w:rsid w:val="00AE1DA9"/>
    <w:rsid w:val="00AE207D"/>
    <w:rsid w:val="00AE2182"/>
    <w:rsid w:val="00AE22E0"/>
    <w:rsid w:val="00AE22E3"/>
    <w:rsid w:val="00AE283B"/>
    <w:rsid w:val="00AE295E"/>
    <w:rsid w:val="00AE2982"/>
    <w:rsid w:val="00AE2A1A"/>
    <w:rsid w:val="00AE2C49"/>
    <w:rsid w:val="00AE2DB9"/>
    <w:rsid w:val="00AE2DDD"/>
    <w:rsid w:val="00AE2EE2"/>
    <w:rsid w:val="00AE315E"/>
    <w:rsid w:val="00AE36A1"/>
    <w:rsid w:val="00AE3802"/>
    <w:rsid w:val="00AE38E4"/>
    <w:rsid w:val="00AE3B2E"/>
    <w:rsid w:val="00AE3C59"/>
    <w:rsid w:val="00AE41AA"/>
    <w:rsid w:val="00AE4A0F"/>
    <w:rsid w:val="00AE4A3B"/>
    <w:rsid w:val="00AE5040"/>
    <w:rsid w:val="00AE50BA"/>
    <w:rsid w:val="00AE5191"/>
    <w:rsid w:val="00AE5421"/>
    <w:rsid w:val="00AE5C45"/>
    <w:rsid w:val="00AE5D7C"/>
    <w:rsid w:val="00AE5E49"/>
    <w:rsid w:val="00AE5E63"/>
    <w:rsid w:val="00AE5EF8"/>
    <w:rsid w:val="00AE6135"/>
    <w:rsid w:val="00AE667D"/>
    <w:rsid w:val="00AE671F"/>
    <w:rsid w:val="00AE6841"/>
    <w:rsid w:val="00AE6AB1"/>
    <w:rsid w:val="00AE6BE6"/>
    <w:rsid w:val="00AE6CFB"/>
    <w:rsid w:val="00AE6F3C"/>
    <w:rsid w:val="00AE6FB1"/>
    <w:rsid w:val="00AE7078"/>
    <w:rsid w:val="00AE710C"/>
    <w:rsid w:val="00AE7259"/>
    <w:rsid w:val="00AE73E3"/>
    <w:rsid w:val="00AE7445"/>
    <w:rsid w:val="00AE766B"/>
    <w:rsid w:val="00AE76DA"/>
    <w:rsid w:val="00AE7716"/>
    <w:rsid w:val="00AE78CC"/>
    <w:rsid w:val="00AE7AE0"/>
    <w:rsid w:val="00AE7B96"/>
    <w:rsid w:val="00AE7E0D"/>
    <w:rsid w:val="00AF0090"/>
    <w:rsid w:val="00AF0201"/>
    <w:rsid w:val="00AF0729"/>
    <w:rsid w:val="00AF0794"/>
    <w:rsid w:val="00AF0C9E"/>
    <w:rsid w:val="00AF0E1D"/>
    <w:rsid w:val="00AF107F"/>
    <w:rsid w:val="00AF1139"/>
    <w:rsid w:val="00AF12E6"/>
    <w:rsid w:val="00AF1356"/>
    <w:rsid w:val="00AF180F"/>
    <w:rsid w:val="00AF1CD2"/>
    <w:rsid w:val="00AF1E85"/>
    <w:rsid w:val="00AF20D5"/>
    <w:rsid w:val="00AF22DB"/>
    <w:rsid w:val="00AF23CC"/>
    <w:rsid w:val="00AF2558"/>
    <w:rsid w:val="00AF284B"/>
    <w:rsid w:val="00AF29CF"/>
    <w:rsid w:val="00AF2A84"/>
    <w:rsid w:val="00AF2BBD"/>
    <w:rsid w:val="00AF2BFB"/>
    <w:rsid w:val="00AF2D3F"/>
    <w:rsid w:val="00AF2E17"/>
    <w:rsid w:val="00AF2E39"/>
    <w:rsid w:val="00AF2E3F"/>
    <w:rsid w:val="00AF2F4E"/>
    <w:rsid w:val="00AF2F90"/>
    <w:rsid w:val="00AF3110"/>
    <w:rsid w:val="00AF327A"/>
    <w:rsid w:val="00AF35F3"/>
    <w:rsid w:val="00AF3620"/>
    <w:rsid w:val="00AF3A66"/>
    <w:rsid w:val="00AF3ACF"/>
    <w:rsid w:val="00AF3BC7"/>
    <w:rsid w:val="00AF3EFB"/>
    <w:rsid w:val="00AF3F0F"/>
    <w:rsid w:val="00AF3FAF"/>
    <w:rsid w:val="00AF4381"/>
    <w:rsid w:val="00AF4435"/>
    <w:rsid w:val="00AF447F"/>
    <w:rsid w:val="00AF480C"/>
    <w:rsid w:val="00AF4BBC"/>
    <w:rsid w:val="00AF4D3B"/>
    <w:rsid w:val="00AF4D45"/>
    <w:rsid w:val="00AF4FD6"/>
    <w:rsid w:val="00AF51A1"/>
    <w:rsid w:val="00AF523D"/>
    <w:rsid w:val="00AF553B"/>
    <w:rsid w:val="00AF56DC"/>
    <w:rsid w:val="00AF571A"/>
    <w:rsid w:val="00AF5761"/>
    <w:rsid w:val="00AF5822"/>
    <w:rsid w:val="00AF596F"/>
    <w:rsid w:val="00AF5B3E"/>
    <w:rsid w:val="00AF5B75"/>
    <w:rsid w:val="00AF5CD4"/>
    <w:rsid w:val="00AF5D23"/>
    <w:rsid w:val="00AF6399"/>
    <w:rsid w:val="00AF650F"/>
    <w:rsid w:val="00AF66F4"/>
    <w:rsid w:val="00AF6739"/>
    <w:rsid w:val="00AF679A"/>
    <w:rsid w:val="00AF6A68"/>
    <w:rsid w:val="00AF6A98"/>
    <w:rsid w:val="00AF6E13"/>
    <w:rsid w:val="00AF7056"/>
    <w:rsid w:val="00AF70A6"/>
    <w:rsid w:val="00AF7331"/>
    <w:rsid w:val="00AF7340"/>
    <w:rsid w:val="00AF753A"/>
    <w:rsid w:val="00AF768A"/>
    <w:rsid w:val="00AF7A73"/>
    <w:rsid w:val="00AF7E6F"/>
    <w:rsid w:val="00AF7FC7"/>
    <w:rsid w:val="00B002BD"/>
    <w:rsid w:val="00B003A1"/>
    <w:rsid w:val="00B005B2"/>
    <w:rsid w:val="00B0061F"/>
    <w:rsid w:val="00B00781"/>
    <w:rsid w:val="00B00974"/>
    <w:rsid w:val="00B00991"/>
    <w:rsid w:val="00B00B69"/>
    <w:rsid w:val="00B00C34"/>
    <w:rsid w:val="00B00D46"/>
    <w:rsid w:val="00B00DBB"/>
    <w:rsid w:val="00B00EED"/>
    <w:rsid w:val="00B010B5"/>
    <w:rsid w:val="00B011B7"/>
    <w:rsid w:val="00B017A2"/>
    <w:rsid w:val="00B01A3E"/>
    <w:rsid w:val="00B01A7A"/>
    <w:rsid w:val="00B01D0D"/>
    <w:rsid w:val="00B01D18"/>
    <w:rsid w:val="00B01D2A"/>
    <w:rsid w:val="00B01FDB"/>
    <w:rsid w:val="00B02258"/>
    <w:rsid w:val="00B02640"/>
    <w:rsid w:val="00B02780"/>
    <w:rsid w:val="00B02AED"/>
    <w:rsid w:val="00B02B31"/>
    <w:rsid w:val="00B02D7C"/>
    <w:rsid w:val="00B02EC4"/>
    <w:rsid w:val="00B02F5E"/>
    <w:rsid w:val="00B03120"/>
    <w:rsid w:val="00B03379"/>
    <w:rsid w:val="00B03479"/>
    <w:rsid w:val="00B035FF"/>
    <w:rsid w:val="00B03670"/>
    <w:rsid w:val="00B03EAA"/>
    <w:rsid w:val="00B0407E"/>
    <w:rsid w:val="00B041BE"/>
    <w:rsid w:val="00B043BD"/>
    <w:rsid w:val="00B0445F"/>
    <w:rsid w:val="00B0451F"/>
    <w:rsid w:val="00B048BD"/>
    <w:rsid w:val="00B04AF8"/>
    <w:rsid w:val="00B04B28"/>
    <w:rsid w:val="00B04F26"/>
    <w:rsid w:val="00B0504A"/>
    <w:rsid w:val="00B05137"/>
    <w:rsid w:val="00B0521C"/>
    <w:rsid w:val="00B0537D"/>
    <w:rsid w:val="00B05522"/>
    <w:rsid w:val="00B05590"/>
    <w:rsid w:val="00B0568D"/>
    <w:rsid w:val="00B05710"/>
    <w:rsid w:val="00B0588C"/>
    <w:rsid w:val="00B05975"/>
    <w:rsid w:val="00B0597E"/>
    <w:rsid w:val="00B0599C"/>
    <w:rsid w:val="00B05A7B"/>
    <w:rsid w:val="00B05CB2"/>
    <w:rsid w:val="00B05F40"/>
    <w:rsid w:val="00B0601D"/>
    <w:rsid w:val="00B0610F"/>
    <w:rsid w:val="00B0644C"/>
    <w:rsid w:val="00B06450"/>
    <w:rsid w:val="00B066F0"/>
    <w:rsid w:val="00B06766"/>
    <w:rsid w:val="00B06824"/>
    <w:rsid w:val="00B068DD"/>
    <w:rsid w:val="00B06940"/>
    <w:rsid w:val="00B06AC4"/>
    <w:rsid w:val="00B06E9A"/>
    <w:rsid w:val="00B06ED9"/>
    <w:rsid w:val="00B06F8E"/>
    <w:rsid w:val="00B07125"/>
    <w:rsid w:val="00B0754B"/>
    <w:rsid w:val="00B077FE"/>
    <w:rsid w:val="00B0797D"/>
    <w:rsid w:val="00B07B2C"/>
    <w:rsid w:val="00B07E45"/>
    <w:rsid w:val="00B07E81"/>
    <w:rsid w:val="00B07EF2"/>
    <w:rsid w:val="00B07EF3"/>
    <w:rsid w:val="00B100DE"/>
    <w:rsid w:val="00B10314"/>
    <w:rsid w:val="00B103ED"/>
    <w:rsid w:val="00B105D3"/>
    <w:rsid w:val="00B10685"/>
    <w:rsid w:val="00B10783"/>
    <w:rsid w:val="00B1099D"/>
    <w:rsid w:val="00B10A7F"/>
    <w:rsid w:val="00B10AC3"/>
    <w:rsid w:val="00B10AD3"/>
    <w:rsid w:val="00B10CB8"/>
    <w:rsid w:val="00B10CCB"/>
    <w:rsid w:val="00B10CFA"/>
    <w:rsid w:val="00B10D89"/>
    <w:rsid w:val="00B10F1C"/>
    <w:rsid w:val="00B10F23"/>
    <w:rsid w:val="00B1100B"/>
    <w:rsid w:val="00B110B7"/>
    <w:rsid w:val="00B11415"/>
    <w:rsid w:val="00B1146B"/>
    <w:rsid w:val="00B1183D"/>
    <w:rsid w:val="00B118AC"/>
    <w:rsid w:val="00B119F2"/>
    <w:rsid w:val="00B11B61"/>
    <w:rsid w:val="00B11B8D"/>
    <w:rsid w:val="00B12163"/>
    <w:rsid w:val="00B12198"/>
    <w:rsid w:val="00B12228"/>
    <w:rsid w:val="00B125B4"/>
    <w:rsid w:val="00B12720"/>
    <w:rsid w:val="00B127D0"/>
    <w:rsid w:val="00B127F9"/>
    <w:rsid w:val="00B1280E"/>
    <w:rsid w:val="00B12D82"/>
    <w:rsid w:val="00B132A7"/>
    <w:rsid w:val="00B13491"/>
    <w:rsid w:val="00B13601"/>
    <w:rsid w:val="00B13612"/>
    <w:rsid w:val="00B1364D"/>
    <w:rsid w:val="00B1368E"/>
    <w:rsid w:val="00B137E1"/>
    <w:rsid w:val="00B1396D"/>
    <w:rsid w:val="00B13E19"/>
    <w:rsid w:val="00B13E26"/>
    <w:rsid w:val="00B1407B"/>
    <w:rsid w:val="00B14124"/>
    <w:rsid w:val="00B1436B"/>
    <w:rsid w:val="00B14440"/>
    <w:rsid w:val="00B148CF"/>
    <w:rsid w:val="00B1492F"/>
    <w:rsid w:val="00B1499D"/>
    <w:rsid w:val="00B14D5B"/>
    <w:rsid w:val="00B14E5F"/>
    <w:rsid w:val="00B14EEF"/>
    <w:rsid w:val="00B14F8D"/>
    <w:rsid w:val="00B151CD"/>
    <w:rsid w:val="00B1524D"/>
    <w:rsid w:val="00B15261"/>
    <w:rsid w:val="00B152E9"/>
    <w:rsid w:val="00B153AD"/>
    <w:rsid w:val="00B153CA"/>
    <w:rsid w:val="00B15492"/>
    <w:rsid w:val="00B1577A"/>
    <w:rsid w:val="00B15882"/>
    <w:rsid w:val="00B158A3"/>
    <w:rsid w:val="00B159EE"/>
    <w:rsid w:val="00B15A1D"/>
    <w:rsid w:val="00B15A3B"/>
    <w:rsid w:val="00B15A3F"/>
    <w:rsid w:val="00B15CCD"/>
    <w:rsid w:val="00B15D46"/>
    <w:rsid w:val="00B15DC9"/>
    <w:rsid w:val="00B15EF8"/>
    <w:rsid w:val="00B15FC8"/>
    <w:rsid w:val="00B1603E"/>
    <w:rsid w:val="00B1618C"/>
    <w:rsid w:val="00B16205"/>
    <w:rsid w:val="00B1642D"/>
    <w:rsid w:val="00B164CB"/>
    <w:rsid w:val="00B1651A"/>
    <w:rsid w:val="00B165F3"/>
    <w:rsid w:val="00B16691"/>
    <w:rsid w:val="00B1670E"/>
    <w:rsid w:val="00B16717"/>
    <w:rsid w:val="00B16E27"/>
    <w:rsid w:val="00B17078"/>
    <w:rsid w:val="00B1712C"/>
    <w:rsid w:val="00B1718C"/>
    <w:rsid w:val="00B17494"/>
    <w:rsid w:val="00B17637"/>
    <w:rsid w:val="00B17EF3"/>
    <w:rsid w:val="00B17F2D"/>
    <w:rsid w:val="00B17F4C"/>
    <w:rsid w:val="00B2002E"/>
    <w:rsid w:val="00B2013A"/>
    <w:rsid w:val="00B201FA"/>
    <w:rsid w:val="00B2057E"/>
    <w:rsid w:val="00B205EF"/>
    <w:rsid w:val="00B207F8"/>
    <w:rsid w:val="00B209C2"/>
    <w:rsid w:val="00B209FF"/>
    <w:rsid w:val="00B210C5"/>
    <w:rsid w:val="00B213A5"/>
    <w:rsid w:val="00B213C4"/>
    <w:rsid w:val="00B21420"/>
    <w:rsid w:val="00B215CE"/>
    <w:rsid w:val="00B21685"/>
    <w:rsid w:val="00B216AC"/>
    <w:rsid w:val="00B216CE"/>
    <w:rsid w:val="00B219A4"/>
    <w:rsid w:val="00B219C7"/>
    <w:rsid w:val="00B21AA4"/>
    <w:rsid w:val="00B21F7D"/>
    <w:rsid w:val="00B2201F"/>
    <w:rsid w:val="00B22204"/>
    <w:rsid w:val="00B222BA"/>
    <w:rsid w:val="00B2236F"/>
    <w:rsid w:val="00B223D7"/>
    <w:rsid w:val="00B223DE"/>
    <w:rsid w:val="00B22449"/>
    <w:rsid w:val="00B227B8"/>
    <w:rsid w:val="00B2282B"/>
    <w:rsid w:val="00B2287F"/>
    <w:rsid w:val="00B22E53"/>
    <w:rsid w:val="00B22E8B"/>
    <w:rsid w:val="00B23009"/>
    <w:rsid w:val="00B23033"/>
    <w:rsid w:val="00B233A8"/>
    <w:rsid w:val="00B233AE"/>
    <w:rsid w:val="00B23515"/>
    <w:rsid w:val="00B239DB"/>
    <w:rsid w:val="00B23A64"/>
    <w:rsid w:val="00B24112"/>
    <w:rsid w:val="00B241AD"/>
    <w:rsid w:val="00B24236"/>
    <w:rsid w:val="00B24704"/>
    <w:rsid w:val="00B24757"/>
    <w:rsid w:val="00B249F7"/>
    <w:rsid w:val="00B24A25"/>
    <w:rsid w:val="00B24ACD"/>
    <w:rsid w:val="00B24AE1"/>
    <w:rsid w:val="00B24B4D"/>
    <w:rsid w:val="00B24DEE"/>
    <w:rsid w:val="00B24F4E"/>
    <w:rsid w:val="00B2535A"/>
    <w:rsid w:val="00B253BF"/>
    <w:rsid w:val="00B253C3"/>
    <w:rsid w:val="00B2541E"/>
    <w:rsid w:val="00B255A5"/>
    <w:rsid w:val="00B255DA"/>
    <w:rsid w:val="00B256A4"/>
    <w:rsid w:val="00B25775"/>
    <w:rsid w:val="00B25AF2"/>
    <w:rsid w:val="00B26170"/>
    <w:rsid w:val="00B26C64"/>
    <w:rsid w:val="00B26D19"/>
    <w:rsid w:val="00B26DAB"/>
    <w:rsid w:val="00B26FA7"/>
    <w:rsid w:val="00B271CB"/>
    <w:rsid w:val="00B272E5"/>
    <w:rsid w:val="00B273BC"/>
    <w:rsid w:val="00B274E8"/>
    <w:rsid w:val="00B27987"/>
    <w:rsid w:val="00B27C4B"/>
    <w:rsid w:val="00B27E28"/>
    <w:rsid w:val="00B27F08"/>
    <w:rsid w:val="00B27FFD"/>
    <w:rsid w:val="00B30110"/>
    <w:rsid w:val="00B30223"/>
    <w:rsid w:val="00B30241"/>
    <w:rsid w:val="00B30873"/>
    <w:rsid w:val="00B309CE"/>
    <w:rsid w:val="00B30A31"/>
    <w:rsid w:val="00B30A70"/>
    <w:rsid w:val="00B30CD4"/>
    <w:rsid w:val="00B31124"/>
    <w:rsid w:val="00B31222"/>
    <w:rsid w:val="00B316A8"/>
    <w:rsid w:val="00B3174F"/>
    <w:rsid w:val="00B3190E"/>
    <w:rsid w:val="00B3192E"/>
    <w:rsid w:val="00B31AAD"/>
    <w:rsid w:val="00B31B24"/>
    <w:rsid w:val="00B31E96"/>
    <w:rsid w:val="00B31ED0"/>
    <w:rsid w:val="00B32158"/>
    <w:rsid w:val="00B324C9"/>
    <w:rsid w:val="00B32567"/>
    <w:rsid w:val="00B325F4"/>
    <w:rsid w:val="00B3268D"/>
    <w:rsid w:val="00B326BC"/>
    <w:rsid w:val="00B32731"/>
    <w:rsid w:val="00B329AB"/>
    <w:rsid w:val="00B32BA7"/>
    <w:rsid w:val="00B32D0D"/>
    <w:rsid w:val="00B32DFC"/>
    <w:rsid w:val="00B32E56"/>
    <w:rsid w:val="00B3315B"/>
    <w:rsid w:val="00B3352B"/>
    <w:rsid w:val="00B335E3"/>
    <w:rsid w:val="00B3363B"/>
    <w:rsid w:val="00B3398E"/>
    <w:rsid w:val="00B33C5F"/>
    <w:rsid w:val="00B33E0B"/>
    <w:rsid w:val="00B34011"/>
    <w:rsid w:val="00B340C7"/>
    <w:rsid w:val="00B3415A"/>
    <w:rsid w:val="00B34231"/>
    <w:rsid w:val="00B34854"/>
    <w:rsid w:val="00B3491E"/>
    <w:rsid w:val="00B34D18"/>
    <w:rsid w:val="00B34D25"/>
    <w:rsid w:val="00B353E8"/>
    <w:rsid w:val="00B354BA"/>
    <w:rsid w:val="00B3568B"/>
    <w:rsid w:val="00B3575F"/>
    <w:rsid w:val="00B35F42"/>
    <w:rsid w:val="00B3618D"/>
    <w:rsid w:val="00B361A2"/>
    <w:rsid w:val="00B362AB"/>
    <w:rsid w:val="00B364FE"/>
    <w:rsid w:val="00B36548"/>
    <w:rsid w:val="00B367BB"/>
    <w:rsid w:val="00B368C3"/>
    <w:rsid w:val="00B36913"/>
    <w:rsid w:val="00B36953"/>
    <w:rsid w:val="00B36DFC"/>
    <w:rsid w:val="00B36E79"/>
    <w:rsid w:val="00B36EF7"/>
    <w:rsid w:val="00B36F58"/>
    <w:rsid w:val="00B37170"/>
    <w:rsid w:val="00B371C6"/>
    <w:rsid w:val="00B37209"/>
    <w:rsid w:val="00B37A00"/>
    <w:rsid w:val="00B37AC9"/>
    <w:rsid w:val="00B37BEE"/>
    <w:rsid w:val="00B37C29"/>
    <w:rsid w:val="00B37CA8"/>
    <w:rsid w:val="00B37CF6"/>
    <w:rsid w:val="00B37DDC"/>
    <w:rsid w:val="00B37E16"/>
    <w:rsid w:val="00B37E8D"/>
    <w:rsid w:val="00B401E3"/>
    <w:rsid w:val="00B403B7"/>
    <w:rsid w:val="00B40556"/>
    <w:rsid w:val="00B40A13"/>
    <w:rsid w:val="00B40AE7"/>
    <w:rsid w:val="00B40DD4"/>
    <w:rsid w:val="00B40E51"/>
    <w:rsid w:val="00B40E7E"/>
    <w:rsid w:val="00B410F4"/>
    <w:rsid w:val="00B41255"/>
    <w:rsid w:val="00B414AF"/>
    <w:rsid w:val="00B41566"/>
    <w:rsid w:val="00B415DD"/>
    <w:rsid w:val="00B416B2"/>
    <w:rsid w:val="00B4187D"/>
    <w:rsid w:val="00B418DC"/>
    <w:rsid w:val="00B41DE3"/>
    <w:rsid w:val="00B421EC"/>
    <w:rsid w:val="00B423AD"/>
    <w:rsid w:val="00B42861"/>
    <w:rsid w:val="00B42975"/>
    <w:rsid w:val="00B42C64"/>
    <w:rsid w:val="00B42C6A"/>
    <w:rsid w:val="00B42D5A"/>
    <w:rsid w:val="00B42DC7"/>
    <w:rsid w:val="00B42E65"/>
    <w:rsid w:val="00B430BD"/>
    <w:rsid w:val="00B434E4"/>
    <w:rsid w:val="00B43698"/>
    <w:rsid w:val="00B4380B"/>
    <w:rsid w:val="00B43835"/>
    <w:rsid w:val="00B43B32"/>
    <w:rsid w:val="00B43BF8"/>
    <w:rsid w:val="00B43CD1"/>
    <w:rsid w:val="00B43CD9"/>
    <w:rsid w:val="00B43D3D"/>
    <w:rsid w:val="00B43D60"/>
    <w:rsid w:val="00B43F16"/>
    <w:rsid w:val="00B4400D"/>
    <w:rsid w:val="00B440B0"/>
    <w:rsid w:val="00B44225"/>
    <w:rsid w:val="00B442AB"/>
    <w:rsid w:val="00B44739"/>
    <w:rsid w:val="00B4495C"/>
    <w:rsid w:val="00B44A20"/>
    <w:rsid w:val="00B44ACD"/>
    <w:rsid w:val="00B44D58"/>
    <w:rsid w:val="00B44DE9"/>
    <w:rsid w:val="00B44F06"/>
    <w:rsid w:val="00B44F1A"/>
    <w:rsid w:val="00B44FE8"/>
    <w:rsid w:val="00B45230"/>
    <w:rsid w:val="00B4566E"/>
    <w:rsid w:val="00B45721"/>
    <w:rsid w:val="00B45A0E"/>
    <w:rsid w:val="00B45ACC"/>
    <w:rsid w:val="00B45B67"/>
    <w:rsid w:val="00B45BCD"/>
    <w:rsid w:val="00B45C13"/>
    <w:rsid w:val="00B45C76"/>
    <w:rsid w:val="00B45F13"/>
    <w:rsid w:val="00B45F30"/>
    <w:rsid w:val="00B45FAE"/>
    <w:rsid w:val="00B46046"/>
    <w:rsid w:val="00B46295"/>
    <w:rsid w:val="00B465B1"/>
    <w:rsid w:val="00B4663D"/>
    <w:rsid w:val="00B46645"/>
    <w:rsid w:val="00B467EB"/>
    <w:rsid w:val="00B468C9"/>
    <w:rsid w:val="00B46921"/>
    <w:rsid w:val="00B46B61"/>
    <w:rsid w:val="00B46B93"/>
    <w:rsid w:val="00B46E30"/>
    <w:rsid w:val="00B46FCF"/>
    <w:rsid w:val="00B4720F"/>
    <w:rsid w:val="00B47382"/>
    <w:rsid w:val="00B473F2"/>
    <w:rsid w:val="00B476AE"/>
    <w:rsid w:val="00B4777B"/>
    <w:rsid w:val="00B4797D"/>
    <w:rsid w:val="00B47B24"/>
    <w:rsid w:val="00B47CA9"/>
    <w:rsid w:val="00B47CBE"/>
    <w:rsid w:val="00B47CF8"/>
    <w:rsid w:val="00B50352"/>
    <w:rsid w:val="00B50492"/>
    <w:rsid w:val="00B507E5"/>
    <w:rsid w:val="00B50A3C"/>
    <w:rsid w:val="00B50B4E"/>
    <w:rsid w:val="00B510AC"/>
    <w:rsid w:val="00B514C1"/>
    <w:rsid w:val="00B514E7"/>
    <w:rsid w:val="00B5190E"/>
    <w:rsid w:val="00B51A35"/>
    <w:rsid w:val="00B51A59"/>
    <w:rsid w:val="00B51B84"/>
    <w:rsid w:val="00B51C99"/>
    <w:rsid w:val="00B51FB7"/>
    <w:rsid w:val="00B5210B"/>
    <w:rsid w:val="00B52549"/>
    <w:rsid w:val="00B5273B"/>
    <w:rsid w:val="00B529B2"/>
    <w:rsid w:val="00B52AFB"/>
    <w:rsid w:val="00B52B08"/>
    <w:rsid w:val="00B52EDE"/>
    <w:rsid w:val="00B53012"/>
    <w:rsid w:val="00B53068"/>
    <w:rsid w:val="00B5311C"/>
    <w:rsid w:val="00B53267"/>
    <w:rsid w:val="00B532D2"/>
    <w:rsid w:val="00B532D3"/>
    <w:rsid w:val="00B53480"/>
    <w:rsid w:val="00B5383C"/>
    <w:rsid w:val="00B539BF"/>
    <w:rsid w:val="00B53A0A"/>
    <w:rsid w:val="00B53B97"/>
    <w:rsid w:val="00B53D7B"/>
    <w:rsid w:val="00B54033"/>
    <w:rsid w:val="00B542D7"/>
    <w:rsid w:val="00B54384"/>
    <w:rsid w:val="00B543A8"/>
    <w:rsid w:val="00B545CC"/>
    <w:rsid w:val="00B546AF"/>
    <w:rsid w:val="00B54704"/>
    <w:rsid w:val="00B547D5"/>
    <w:rsid w:val="00B5485D"/>
    <w:rsid w:val="00B549F7"/>
    <w:rsid w:val="00B54C07"/>
    <w:rsid w:val="00B54C1C"/>
    <w:rsid w:val="00B54C32"/>
    <w:rsid w:val="00B54C8E"/>
    <w:rsid w:val="00B54CFF"/>
    <w:rsid w:val="00B551B7"/>
    <w:rsid w:val="00B551BA"/>
    <w:rsid w:val="00B5531D"/>
    <w:rsid w:val="00B553CE"/>
    <w:rsid w:val="00B5567C"/>
    <w:rsid w:val="00B55731"/>
    <w:rsid w:val="00B5579B"/>
    <w:rsid w:val="00B55CF0"/>
    <w:rsid w:val="00B55D5C"/>
    <w:rsid w:val="00B55E3D"/>
    <w:rsid w:val="00B56257"/>
    <w:rsid w:val="00B565CC"/>
    <w:rsid w:val="00B566FA"/>
    <w:rsid w:val="00B56735"/>
    <w:rsid w:val="00B56813"/>
    <w:rsid w:val="00B56862"/>
    <w:rsid w:val="00B5687C"/>
    <w:rsid w:val="00B56975"/>
    <w:rsid w:val="00B56CD3"/>
    <w:rsid w:val="00B56CE4"/>
    <w:rsid w:val="00B56FA4"/>
    <w:rsid w:val="00B5702E"/>
    <w:rsid w:val="00B570B2"/>
    <w:rsid w:val="00B575F5"/>
    <w:rsid w:val="00B578BD"/>
    <w:rsid w:val="00B57AF4"/>
    <w:rsid w:val="00B57B0D"/>
    <w:rsid w:val="00B57C60"/>
    <w:rsid w:val="00B6033E"/>
    <w:rsid w:val="00B60402"/>
    <w:rsid w:val="00B604B8"/>
    <w:rsid w:val="00B604B9"/>
    <w:rsid w:val="00B6059D"/>
    <w:rsid w:val="00B60973"/>
    <w:rsid w:val="00B609ED"/>
    <w:rsid w:val="00B60B24"/>
    <w:rsid w:val="00B60BB8"/>
    <w:rsid w:val="00B60BBF"/>
    <w:rsid w:val="00B60C80"/>
    <w:rsid w:val="00B60E0B"/>
    <w:rsid w:val="00B60F51"/>
    <w:rsid w:val="00B60F84"/>
    <w:rsid w:val="00B61073"/>
    <w:rsid w:val="00B612FF"/>
    <w:rsid w:val="00B61442"/>
    <w:rsid w:val="00B61515"/>
    <w:rsid w:val="00B61567"/>
    <w:rsid w:val="00B6160C"/>
    <w:rsid w:val="00B6185D"/>
    <w:rsid w:val="00B61964"/>
    <w:rsid w:val="00B61CBF"/>
    <w:rsid w:val="00B62164"/>
    <w:rsid w:val="00B6263B"/>
    <w:rsid w:val="00B62686"/>
    <w:rsid w:val="00B62706"/>
    <w:rsid w:val="00B627DD"/>
    <w:rsid w:val="00B629B3"/>
    <w:rsid w:val="00B62A95"/>
    <w:rsid w:val="00B62C3C"/>
    <w:rsid w:val="00B62E5E"/>
    <w:rsid w:val="00B62E62"/>
    <w:rsid w:val="00B62E77"/>
    <w:rsid w:val="00B62EF1"/>
    <w:rsid w:val="00B6322A"/>
    <w:rsid w:val="00B632C6"/>
    <w:rsid w:val="00B633B8"/>
    <w:rsid w:val="00B63530"/>
    <w:rsid w:val="00B636C5"/>
    <w:rsid w:val="00B63857"/>
    <w:rsid w:val="00B63C97"/>
    <w:rsid w:val="00B63D6E"/>
    <w:rsid w:val="00B63D78"/>
    <w:rsid w:val="00B63D93"/>
    <w:rsid w:val="00B63E56"/>
    <w:rsid w:val="00B64079"/>
    <w:rsid w:val="00B641D0"/>
    <w:rsid w:val="00B6442A"/>
    <w:rsid w:val="00B6499F"/>
    <w:rsid w:val="00B64AB8"/>
    <w:rsid w:val="00B64F4B"/>
    <w:rsid w:val="00B65110"/>
    <w:rsid w:val="00B6511A"/>
    <w:rsid w:val="00B65187"/>
    <w:rsid w:val="00B653E9"/>
    <w:rsid w:val="00B653F3"/>
    <w:rsid w:val="00B6547E"/>
    <w:rsid w:val="00B65530"/>
    <w:rsid w:val="00B65539"/>
    <w:rsid w:val="00B65613"/>
    <w:rsid w:val="00B656DE"/>
    <w:rsid w:val="00B656EE"/>
    <w:rsid w:val="00B657DB"/>
    <w:rsid w:val="00B65810"/>
    <w:rsid w:val="00B65842"/>
    <w:rsid w:val="00B65A72"/>
    <w:rsid w:val="00B65B4E"/>
    <w:rsid w:val="00B65CC4"/>
    <w:rsid w:val="00B65E5E"/>
    <w:rsid w:val="00B65FB9"/>
    <w:rsid w:val="00B65FD0"/>
    <w:rsid w:val="00B660DD"/>
    <w:rsid w:val="00B660EF"/>
    <w:rsid w:val="00B663B2"/>
    <w:rsid w:val="00B663FE"/>
    <w:rsid w:val="00B6643E"/>
    <w:rsid w:val="00B66483"/>
    <w:rsid w:val="00B6656B"/>
    <w:rsid w:val="00B6678E"/>
    <w:rsid w:val="00B66CE2"/>
    <w:rsid w:val="00B66D6D"/>
    <w:rsid w:val="00B66D81"/>
    <w:rsid w:val="00B6719B"/>
    <w:rsid w:val="00B67469"/>
    <w:rsid w:val="00B6773C"/>
    <w:rsid w:val="00B67771"/>
    <w:rsid w:val="00B6784C"/>
    <w:rsid w:val="00B67897"/>
    <w:rsid w:val="00B67980"/>
    <w:rsid w:val="00B679A1"/>
    <w:rsid w:val="00B679DD"/>
    <w:rsid w:val="00B67C58"/>
    <w:rsid w:val="00B67C93"/>
    <w:rsid w:val="00B67CB7"/>
    <w:rsid w:val="00B67D49"/>
    <w:rsid w:val="00B67DB2"/>
    <w:rsid w:val="00B67E71"/>
    <w:rsid w:val="00B7012B"/>
    <w:rsid w:val="00B704AA"/>
    <w:rsid w:val="00B704C8"/>
    <w:rsid w:val="00B7095A"/>
    <w:rsid w:val="00B70969"/>
    <w:rsid w:val="00B70A26"/>
    <w:rsid w:val="00B70B1D"/>
    <w:rsid w:val="00B70B83"/>
    <w:rsid w:val="00B70C36"/>
    <w:rsid w:val="00B70D1E"/>
    <w:rsid w:val="00B70D4D"/>
    <w:rsid w:val="00B70DFC"/>
    <w:rsid w:val="00B70E7D"/>
    <w:rsid w:val="00B70ECC"/>
    <w:rsid w:val="00B710C7"/>
    <w:rsid w:val="00B71180"/>
    <w:rsid w:val="00B712BB"/>
    <w:rsid w:val="00B7134D"/>
    <w:rsid w:val="00B71417"/>
    <w:rsid w:val="00B71516"/>
    <w:rsid w:val="00B715F7"/>
    <w:rsid w:val="00B716D6"/>
    <w:rsid w:val="00B71710"/>
    <w:rsid w:val="00B71743"/>
    <w:rsid w:val="00B717CD"/>
    <w:rsid w:val="00B7195C"/>
    <w:rsid w:val="00B71BF8"/>
    <w:rsid w:val="00B71C2A"/>
    <w:rsid w:val="00B71C2B"/>
    <w:rsid w:val="00B71EE6"/>
    <w:rsid w:val="00B72047"/>
    <w:rsid w:val="00B720BC"/>
    <w:rsid w:val="00B721CE"/>
    <w:rsid w:val="00B7232E"/>
    <w:rsid w:val="00B723DF"/>
    <w:rsid w:val="00B72520"/>
    <w:rsid w:val="00B7252D"/>
    <w:rsid w:val="00B7259D"/>
    <w:rsid w:val="00B727A8"/>
    <w:rsid w:val="00B727D7"/>
    <w:rsid w:val="00B727E3"/>
    <w:rsid w:val="00B72E54"/>
    <w:rsid w:val="00B73046"/>
    <w:rsid w:val="00B730B4"/>
    <w:rsid w:val="00B73185"/>
    <w:rsid w:val="00B736B8"/>
    <w:rsid w:val="00B736C2"/>
    <w:rsid w:val="00B73843"/>
    <w:rsid w:val="00B738CD"/>
    <w:rsid w:val="00B73A28"/>
    <w:rsid w:val="00B73A54"/>
    <w:rsid w:val="00B73B58"/>
    <w:rsid w:val="00B73B5E"/>
    <w:rsid w:val="00B73BB5"/>
    <w:rsid w:val="00B73C5B"/>
    <w:rsid w:val="00B73C66"/>
    <w:rsid w:val="00B73FF3"/>
    <w:rsid w:val="00B74082"/>
    <w:rsid w:val="00B7412C"/>
    <w:rsid w:val="00B74263"/>
    <w:rsid w:val="00B74292"/>
    <w:rsid w:val="00B742D6"/>
    <w:rsid w:val="00B74348"/>
    <w:rsid w:val="00B74584"/>
    <w:rsid w:val="00B7459B"/>
    <w:rsid w:val="00B7459F"/>
    <w:rsid w:val="00B74621"/>
    <w:rsid w:val="00B7465F"/>
    <w:rsid w:val="00B74845"/>
    <w:rsid w:val="00B748B8"/>
    <w:rsid w:val="00B7499F"/>
    <w:rsid w:val="00B74A4B"/>
    <w:rsid w:val="00B74A92"/>
    <w:rsid w:val="00B74B07"/>
    <w:rsid w:val="00B74C5A"/>
    <w:rsid w:val="00B74FC2"/>
    <w:rsid w:val="00B75590"/>
    <w:rsid w:val="00B755D9"/>
    <w:rsid w:val="00B7574D"/>
    <w:rsid w:val="00B75765"/>
    <w:rsid w:val="00B757B5"/>
    <w:rsid w:val="00B75BF6"/>
    <w:rsid w:val="00B75CC0"/>
    <w:rsid w:val="00B75D1A"/>
    <w:rsid w:val="00B75DA1"/>
    <w:rsid w:val="00B75EBC"/>
    <w:rsid w:val="00B75EF6"/>
    <w:rsid w:val="00B761C5"/>
    <w:rsid w:val="00B766AA"/>
    <w:rsid w:val="00B76D0C"/>
    <w:rsid w:val="00B76F55"/>
    <w:rsid w:val="00B7703D"/>
    <w:rsid w:val="00B771F4"/>
    <w:rsid w:val="00B773A1"/>
    <w:rsid w:val="00B773A9"/>
    <w:rsid w:val="00B773C0"/>
    <w:rsid w:val="00B773E9"/>
    <w:rsid w:val="00B774C1"/>
    <w:rsid w:val="00B7756A"/>
    <w:rsid w:val="00B77633"/>
    <w:rsid w:val="00B7763D"/>
    <w:rsid w:val="00B801B5"/>
    <w:rsid w:val="00B8035E"/>
    <w:rsid w:val="00B8054A"/>
    <w:rsid w:val="00B8068C"/>
    <w:rsid w:val="00B807C2"/>
    <w:rsid w:val="00B8087E"/>
    <w:rsid w:val="00B80960"/>
    <w:rsid w:val="00B80DAF"/>
    <w:rsid w:val="00B80F81"/>
    <w:rsid w:val="00B8104B"/>
    <w:rsid w:val="00B81070"/>
    <w:rsid w:val="00B813AB"/>
    <w:rsid w:val="00B81624"/>
    <w:rsid w:val="00B81EB1"/>
    <w:rsid w:val="00B82038"/>
    <w:rsid w:val="00B8204F"/>
    <w:rsid w:val="00B824D8"/>
    <w:rsid w:val="00B82507"/>
    <w:rsid w:val="00B82629"/>
    <w:rsid w:val="00B82665"/>
    <w:rsid w:val="00B8277C"/>
    <w:rsid w:val="00B8287B"/>
    <w:rsid w:val="00B8289D"/>
    <w:rsid w:val="00B828A0"/>
    <w:rsid w:val="00B82A1E"/>
    <w:rsid w:val="00B82C09"/>
    <w:rsid w:val="00B82D39"/>
    <w:rsid w:val="00B82F58"/>
    <w:rsid w:val="00B82F66"/>
    <w:rsid w:val="00B82F8A"/>
    <w:rsid w:val="00B83016"/>
    <w:rsid w:val="00B8321C"/>
    <w:rsid w:val="00B838E2"/>
    <w:rsid w:val="00B839EA"/>
    <w:rsid w:val="00B83A09"/>
    <w:rsid w:val="00B83A87"/>
    <w:rsid w:val="00B83C50"/>
    <w:rsid w:val="00B83D22"/>
    <w:rsid w:val="00B83F14"/>
    <w:rsid w:val="00B841FC"/>
    <w:rsid w:val="00B844D4"/>
    <w:rsid w:val="00B8453D"/>
    <w:rsid w:val="00B8474A"/>
    <w:rsid w:val="00B8478B"/>
    <w:rsid w:val="00B84A00"/>
    <w:rsid w:val="00B84A50"/>
    <w:rsid w:val="00B84AB7"/>
    <w:rsid w:val="00B84FE6"/>
    <w:rsid w:val="00B854E6"/>
    <w:rsid w:val="00B8572C"/>
    <w:rsid w:val="00B858A3"/>
    <w:rsid w:val="00B85B02"/>
    <w:rsid w:val="00B85CF4"/>
    <w:rsid w:val="00B85CF9"/>
    <w:rsid w:val="00B85E0B"/>
    <w:rsid w:val="00B85F2F"/>
    <w:rsid w:val="00B85F62"/>
    <w:rsid w:val="00B8614B"/>
    <w:rsid w:val="00B8620D"/>
    <w:rsid w:val="00B86360"/>
    <w:rsid w:val="00B863FF"/>
    <w:rsid w:val="00B8654D"/>
    <w:rsid w:val="00B86734"/>
    <w:rsid w:val="00B86830"/>
    <w:rsid w:val="00B86B98"/>
    <w:rsid w:val="00B86BBD"/>
    <w:rsid w:val="00B86C21"/>
    <w:rsid w:val="00B86D03"/>
    <w:rsid w:val="00B86D32"/>
    <w:rsid w:val="00B86DA9"/>
    <w:rsid w:val="00B86E64"/>
    <w:rsid w:val="00B86EAA"/>
    <w:rsid w:val="00B86F63"/>
    <w:rsid w:val="00B872BF"/>
    <w:rsid w:val="00B873C4"/>
    <w:rsid w:val="00B87455"/>
    <w:rsid w:val="00B877F4"/>
    <w:rsid w:val="00B878B3"/>
    <w:rsid w:val="00B87A47"/>
    <w:rsid w:val="00B87B1E"/>
    <w:rsid w:val="00B9005C"/>
    <w:rsid w:val="00B90193"/>
    <w:rsid w:val="00B9024B"/>
    <w:rsid w:val="00B903D7"/>
    <w:rsid w:val="00B9049D"/>
    <w:rsid w:val="00B9055C"/>
    <w:rsid w:val="00B90659"/>
    <w:rsid w:val="00B906C6"/>
    <w:rsid w:val="00B909CD"/>
    <w:rsid w:val="00B90A39"/>
    <w:rsid w:val="00B90B04"/>
    <w:rsid w:val="00B90D09"/>
    <w:rsid w:val="00B90D40"/>
    <w:rsid w:val="00B90E2A"/>
    <w:rsid w:val="00B90E32"/>
    <w:rsid w:val="00B90F5A"/>
    <w:rsid w:val="00B90F8D"/>
    <w:rsid w:val="00B91318"/>
    <w:rsid w:val="00B91343"/>
    <w:rsid w:val="00B91370"/>
    <w:rsid w:val="00B9162D"/>
    <w:rsid w:val="00B9167F"/>
    <w:rsid w:val="00B917CE"/>
    <w:rsid w:val="00B917EA"/>
    <w:rsid w:val="00B918AE"/>
    <w:rsid w:val="00B91BE6"/>
    <w:rsid w:val="00B91E5A"/>
    <w:rsid w:val="00B91EF5"/>
    <w:rsid w:val="00B921C5"/>
    <w:rsid w:val="00B921DF"/>
    <w:rsid w:val="00B92443"/>
    <w:rsid w:val="00B925A8"/>
    <w:rsid w:val="00B92895"/>
    <w:rsid w:val="00B929A5"/>
    <w:rsid w:val="00B92DAF"/>
    <w:rsid w:val="00B92EA4"/>
    <w:rsid w:val="00B92F0C"/>
    <w:rsid w:val="00B935AC"/>
    <w:rsid w:val="00B9384F"/>
    <w:rsid w:val="00B938C1"/>
    <w:rsid w:val="00B93CA9"/>
    <w:rsid w:val="00B93F72"/>
    <w:rsid w:val="00B940A2"/>
    <w:rsid w:val="00B94102"/>
    <w:rsid w:val="00B9420B"/>
    <w:rsid w:val="00B942B8"/>
    <w:rsid w:val="00B944BD"/>
    <w:rsid w:val="00B944C8"/>
    <w:rsid w:val="00B945B5"/>
    <w:rsid w:val="00B94939"/>
    <w:rsid w:val="00B94981"/>
    <w:rsid w:val="00B94A47"/>
    <w:rsid w:val="00B94A53"/>
    <w:rsid w:val="00B94AB4"/>
    <w:rsid w:val="00B94BEA"/>
    <w:rsid w:val="00B94E2B"/>
    <w:rsid w:val="00B94E68"/>
    <w:rsid w:val="00B94F7D"/>
    <w:rsid w:val="00B950AD"/>
    <w:rsid w:val="00B9512E"/>
    <w:rsid w:val="00B95148"/>
    <w:rsid w:val="00B9549A"/>
    <w:rsid w:val="00B954E6"/>
    <w:rsid w:val="00B9581C"/>
    <w:rsid w:val="00B95854"/>
    <w:rsid w:val="00B95A0B"/>
    <w:rsid w:val="00B95A12"/>
    <w:rsid w:val="00B95A8A"/>
    <w:rsid w:val="00B95B52"/>
    <w:rsid w:val="00B95E0C"/>
    <w:rsid w:val="00B95E92"/>
    <w:rsid w:val="00B95F2D"/>
    <w:rsid w:val="00B95F49"/>
    <w:rsid w:val="00B95F9F"/>
    <w:rsid w:val="00B96031"/>
    <w:rsid w:val="00B96139"/>
    <w:rsid w:val="00B96336"/>
    <w:rsid w:val="00B963E2"/>
    <w:rsid w:val="00B96521"/>
    <w:rsid w:val="00B965D1"/>
    <w:rsid w:val="00B969F9"/>
    <w:rsid w:val="00B96B01"/>
    <w:rsid w:val="00B96F63"/>
    <w:rsid w:val="00B970BA"/>
    <w:rsid w:val="00B971DD"/>
    <w:rsid w:val="00B972FA"/>
    <w:rsid w:val="00B9737F"/>
    <w:rsid w:val="00B976B0"/>
    <w:rsid w:val="00B978DF"/>
    <w:rsid w:val="00B97992"/>
    <w:rsid w:val="00B97C7A"/>
    <w:rsid w:val="00BA016B"/>
    <w:rsid w:val="00BA054F"/>
    <w:rsid w:val="00BA0576"/>
    <w:rsid w:val="00BA0848"/>
    <w:rsid w:val="00BA08C0"/>
    <w:rsid w:val="00BA08E4"/>
    <w:rsid w:val="00BA0A1E"/>
    <w:rsid w:val="00BA0D0A"/>
    <w:rsid w:val="00BA0F1E"/>
    <w:rsid w:val="00BA131D"/>
    <w:rsid w:val="00BA1365"/>
    <w:rsid w:val="00BA142C"/>
    <w:rsid w:val="00BA1590"/>
    <w:rsid w:val="00BA16F3"/>
    <w:rsid w:val="00BA1B69"/>
    <w:rsid w:val="00BA1B82"/>
    <w:rsid w:val="00BA1DFF"/>
    <w:rsid w:val="00BA1E46"/>
    <w:rsid w:val="00BA20DC"/>
    <w:rsid w:val="00BA2327"/>
    <w:rsid w:val="00BA23C3"/>
    <w:rsid w:val="00BA2400"/>
    <w:rsid w:val="00BA2532"/>
    <w:rsid w:val="00BA2938"/>
    <w:rsid w:val="00BA29CB"/>
    <w:rsid w:val="00BA2BEE"/>
    <w:rsid w:val="00BA2CB4"/>
    <w:rsid w:val="00BA2D03"/>
    <w:rsid w:val="00BA2E7C"/>
    <w:rsid w:val="00BA2EE5"/>
    <w:rsid w:val="00BA2F09"/>
    <w:rsid w:val="00BA3002"/>
    <w:rsid w:val="00BA332C"/>
    <w:rsid w:val="00BA3369"/>
    <w:rsid w:val="00BA3468"/>
    <w:rsid w:val="00BA35F3"/>
    <w:rsid w:val="00BA371C"/>
    <w:rsid w:val="00BA3930"/>
    <w:rsid w:val="00BA3BF2"/>
    <w:rsid w:val="00BA3E92"/>
    <w:rsid w:val="00BA4036"/>
    <w:rsid w:val="00BA4281"/>
    <w:rsid w:val="00BA43A4"/>
    <w:rsid w:val="00BA43C4"/>
    <w:rsid w:val="00BA453E"/>
    <w:rsid w:val="00BA4981"/>
    <w:rsid w:val="00BA49B5"/>
    <w:rsid w:val="00BA4A48"/>
    <w:rsid w:val="00BA4A4F"/>
    <w:rsid w:val="00BA4B38"/>
    <w:rsid w:val="00BA4C05"/>
    <w:rsid w:val="00BA4FB5"/>
    <w:rsid w:val="00BA506B"/>
    <w:rsid w:val="00BA50CC"/>
    <w:rsid w:val="00BA5256"/>
    <w:rsid w:val="00BA5506"/>
    <w:rsid w:val="00BA56C6"/>
    <w:rsid w:val="00BA5F5B"/>
    <w:rsid w:val="00BA5F62"/>
    <w:rsid w:val="00BA5F70"/>
    <w:rsid w:val="00BA5F79"/>
    <w:rsid w:val="00BA6021"/>
    <w:rsid w:val="00BA6221"/>
    <w:rsid w:val="00BA643D"/>
    <w:rsid w:val="00BA644A"/>
    <w:rsid w:val="00BA6652"/>
    <w:rsid w:val="00BA68B0"/>
    <w:rsid w:val="00BA6BC6"/>
    <w:rsid w:val="00BA6E68"/>
    <w:rsid w:val="00BA6E72"/>
    <w:rsid w:val="00BA6EEC"/>
    <w:rsid w:val="00BA6F21"/>
    <w:rsid w:val="00BA74A3"/>
    <w:rsid w:val="00BA77EA"/>
    <w:rsid w:val="00BA7894"/>
    <w:rsid w:val="00BA7941"/>
    <w:rsid w:val="00BA7A50"/>
    <w:rsid w:val="00BA7B07"/>
    <w:rsid w:val="00BA7F80"/>
    <w:rsid w:val="00BB043A"/>
    <w:rsid w:val="00BB047D"/>
    <w:rsid w:val="00BB061C"/>
    <w:rsid w:val="00BB065A"/>
    <w:rsid w:val="00BB084C"/>
    <w:rsid w:val="00BB09EA"/>
    <w:rsid w:val="00BB0E30"/>
    <w:rsid w:val="00BB0E99"/>
    <w:rsid w:val="00BB128B"/>
    <w:rsid w:val="00BB1633"/>
    <w:rsid w:val="00BB166E"/>
    <w:rsid w:val="00BB183B"/>
    <w:rsid w:val="00BB1A6F"/>
    <w:rsid w:val="00BB1A83"/>
    <w:rsid w:val="00BB1B98"/>
    <w:rsid w:val="00BB1DDC"/>
    <w:rsid w:val="00BB1E43"/>
    <w:rsid w:val="00BB1FE2"/>
    <w:rsid w:val="00BB23C2"/>
    <w:rsid w:val="00BB27DA"/>
    <w:rsid w:val="00BB3005"/>
    <w:rsid w:val="00BB319B"/>
    <w:rsid w:val="00BB337D"/>
    <w:rsid w:val="00BB339E"/>
    <w:rsid w:val="00BB3501"/>
    <w:rsid w:val="00BB350B"/>
    <w:rsid w:val="00BB368A"/>
    <w:rsid w:val="00BB374A"/>
    <w:rsid w:val="00BB374E"/>
    <w:rsid w:val="00BB3850"/>
    <w:rsid w:val="00BB391C"/>
    <w:rsid w:val="00BB3964"/>
    <w:rsid w:val="00BB39E6"/>
    <w:rsid w:val="00BB3C3F"/>
    <w:rsid w:val="00BB3FED"/>
    <w:rsid w:val="00BB4328"/>
    <w:rsid w:val="00BB4741"/>
    <w:rsid w:val="00BB4954"/>
    <w:rsid w:val="00BB4B3B"/>
    <w:rsid w:val="00BB4BD1"/>
    <w:rsid w:val="00BB4CD5"/>
    <w:rsid w:val="00BB4E3E"/>
    <w:rsid w:val="00BB4EC8"/>
    <w:rsid w:val="00BB5050"/>
    <w:rsid w:val="00BB5066"/>
    <w:rsid w:val="00BB51FF"/>
    <w:rsid w:val="00BB5238"/>
    <w:rsid w:val="00BB52AD"/>
    <w:rsid w:val="00BB57F3"/>
    <w:rsid w:val="00BB580E"/>
    <w:rsid w:val="00BB585B"/>
    <w:rsid w:val="00BB592A"/>
    <w:rsid w:val="00BB5944"/>
    <w:rsid w:val="00BB5E69"/>
    <w:rsid w:val="00BB5E74"/>
    <w:rsid w:val="00BB5FDA"/>
    <w:rsid w:val="00BB6048"/>
    <w:rsid w:val="00BB6067"/>
    <w:rsid w:val="00BB63A7"/>
    <w:rsid w:val="00BB697F"/>
    <w:rsid w:val="00BB6AF1"/>
    <w:rsid w:val="00BB6E45"/>
    <w:rsid w:val="00BB7034"/>
    <w:rsid w:val="00BB7153"/>
    <w:rsid w:val="00BB71A3"/>
    <w:rsid w:val="00BB71B8"/>
    <w:rsid w:val="00BB72FA"/>
    <w:rsid w:val="00BB7381"/>
    <w:rsid w:val="00BB73B5"/>
    <w:rsid w:val="00BB7444"/>
    <w:rsid w:val="00BB75B9"/>
    <w:rsid w:val="00BB779C"/>
    <w:rsid w:val="00BB78F8"/>
    <w:rsid w:val="00BB79C2"/>
    <w:rsid w:val="00BB79FE"/>
    <w:rsid w:val="00BB7B07"/>
    <w:rsid w:val="00BB7BE1"/>
    <w:rsid w:val="00BB7F0D"/>
    <w:rsid w:val="00BC0298"/>
    <w:rsid w:val="00BC03F6"/>
    <w:rsid w:val="00BC042D"/>
    <w:rsid w:val="00BC06E9"/>
    <w:rsid w:val="00BC0B52"/>
    <w:rsid w:val="00BC126B"/>
    <w:rsid w:val="00BC138D"/>
    <w:rsid w:val="00BC17AB"/>
    <w:rsid w:val="00BC1DDD"/>
    <w:rsid w:val="00BC1FB7"/>
    <w:rsid w:val="00BC1FE0"/>
    <w:rsid w:val="00BC22C2"/>
    <w:rsid w:val="00BC22FE"/>
    <w:rsid w:val="00BC2302"/>
    <w:rsid w:val="00BC2594"/>
    <w:rsid w:val="00BC2929"/>
    <w:rsid w:val="00BC2993"/>
    <w:rsid w:val="00BC29A6"/>
    <w:rsid w:val="00BC2B76"/>
    <w:rsid w:val="00BC2C04"/>
    <w:rsid w:val="00BC2F1A"/>
    <w:rsid w:val="00BC30F2"/>
    <w:rsid w:val="00BC31C4"/>
    <w:rsid w:val="00BC333F"/>
    <w:rsid w:val="00BC33E6"/>
    <w:rsid w:val="00BC3649"/>
    <w:rsid w:val="00BC36B3"/>
    <w:rsid w:val="00BC38BA"/>
    <w:rsid w:val="00BC3A41"/>
    <w:rsid w:val="00BC3BDD"/>
    <w:rsid w:val="00BC3DAA"/>
    <w:rsid w:val="00BC3DE9"/>
    <w:rsid w:val="00BC3E72"/>
    <w:rsid w:val="00BC3F95"/>
    <w:rsid w:val="00BC4020"/>
    <w:rsid w:val="00BC4159"/>
    <w:rsid w:val="00BC4C32"/>
    <w:rsid w:val="00BC4CE1"/>
    <w:rsid w:val="00BC4D2C"/>
    <w:rsid w:val="00BC4E7E"/>
    <w:rsid w:val="00BC4F17"/>
    <w:rsid w:val="00BC4FEC"/>
    <w:rsid w:val="00BC538A"/>
    <w:rsid w:val="00BC559E"/>
    <w:rsid w:val="00BC5702"/>
    <w:rsid w:val="00BC57F4"/>
    <w:rsid w:val="00BC58D4"/>
    <w:rsid w:val="00BC5A6A"/>
    <w:rsid w:val="00BC5BE8"/>
    <w:rsid w:val="00BC5C1F"/>
    <w:rsid w:val="00BC5CEC"/>
    <w:rsid w:val="00BC5D8C"/>
    <w:rsid w:val="00BC5DD7"/>
    <w:rsid w:val="00BC5E4B"/>
    <w:rsid w:val="00BC5EEC"/>
    <w:rsid w:val="00BC63A5"/>
    <w:rsid w:val="00BC692E"/>
    <w:rsid w:val="00BC6953"/>
    <w:rsid w:val="00BC6A7C"/>
    <w:rsid w:val="00BC6CC6"/>
    <w:rsid w:val="00BC6FF8"/>
    <w:rsid w:val="00BC702E"/>
    <w:rsid w:val="00BC71C4"/>
    <w:rsid w:val="00BC75A3"/>
    <w:rsid w:val="00BC75A4"/>
    <w:rsid w:val="00BC7672"/>
    <w:rsid w:val="00BC772C"/>
    <w:rsid w:val="00BC7792"/>
    <w:rsid w:val="00BC7C8C"/>
    <w:rsid w:val="00BC7C8D"/>
    <w:rsid w:val="00BC7D81"/>
    <w:rsid w:val="00BC7D98"/>
    <w:rsid w:val="00BC7E12"/>
    <w:rsid w:val="00BC7E23"/>
    <w:rsid w:val="00BC7E8D"/>
    <w:rsid w:val="00BC7EDA"/>
    <w:rsid w:val="00BC7FC2"/>
    <w:rsid w:val="00BD0285"/>
    <w:rsid w:val="00BD0387"/>
    <w:rsid w:val="00BD045A"/>
    <w:rsid w:val="00BD05B3"/>
    <w:rsid w:val="00BD0710"/>
    <w:rsid w:val="00BD0741"/>
    <w:rsid w:val="00BD086B"/>
    <w:rsid w:val="00BD0AE5"/>
    <w:rsid w:val="00BD0F84"/>
    <w:rsid w:val="00BD0FF1"/>
    <w:rsid w:val="00BD10F8"/>
    <w:rsid w:val="00BD1250"/>
    <w:rsid w:val="00BD1287"/>
    <w:rsid w:val="00BD13F3"/>
    <w:rsid w:val="00BD1633"/>
    <w:rsid w:val="00BD1716"/>
    <w:rsid w:val="00BD18A1"/>
    <w:rsid w:val="00BD197A"/>
    <w:rsid w:val="00BD1A70"/>
    <w:rsid w:val="00BD1B50"/>
    <w:rsid w:val="00BD1FAB"/>
    <w:rsid w:val="00BD2152"/>
    <w:rsid w:val="00BD21A7"/>
    <w:rsid w:val="00BD2234"/>
    <w:rsid w:val="00BD22E1"/>
    <w:rsid w:val="00BD22FE"/>
    <w:rsid w:val="00BD2632"/>
    <w:rsid w:val="00BD2806"/>
    <w:rsid w:val="00BD28C1"/>
    <w:rsid w:val="00BD28FD"/>
    <w:rsid w:val="00BD2A0A"/>
    <w:rsid w:val="00BD2B10"/>
    <w:rsid w:val="00BD2C4B"/>
    <w:rsid w:val="00BD2D1C"/>
    <w:rsid w:val="00BD30AC"/>
    <w:rsid w:val="00BD3101"/>
    <w:rsid w:val="00BD31E0"/>
    <w:rsid w:val="00BD33D2"/>
    <w:rsid w:val="00BD353F"/>
    <w:rsid w:val="00BD360C"/>
    <w:rsid w:val="00BD3628"/>
    <w:rsid w:val="00BD3777"/>
    <w:rsid w:val="00BD3780"/>
    <w:rsid w:val="00BD39C2"/>
    <w:rsid w:val="00BD3A22"/>
    <w:rsid w:val="00BD3A54"/>
    <w:rsid w:val="00BD3AB9"/>
    <w:rsid w:val="00BD3C26"/>
    <w:rsid w:val="00BD3EEC"/>
    <w:rsid w:val="00BD40AD"/>
    <w:rsid w:val="00BD449A"/>
    <w:rsid w:val="00BD4513"/>
    <w:rsid w:val="00BD458E"/>
    <w:rsid w:val="00BD4628"/>
    <w:rsid w:val="00BD4708"/>
    <w:rsid w:val="00BD4716"/>
    <w:rsid w:val="00BD472F"/>
    <w:rsid w:val="00BD4854"/>
    <w:rsid w:val="00BD48E3"/>
    <w:rsid w:val="00BD48FA"/>
    <w:rsid w:val="00BD4B0B"/>
    <w:rsid w:val="00BD4C79"/>
    <w:rsid w:val="00BD4D2F"/>
    <w:rsid w:val="00BD4D6F"/>
    <w:rsid w:val="00BD4ED3"/>
    <w:rsid w:val="00BD5227"/>
    <w:rsid w:val="00BD53FB"/>
    <w:rsid w:val="00BD551B"/>
    <w:rsid w:val="00BD582A"/>
    <w:rsid w:val="00BD5881"/>
    <w:rsid w:val="00BD5905"/>
    <w:rsid w:val="00BD6067"/>
    <w:rsid w:val="00BD6117"/>
    <w:rsid w:val="00BD6305"/>
    <w:rsid w:val="00BD64FB"/>
    <w:rsid w:val="00BD6A22"/>
    <w:rsid w:val="00BD6A5C"/>
    <w:rsid w:val="00BD6D2F"/>
    <w:rsid w:val="00BD6E1A"/>
    <w:rsid w:val="00BD6E3D"/>
    <w:rsid w:val="00BD6E6C"/>
    <w:rsid w:val="00BD6EF5"/>
    <w:rsid w:val="00BD718E"/>
    <w:rsid w:val="00BD729D"/>
    <w:rsid w:val="00BD72A8"/>
    <w:rsid w:val="00BD72F0"/>
    <w:rsid w:val="00BD73D5"/>
    <w:rsid w:val="00BD743C"/>
    <w:rsid w:val="00BD7885"/>
    <w:rsid w:val="00BD7996"/>
    <w:rsid w:val="00BD7A5F"/>
    <w:rsid w:val="00BD7CF1"/>
    <w:rsid w:val="00BD7FEF"/>
    <w:rsid w:val="00BE009F"/>
    <w:rsid w:val="00BE00D1"/>
    <w:rsid w:val="00BE0262"/>
    <w:rsid w:val="00BE029A"/>
    <w:rsid w:val="00BE0323"/>
    <w:rsid w:val="00BE04AC"/>
    <w:rsid w:val="00BE04FB"/>
    <w:rsid w:val="00BE0603"/>
    <w:rsid w:val="00BE092C"/>
    <w:rsid w:val="00BE0EDC"/>
    <w:rsid w:val="00BE0EE3"/>
    <w:rsid w:val="00BE0F8D"/>
    <w:rsid w:val="00BE11F7"/>
    <w:rsid w:val="00BE17A7"/>
    <w:rsid w:val="00BE180C"/>
    <w:rsid w:val="00BE1B84"/>
    <w:rsid w:val="00BE1BD3"/>
    <w:rsid w:val="00BE1C68"/>
    <w:rsid w:val="00BE1D81"/>
    <w:rsid w:val="00BE2231"/>
    <w:rsid w:val="00BE2253"/>
    <w:rsid w:val="00BE24AC"/>
    <w:rsid w:val="00BE2511"/>
    <w:rsid w:val="00BE2523"/>
    <w:rsid w:val="00BE26FD"/>
    <w:rsid w:val="00BE2A39"/>
    <w:rsid w:val="00BE2DD7"/>
    <w:rsid w:val="00BE2F77"/>
    <w:rsid w:val="00BE2FD7"/>
    <w:rsid w:val="00BE3041"/>
    <w:rsid w:val="00BE3048"/>
    <w:rsid w:val="00BE309A"/>
    <w:rsid w:val="00BE3174"/>
    <w:rsid w:val="00BE32B4"/>
    <w:rsid w:val="00BE33F3"/>
    <w:rsid w:val="00BE3714"/>
    <w:rsid w:val="00BE3747"/>
    <w:rsid w:val="00BE37DD"/>
    <w:rsid w:val="00BE3854"/>
    <w:rsid w:val="00BE38F1"/>
    <w:rsid w:val="00BE3EE7"/>
    <w:rsid w:val="00BE400F"/>
    <w:rsid w:val="00BE43BB"/>
    <w:rsid w:val="00BE441A"/>
    <w:rsid w:val="00BE44A2"/>
    <w:rsid w:val="00BE4777"/>
    <w:rsid w:val="00BE4A66"/>
    <w:rsid w:val="00BE4BE3"/>
    <w:rsid w:val="00BE4D2E"/>
    <w:rsid w:val="00BE4F87"/>
    <w:rsid w:val="00BE50CC"/>
    <w:rsid w:val="00BE51D6"/>
    <w:rsid w:val="00BE52B7"/>
    <w:rsid w:val="00BE545B"/>
    <w:rsid w:val="00BE5867"/>
    <w:rsid w:val="00BE58DA"/>
    <w:rsid w:val="00BE5C4D"/>
    <w:rsid w:val="00BE5D41"/>
    <w:rsid w:val="00BE5D58"/>
    <w:rsid w:val="00BE5F6A"/>
    <w:rsid w:val="00BE649C"/>
    <w:rsid w:val="00BE67B2"/>
    <w:rsid w:val="00BE681A"/>
    <w:rsid w:val="00BE6A35"/>
    <w:rsid w:val="00BE6B54"/>
    <w:rsid w:val="00BE6FFC"/>
    <w:rsid w:val="00BE70D6"/>
    <w:rsid w:val="00BE726F"/>
    <w:rsid w:val="00BE7293"/>
    <w:rsid w:val="00BE731F"/>
    <w:rsid w:val="00BE759C"/>
    <w:rsid w:val="00BE76F6"/>
    <w:rsid w:val="00BE77C2"/>
    <w:rsid w:val="00BE791D"/>
    <w:rsid w:val="00BE7B7F"/>
    <w:rsid w:val="00BE7BEA"/>
    <w:rsid w:val="00BE7D30"/>
    <w:rsid w:val="00BF006B"/>
    <w:rsid w:val="00BF00AE"/>
    <w:rsid w:val="00BF030B"/>
    <w:rsid w:val="00BF0661"/>
    <w:rsid w:val="00BF06BE"/>
    <w:rsid w:val="00BF0C95"/>
    <w:rsid w:val="00BF0D90"/>
    <w:rsid w:val="00BF0E26"/>
    <w:rsid w:val="00BF0F5B"/>
    <w:rsid w:val="00BF11ED"/>
    <w:rsid w:val="00BF1207"/>
    <w:rsid w:val="00BF13A1"/>
    <w:rsid w:val="00BF16CE"/>
    <w:rsid w:val="00BF173A"/>
    <w:rsid w:val="00BF1828"/>
    <w:rsid w:val="00BF1846"/>
    <w:rsid w:val="00BF19CC"/>
    <w:rsid w:val="00BF1A89"/>
    <w:rsid w:val="00BF1BA3"/>
    <w:rsid w:val="00BF1D12"/>
    <w:rsid w:val="00BF1EE1"/>
    <w:rsid w:val="00BF209D"/>
    <w:rsid w:val="00BF2135"/>
    <w:rsid w:val="00BF2174"/>
    <w:rsid w:val="00BF229B"/>
    <w:rsid w:val="00BF23CD"/>
    <w:rsid w:val="00BF248A"/>
    <w:rsid w:val="00BF24AB"/>
    <w:rsid w:val="00BF251D"/>
    <w:rsid w:val="00BF2562"/>
    <w:rsid w:val="00BF26A4"/>
    <w:rsid w:val="00BF281B"/>
    <w:rsid w:val="00BF2838"/>
    <w:rsid w:val="00BF2B8D"/>
    <w:rsid w:val="00BF2C90"/>
    <w:rsid w:val="00BF2E6F"/>
    <w:rsid w:val="00BF2FF8"/>
    <w:rsid w:val="00BF33AA"/>
    <w:rsid w:val="00BF3608"/>
    <w:rsid w:val="00BF3676"/>
    <w:rsid w:val="00BF3763"/>
    <w:rsid w:val="00BF37EF"/>
    <w:rsid w:val="00BF3D4C"/>
    <w:rsid w:val="00BF3DA5"/>
    <w:rsid w:val="00BF4034"/>
    <w:rsid w:val="00BF4168"/>
    <w:rsid w:val="00BF4330"/>
    <w:rsid w:val="00BF44CD"/>
    <w:rsid w:val="00BF4622"/>
    <w:rsid w:val="00BF4666"/>
    <w:rsid w:val="00BF478B"/>
    <w:rsid w:val="00BF4985"/>
    <w:rsid w:val="00BF4B30"/>
    <w:rsid w:val="00BF4B7B"/>
    <w:rsid w:val="00BF4C72"/>
    <w:rsid w:val="00BF4DA7"/>
    <w:rsid w:val="00BF4F17"/>
    <w:rsid w:val="00BF50C0"/>
    <w:rsid w:val="00BF52C4"/>
    <w:rsid w:val="00BF5477"/>
    <w:rsid w:val="00BF5559"/>
    <w:rsid w:val="00BF5612"/>
    <w:rsid w:val="00BF5800"/>
    <w:rsid w:val="00BF5825"/>
    <w:rsid w:val="00BF5A95"/>
    <w:rsid w:val="00BF5C7A"/>
    <w:rsid w:val="00BF5D92"/>
    <w:rsid w:val="00BF5DA5"/>
    <w:rsid w:val="00BF5E54"/>
    <w:rsid w:val="00BF5E9D"/>
    <w:rsid w:val="00BF5FCC"/>
    <w:rsid w:val="00BF6018"/>
    <w:rsid w:val="00BF63CD"/>
    <w:rsid w:val="00BF6663"/>
    <w:rsid w:val="00BF6700"/>
    <w:rsid w:val="00BF6850"/>
    <w:rsid w:val="00BF6C70"/>
    <w:rsid w:val="00BF6DFB"/>
    <w:rsid w:val="00BF6E68"/>
    <w:rsid w:val="00BF6E74"/>
    <w:rsid w:val="00BF6EBD"/>
    <w:rsid w:val="00BF6EBE"/>
    <w:rsid w:val="00BF6F36"/>
    <w:rsid w:val="00BF704A"/>
    <w:rsid w:val="00BF7061"/>
    <w:rsid w:val="00BF7152"/>
    <w:rsid w:val="00BF7556"/>
    <w:rsid w:val="00BF764A"/>
    <w:rsid w:val="00BF7668"/>
    <w:rsid w:val="00BF78C5"/>
    <w:rsid w:val="00BF79C4"/>
    <w:rsid w:val="00BF7A6E"/>
    <w:rsid w:val="00BF7B57"/>
    <w:rsid w:val="00BF7B58"/>
    <w:rsid w:val="00BF7CD2"/>
    <w:rsid w:val="00BF7DA6"/>
    <w:rsid w:val="00BF7E77"/>
    <w:rsid w:val="00C001D7"/>
    <w:rsid w:val="00C001E3"/>
    <w:rsid w:val="00C00257"/>
    <w:rsid w:val="00C002AC"/>
    <w:rsid w:val="00C004F0"/>
    <w:rsid w:val="00C00726"/>
    <w:rsid w:val="00C00785"/>
    <w:rsid w:val="00C00AB9"/>
    <w:rsid w:val="00C00BBC"/>
    <w:rsid w:val="00C00BF5"/>
    <w:rsid w:val="00C012DC"/>
    <w:rsid w:val="00C01331"/>
    <w:rsid w:val="00C01428"/>
    <w:rsid w:val="00C017E7"/>
    <w:rsid w:val="00C01815"/>
    <w:rsid w:val="00C01937"/>
    <w:rsid w:val="00C01A40"/>
    <w:rsid w:val="00C01A48"/>
    <w:rsid w:val="00C01BFE"/>
    <w:rsid w:val="00C01D5C"/>
    <w:rsid w:val="00C021BF"/>
    <w:rsid w:val="00C0224E"/>
    <w:rsid w:val="00C0264A"/>
    <w:rsid w:val="00C0265D"/>
    <w:rsid w:val="00C02930"/>
    <w:rsid w:val="00C02998"/>
    <w:rsid w:val="00C02AA3"/>
    <w:rsid w:val="00C02E47"/>
    <w:rsid w:val="00C02F65"/>
    <w:rsid w:val="00C03614"/>
    <w:rsid w:val="00C03644"/>
    <w:rsid w:val="00C036D9"/>
    <w:rsid w:val="00C0380C"/>
    <w:rsid w:val="00C039C4"/>
    <w:rsid w:val="00C039F5"/>
    <w:rsid w:val="00C03D0E"/>
    <w:rsid w:val="00C03DB4"/>
    <w:rsid w:val="00C03E04"/>
    <w:rsid w:val="00C03F78"/>
    <w:rsid w:val="00C04030"/>
    <w:rsid w:val="00C04059"/>
    <w:rsid w:val="00C04176"/>
    <w:rsid w:val="00C0425B"/>
    <w:rsid w:val="00C042CF"/>
    <w:rsid w:val="00C04450"/>
    <w:rsid w:val="00C044C2"/>
    <w:rsid w:val="00C04707"/>
    <w:rsid w:val="00C04A9F"/>
    <w:rsid w:val="00C04B43"/>
    <w:rsid w:val="00C05120"/>
    <w:rsid w:val="00C05235"/>
    <w:rsid w:val="00C0543D"/>
    <w:rsid w:val="00C058D8"/>
    <w:rsid w:val="00C05994"/>
    <w:rsid w:val="00C05BB4"/>
    <w:rsid w:val="00C05BBC"/>
    <w:rsid w:val="00C05CCF"/>
    <w:rsid w:val="00C05E56"/>
    <w:rsid w:val="00C05E87"/>
    <w:rsid w:val="00C05F41"/>
    <w:rsid w:val="00C060AA"/>
    <w:rsid w:val="00C0649F"/>
    <w:rsid w:val="00C064ED"/>
    <w:rsid w:val="00C065B7"/>
    <w:rsid w:val="00C06767"/>
    <w:rsid w:val="00C06831"/>
    <w:rsid w:val="00C06852"/>
    <w:rsid w:val="00C06925"/>
    <w:rsid w:val="00C06AE9"/>
    <w:rsid w:val="00C07118"/>
    <w:rsid w:val="00C07368"/>
    <w:rsid w:val="00C07AC0"/>
    <w:rsid w:val="00C07C18"/>
    <w:rsid w:val="00C07C53"/>
    <w:rsid w:val="00C1009C"/>
    <w:rsid w:val="00C105D8"/>
    <w:rsid w:val="00C10AC8"/>
    <w:rsid w:val="00C10C04"/>
    <w:rsid w:val="00C10F50"/>
    <w:rsid w:val="00C11121"/>
    <w:rsid w:val="00C1126E"/>
    <w:rsid w:val="00C11353"/>
    <w:rsid w:val="00C117D1"/>
    <w:rsid w:val="00C118A6"/>
    <w:rsid w:val="00C11977"/>
    <w:rsid w:val="00C11B2A"/>
    <w:rsid w:val="00C11C46"/>
    <w:rsid w:val="00C11D80"/>
    <w:rsid w:val="00C121A8"/>
    <w:rsid w:val="00C127C7"/>
    <w:rsid w:val="00C1291E"/>
    <w:rsid w:val="00C12936"/>
    <w:rsid w:val="00C12BBD"/>
    <w:rsid w:val="00C12D27"/>
    <w:rsid w:val="00C12E51"/>
    <w:rsid w:val="00C12EBE"/>
    <w:rsid w:val="00C13174"/>
    <w:rsid w:val="00C133DC"/>
    <w:rsid w:val="00C1348E"/>
    <w:rsid w:val="00C13658"/>
    <w:rsid w:val="00C139F9"/>
    <w:rsid w:val="00C13A9E"/>
    <w:rsid w:val="00C13C41"/>
    <w:rsid w:val="00C13C9C"/>
    <w:rsid w:val="00C13CDF"/>
    <w:rsid w:val="00C13E84"/>
    <w:rsid w:val="00C13FAA"/>
    <w:rsid w:val="00C1415D"/>
    <w:rsid w:val="00C141FE"/>
    <w:rsid w:val="00C1444A"/>
    <w:rsid w:val="00C14454"/>
    <w:rsid w:val="00C144E9"/>
    <w:rsid w:val="00C14AFE"/>
    <w:rsid w:val="00C14B0E"/>
    <w:rsid w:val="00C14BB1"/>
    <w:rsid w:val="00C14D74"/>
    <w:rsid w:val="00C14E79"/>
    <w:rsid w:val="00C14EE7"/>
    <w:rsid w:val="00C14F40"/>
    <w:rsid w:val="00C1511C"/>
    <w:rsid w:val="00C1557C"/>
    <w:rsid w:val="00C15739"/>
    <w:rsid w:val="00C15773"/>
    <w:rsid w:val="00C15945"/>
    <w:rsid w:val="00C15C21"/>
    <w:rsid w:val="00C15FB8"/>
    <w:rsid w:val="00C16657"/>
    <w:rsid w:val="00C16667"/>
    <w:rsid w:val="00C16896"/>
    <w:rsid w:val="00C168FA"/>
    <w:rsid w:val="00C16B1B"/>
    <w:rsid w:val="00C16B3A"/>
    <w:rsid w:val="00C16C12"/>
    <w:rsid w:val="00C16CF2"/>
    <w:rsid w:val="00C16D8C"/>
    <w:rsid w:val="00C17063"/>
    <w:rsid w:val="00C170EA"/>
    <w:rsid w:val="00C171BB"/>
    <w:rsid w:val="00C1729F"/>
    <w:rsid w:val="00C173EF"/>
    <w:rsid w:val="00C17435"/>
    <w:rsid w:val="00C1771E"/>
    <w:rsid w:val="00C1773D"/>
    <w:rsid w:val="00C17AE7"/>
    <w:rsid w:val="00C17B49"/>
    <w:rsid w:val="00C17B91"/>
    <w:rsid w:val="00C17BAB"/>
    <w:rsid w:val="00C17CEE"/>
    <w:rsid w:val="00C17D58"/>
    <w:rsid w:val="00C17E18"/>
    <w:rsid w:val="00C200BE"/>
    <w:rsid w:val="00C206B0"/>
    <w:rsid w:val="00C209A3"/>
    <w:rsid w:val="00C20A02"/>
    <w:rsid w:val="00C20A75"/>
    <w:rsid w:val="00C20A7F"/>
    <w:rsid w:val="00C20C8E"/>
    <w:rsid w:val="00C20DA0"/>
    <w:rsid w:val="00C211F2"/>
    <w:rsid w:val="00C21268"/>
    <w:rsid w:val="00C212F9"/>
    <w:rsid w:val="00C2138F"/>
    <w:rsid w:val="00C213C2"/>
    <w:rsid w:val="00C21468"/>
    <w:rsid w:val="00C214C7"/>
    <w:rsid w:val="00C21560"/>
    <w:rsid w:val="00C2164B"/>
    <w:rsid w:val="00C218FB"/>
    <w:rsid w:val="00C2192F"/>
    <w:rsid w:val="00C21AA7"/>
    <w:rsid w:val="00C21AD0"/>
    <w:rsid w:val="00C21AEB"/>
    <w:rsid w:val="00C21B8B"/>
    <w:rsid w:val="00C21D8D"/>
    <w:rsid w:val="00C21E79"/>
    <w:rsid w:val="00C21EE4"/>
    <w:rsid w:val="00C22214"/>
    <w:rsid w:val="00C22251"/>
    <w:rsid w:val="00C22357"/>
    <w:rsid w:val="00C22580"/>
    <w:rsid w:val="00C22832"/>
    <w:rsid w:val="00C228AF"/>
    <w:rsid w:val="00C22986"/>
    <w:rsid w:val="00C229E5"/>
    <w:rsid w:val="00C22A09"/>
    <w:rsid w:val="00C22A56"/>
    <w:rsid w:val="00C22B8E"/>
    <w:rsid w:val="00C22D18"/>
    <w:rsid w:val="00C22D7A"/>
    <w:rsid w:val="00C22DB5"/>
    <w:rsid w:val="00C22DBE"/>
    <w:rsid w:val="00C22DFA"/>
    <w:rsid w:val="00C23064"/>
    <w:rsid w:val="00C230D9"/>
    <w:rsid w:val="00C230FA"/>
    <w:rsid w:val="00C231B8"/>
    <w:rsid w:val="00C231DC"/>
    <w:rsid w:val="00C23226"/>
    <w:rsid w:val="00C23234"/>
    <w:rsid w:val="00C2330B"/>
    <w:rsid w:val="00C233FA"/>
    <w:rsid w:val="00C23775"/>
    <w:rsid w:val="00C23798"/>
    <w:rsid w:val="00C23E15"/>
    <w:rsid w:val="00C24060"/>
    <w:rsid w:val="00C2438F"/>
    <w:rsid w:val="00C243C7"/>
    <w:rsid w:val="00C244D0"/>
    <w:rsid w:val="00C24643"/>
    <w:rsid w:val="00C24925"/>
    <w:rsid w:val="00C24AE6"/>
    <w:rsid w:val="00C24C6B"/>
    <w:rsid w:val="00C24F63"/>
    <w:rsid w:val="00C250EC"/>
    <w:rsid w:val="00C250FC"/>
    <w:rsid w:val="00C25255"/>
    <w:rsid w:val="00C252FC"/>
    <w:rsid w:val="00C25368"/>
    <w:rsid w:val="00C257FF"/>
    <w:rsid w:val="00C2582F"/>
    <w:rsid w:val="00C258F6"/>
    <w:rsid w:val="00C25ED6"/>
    <w:rsid w:val="00C25F36"/>
    <w:rsid w:val="00C2613A"/>
    <w:rsid w:val="00C26147"/>
    <w:rsid w:val="00C2628B"/>
    <w:rsid w:val="00C262A2"/>
    <w:rsid w:val="00C26475"/>
    <w:rsid w:val="00C2671B"/>
    <w:rsid w:val="00C2687A"/>
    <w:rsid w:val="00C26B1C"/>
    <w:rsid w:val="00C27115"/>
    <w:rsid w:val="00C2749D"/>
    <w:rsid w:val="00C27541"/>
    <w:rsid w:val="00C27662"/>
    <w:rsid w:val="00C27711"/>
    <w:rsid w:val="00C2771C"/>
    <w:rsid w:val="00C27B2B"/>
    <w:rsid w:val="00C27B8F"/>
    <w:rsid w:val="00C27D02"/>
    <w:rsid w:val="00C27D6D"/>
    <w:rsid w:val="00C27E87"/>
    <w:rsid w:val="00C27FA4"/>
    <w:rsid w:val="00C27FB5"/>
    <w:rsid w:val="00C302CE"/>
    <w:rsid w:val="00C30578"/>
    <w:rsid w:val="00C306EF"/>
    <w:rsid w:val="00C3075A"/>
    <w:rsid w:val="00C3087B"/>
    <w:rsid w:val="00C30955"/>
    <w:rsid w:val="00C30C38"/>
    <w:rsid w:val="00C30C46"/>
    <w:rsid w:val="00C30D4B"/>
    <w:rsid w:val="00C30DEA"/>
    <w:rsid w:val="00C30EE4"/>
    <w:rsid w:val="00C31045"/>
    <w:rsid w:val="00C31339"/>
    <w:rsid w:val="00C31893"/>
    <w:rsid w:val="00C319CC"/>
    <w:rsid w:val="00C31D99"/>
    <w:rsid w:val="00C31E76"/>
    <w:rsid w:val="00C32110"/>
    <w:rsid w:val="00C3211F"/>
    <w:rsid w:val="00C324C7"/>
    <w:rsid w:val="00C32645"/>
    <w:rsid w:val="00C328C9"/>
    <w:rsid w:val="00C329FE"/>
    <w:rsid w:val="00C32E15"/>
    <w:rsid w:val="00C3310F"/>
    <w:rsid w:val="00C3324D"/>
    <w:rsid w:val="00C33259"/>
    <w:rsid w:val="00C33336"/>
    <w:rsid w:val="00C334F8"/>
    <w:rsid w:val="00C3375A"/>
    <w:rsid w:val="00C337BA"/>
    <w:rsid w:val="00C338D6"/>
    <w:rsid w:val="00C33AEE"/>
    <w:rsid w:val="00C3400E"/>
    <w:rsid w:val="00C34206"/>
    <w:rsid w:val="00C3424F"/>
    <w:rsid w:val="00C343A3"/>
    <w:rsid w:val="00C3471B"/>
    <w:rsid w:val="00C3477D"/>
    <w:rsid w:val="00C347D8"/>
    <w:rsid w:val="00C347E7"/>
    <w:rsid w:val="00C3481D"/>
    <w:rsid w:val="00C349FD"/>
    <w:rsid w:val="00C34A1E"/>
    <w:rsid w:val="00C34A40"/>
    <w:rsid w:val="00C350EB"/>
    <w:rsid w:val="00C35285"/>
    <w:rsid w:val="00C354F5"/>
    <w:rsid w:val="00C35639"/>
    <w:rsid w:val="00C356BE"/>
    <w:rsid w:val="00C356E5"/>
    <w:rsid w:val="00C357D6"/>
    <w:rsid w:val="00C357ED"/>
    <w:rsid w:val="00C35A7B"/>
    <w:rsid w:val="00C35CC8"/>
    <w:rsid w:val="00C35FE9"/>
    <w:rsid w:val="00C36107"/>
    <w:rsid w:val="00C362FE"/>
    <w:rsid w:val="00C364E1"/>
    <w:rsid w:val="00C36651"/>
    <w:rsid w:val="00C366E7"/>
    <w:rsid w:val="00C3692A"/>
    <w:rsid w:val="00C36A08"/>
    <w:rsid w:val="00C36A95"/>
    <w:rsid w:val="00C36B66"/>
    <w:rsid w:val="00C36BD9"/>
    <w:rsid w:val="00C36C2E"/>
    <w:rsid w:val="00C36C7D"/>
    <w:rsid w:val="00C36CA2"/>
    <w:rsid w:val="00C36CFA"/>
    <w:rsid w:val="00C36D38"/>
    <w:rsid w:val="00C36E3B"/>
    <w:rsid w:val="00C36E73"/>
    <w:rsid w:val="00C3712A"/>
    <w:rsid w:val="00C371A7"/>
    <w:rsid w:val="00C371DB"/>
    <w:rsid w:val="00C372EB"/>
    <w:rsid w:val="00C3732D"/>
    <w:rsid w:val="00C373BB"/>
    <w:rsid w:val="00C373F2"/>
    <w:rsid w:val="00C37633"/>
    <w:rsid w:val="00C37690"/>
    <w:rsid w:val="00C3774F"/>
    <w:rsid w:val="00C40234"/>
    <w:rsid w:val="00C40329"/>
    <w:rsid w:val="00C4033D"/>
    <w:rsid w:val="00C40349"/>
    <w:rsid w:val="00C40485"/>
    <w:rsid w:val="00C40585"/>
    <w:rsid w:val="00C406B1"/>
    <w:rsid w:val="00C40BFF"/>
    <w:rsid w:val="00C40DBA"/>
    <w:rsid w:val="00C4122C"/>
    <w:rsid w:val="00C415E3"/>
    <w:rsid w:val="00C41B05"/>
    <w:rsid w:val="00C41C06"/>
    <w:rsid w:val="00C41CCC"/>
    <w:rsid w:val="00C41EEB"/>
    <w:rsid w:val="00C41F50"/>
    <w:rsid w:val="00C42010"/>
    <w:rsid w:val="00C42161"/>
    <w:rsid w:val="00C423E1"/>
    <w:rsid w:val="00C42412"/>
    <w:rsid w:val="00C425B0"/>
    <w:rsid w:val="00C42784"/>
    <w:rsid w:val="00C428DF"/>
    <w:rsid w:val="00C4296A"/>
    <w:rsid w:val="00C42C12"/>
    <w:rsid w:val="00C43017"/>
    <w:rsid w:val="00C43344"/>
    <w:rsid w:val="00C434AA"/>
    <w:rsid w:val="00C43528"/>
    <w:rsid w:val="00C43578"/>
    <w:rsid w:val="00C43821"/>
    <w:rsid w:val="00C4382D"/>
    <w:rsid w:val="00C43851"/>
    <w:rsid w:val="00C4390C"/>
    <w:rsid w:val="00C43C2C"/>
    <w:rsid w:val="00C43C79"/>
    <w:rsid w:val="00C43CD8"/>
    <w:rsid w:val="00C43EC1"/>
    <w:rsid w:val="00C43EF1"/>
    <w:rsid w:val="00C43F1E"/>
    <w:rsid w:val="00C4407A"/>
    <w:rsid w:val="00C440EF"/>
    <w:rsid w:val="00C4413D"/>
    <w:rsid w:val="00C44333"/>
    <w:rsid w:val="00C4445F"/>
    <w:rsid w:val="00C44740"/>
    <w:rsid w:val="00C44847"/>
    <w:rsid w:val="00C44904"/>
    <w:rsid w:val="00C44FF8"/>
    <w:rsid w:val="00C4509F"/>
    <w:rsid w:val="00C4519E"/>
    <w:rsid w:val="00C4520B"/>
    <w:rsid w:val="00C4520D"/>
    <w:rsid w:val="00C4561B"/>
    <w:rsid w:val="00C4586A"/>
    <w:rsid w:val="00C458DF"/>
    <w:rsid w:val="00C45B42"/>
    <w:rsid w:val="00C45D51"/>
    <w:rsid w:val="00C46394"/>
    <w:rsid w:val="00C464E6"/>
    <w:rsid w:val="00C46A3E"/>
    <w:rsid w:val="00C46AD5"/>
    <w:rsid w:val="00C46DC8"/>
    <w:rsid w:val="00C46E60"/>
    <w:rsid w:val="00C4708A"/>
    <w:rsid w:val="00C472C0"/>
    <w:rsid w:val="00C47459"/>
    <w:rsid w:val="00C474A9"/>
    <w:rsid w:val="00C47559"/>
    <w:rsid w:val="00C47809"/>
    <w:rsid w:val="00C47DB5"/>
    <w:rsid w:val="00C47EC7"/>
    <w:rsid w:val="00C47F4D"/>
    <w:rsid w:val="00C5021D"/>
    <w:rsid w:val="00C50369"/>
    <w:rsid w:val="00C509A2"/>
    <w:rsid w:val="00C50A8C"/>
    <w:rsid w:val="00C50BF3"/>
    <w:rsid w:val="00C50DEB"/>
    <w:rsid w:val="00C50E4B"/>
    <w:rsid w:val="00C50E77"/>
    <w:rsid w:val="00C50E83"/>
    <w:rsid w:val="00C50F06"/>
    <w:rsid w:val="00C511FE"/>
    <w:rsid w:val="00C5123D"/>
    <w:rsid w:val="00C51974"/>
    <w:rsid w:val="00C51A6F"/>
    <w:rsid w:val="00C51B10"/>
    <w:rsid w:val="00C51B19"/>
    <w:rsid w:val="00C51B5D"/>
    <w:rsid w:val="00C51C82"/>
    <w:rsid w:val="00C520F3"/>
    <w:rsid w:val="00C5228A"/>
    <w:rsid w:val="00C522A3"/>
    <w:rsid w:val="00C523E1"/>
    <w:rsid w:val="00C52419"/>
    <w:rsid w:val="00C52461"/>
    <w:rsid w:val="00C527C6"/>
    <w:rsid w:val="00C52830"/>
    <w:rsid w:val="00C52B5F"/>
    <w:rsid w:val="00C52B84"/>
    <w:rsid w:val="00C52D34"/>
    <w:rsid w:val="00C52DEB"/>
    <w:rsid w:val="00C52F95"/>
    <w:rsid w:val="00C52FEA"/>
    <w:rsid w:val="00C5317C"/>
    <w:rsid w:val="00C531AD"/>
    <w:rsid w:val="00C536C4"/>
    <w:rsid w:val="00C5371B"/>
    <w:rsid w:val="00C538D0"/>
    <w:rsid w:val="00C53913"/>
    <w:rsid w:val="00C53A3A"/>
    <w:rsid w:val="00C53AE4"/>
    <w:rsid w:val="00C53B2C"/>
    <w:rsid w:val="00C5400A"/>
    <w:rsid w:val="00C54234"/>
    <w:rsid w:val="00C54359"/>
    <w:rsid w:val="00C544F2"/>
    <w:rsid w:val="00C5451F"/>
    <w:rsid w:val="00C548AA"/>
    <w:rsid w:val="00C548B3"/>
    <w:rsid w:val="00C54D6C"/>
    <w:rsid w:val="00C54DA0"/>
    <w:rsid w:val="00C54FE1"/>
    <w:rsid w:val="00C55088"/>
    <w:rsid w:val="00C550A0"/>
    <w:rsid w:val="00C55174"/>
    <w:rsid w:val="00C55447"/>
    <w:rsid w:val="00C554C3"/>
    <w:rsid w:val="00C555DB"/>
    <w:rsid w:val="00C55893"/>
    <w:rsid w:val="00C55ABB"/>
    <w:rsid w:val="00C55D5E"/>
    <w:rsid w:val="00C55FE8"/>
    <w:rsid w:val="00C561C8"/>
    <w:rsid w:val="00C562A4"/>
    <w:rsid w:val="00C562D6"/>
    <w:rsid w:val="00C56402"/>
    <w:rsid w:val="00C564AD"/>
    <w:rsid w:val="00C566DE"/>
    <w:rsid w:val="00C56E51"/>
    <w:rsid w:val="00C56FB2"/>
    <w:rsid w:val="00C57006"/>
    <w:rsid w:val="00C5701E"/>
    <w:rsid w:val="00C571F2"/>
    <w:rsid w:val="00C57228"/>
    <w:rsid w:val="00C5737A"/>
    <w:rsid w:val="00C574C8"/>
    <w:rsid w:val="00C575C0"/>
    <w:rsid w:val="00C578BF"/>
    <w:rsid w:val="00C578FE"/>
    <w:rsid w:val="00C57923"/>
    <w:rsid w:val="00C57A54"/>
    <w:rsid w:val="00C57D31"/>
    <w:rsid w:val="00C57D69"/>
    <w:rsid w:val="00C57DF1"/>
    <w:rsid w:val="00C57ECD"/>
    <w:rsid w:val="00C57F97"/>
    <w:rsid w:val="00C60049"/>
    <w:rsid w:val="00C60056"/>
    <w:rsid w:val="00C60105"/>
    <w:rsid w:val="00C6016B"/>
    <w:rsid w:val="00C6018B"/>
    <w:rsid w:val="00C60217"/>
    <w:rsid w:val="00C60260"/>
    <w:rsid w:val="00C603A6"/>
    <w:rsid w:val="00C6049C"/>
    <w:rsid w:val="00C6056F"/>
    <w:rsid w:val="00C60674"/>
    <w:rsid w:val="00C6068E"/>
    <w:rsid w:val="00C60855"/>
    <w:rsid w:val="00C6098D"/>
    <w:rsid w:val="00C60CF2"/>
    <w:rsid w:val="00C60E16"/>
    <w:rsid w:val="00C60E29"/>
    <w:rsid w:val="00C60E39"/>
    <w:rsid w:val="00C60F29"/>
    <w:rsid w:val="00C60F45"/>
    <w:rsid w:val="00C6118C"/>
    <w:rsid w:val="00C61242"/>
    <w:rsid w:val="00C613FE"/>
    <w:rsid w:val="00C61466"/>
    <w:rsid w:val="00C616B6"/>
    <w:rsid w:val="00C617A3"/>
    <w:rsid w:val="00C61B87"/>
    <w:rsid w:val="00C61DD7"/>
    <w:rsid w:val="00C621B2"/>
    <w:rsid w:val="00C62339"/>
    <w:rsid w:val="00C624E6"/>
    <w:rsid w:val="00C62508"/>
    <w:rsid w:val="00C6252C"/>
    <w:rsid w:val="00C625F8"/>
    <w:rsid w:val="00C62664"/>
    <w:rsid w:val="00C6298A"/>
    <w:rsid w:val="00C62A39"/>
    <w:rsid w:val="00C62B2F"/>
    <w:rsid w:val="00C62BB4"/>
    <w:rsid w:val="00C62F28"/>
    <w:rsid w:val="00C630A7"/>
    <w:rsid w:val="00C63433"/>
    <w:rsid w:val="00C635EB"/>
    <w:rsid w:val="00C63654"/>
    <w:rsid w:val="00C63662"/>
    <w:rsid w:val="00C63792"/>
    <w:rsid w:val="00C6390E"/>
    <w:rsid w:val="00C639A4"/>
    <w:rsid w:val="00C63B3E"/>
    <w:rsid w:val="00C63B6D"/>
    <w:rsid w:val="00C63C1D"/>
    <w:rsid w:val="00C63C47"/>
    <w:rsid w:val="00C63D12"/>
    <w:rsid w:val="00C64659"/>
    <w:rsid w:val="00C646CB"/>
    <w:rsid w:val="00C64AA8"/>
    <w:rsid w:val="00C64B28"/>
    <w:rsid w:val="00C64E5C"/>
    <w:rsid w:val="00C64FBD"/>
    <w:rsid w:val="00C651E7"/>
    <w:rsid w:val="00C6562C"/>
    <w:rsid w:val="00C65653"/>
    <w:rsid w:val="00C65678"/>
    <w:rsid w:val="00C6582E"/>
    <w:rsid w:val="00C659C6"/>
    <w:rsid w:val="00C65B06"/>
    <w:rsid w:val="00C65C59"/>
    <w:rsid w:val="00C66097"/>
    <w:rsid w:val="00C662E3"/>
    <w:rsid w:val="00C66361"/>
    <w:rsid w:val="00C66440"/>
    <w:rsid w:val="00C66597"/>
    <w:rsid w:val="00C667E6"/>
    <w:rsid w:val="00C66852"/>
    <w:rsid w:val="00C66B56"/>
    <w:rsid w:val="00C66BF2"/>
    <w:rsid w:val="00C66FD2"/>
    <w:rsid w:val="00C6703D"/>
    <w:rsid w:val="00C670B8"/>
    <w:rsid w:val="00C673DB"/>
    <w:rsid w:val="00C6754D"/>
    <w:rsid w:val="00C6788D"/>
    <w:rsid w:val="00C67C0D"/>
    <w:rsid w:val="00C67D7B"/>
    <w:rsid w:val="00C67E7D"/>
    <w:rsid w:val="00C70084"/>
    <w:rsid w:val="00C700F2"/>
    <w:rsid w:val="00C70242"/>
    <w:rsid w:val="00C707DE"/>
    <w:rsid w:val="00C7088A"/>
    <w:rsid w:val="00C70AE8"/>
    <w:rsid w:val="00C70C48"/>
    <w:rsid w:val="00C70D84"/>
    <w:rsid w:val="00C70E21"/>
    <w:rsid w:val="00C710CB"/>
    <w:rsid w:val="00C710D8"/>
    <w:rsid w:val="00C710DD"/>
    <w:rsid w:val="00C715AB"/>
    <w:rsid w:val="00C717ED"/>
    <w:rsid w:val="00C7181C"/>
    <w:rsid w:val="00C7184D"/>
    <w:rsid w:val="00C71B91"/>
    <w:rsid w:val="00C72094"/>
    <w:rsid w:val="00C7213B"/>
    <w:rsid w:val="00C721EE"/>
    <w:rsid w:val="00C72393"/>
    <w:rsid w:val="00C725A1"/>
    <w:rsid w:val="00C7286D"/>
    <w:rsid w:val="00C7296C"/>
    <w:rsid w:val="00C72A45"/>
    <w:rsid w:val="00C72A6D"/>
    <w:rsid w:val="00C72A78"/>
    <w:rsid w:val="00C72AA5"/>
    <w:rsid w:val="00C72AE9"/>
    <w:rsid w:val="00C72B08"/>
    <w:rsid w:val="00C72B33"/>
    <w:rsid w:val="00C72C07"/>
    <w:rsid w:val="00C72D86"/>
    <w:rsid w:val="00C735D6"/>
    <w:rsid w:val="00C737BE"/>
    <w:rsid w:val="00C73822"/>
    <w:rsid w:val="00C73889"/>
    <w:rsid w:val="00C73AB0"/>
    <w:rsid w:val="00C73AC2"/>
    <w:rsid w:val="00C73C4E"/>
    <w:rsid w:val="00C73EA8"/>
    <w:rsid w:val="00C74177"/>
    <w:rsid w:val="00C741ED"/>
    <w:rsid w:val="00C74213"/>
    <w:rsid w:val="00C74259"/>
    <w:rsid w:val="00C745C0"/>
    <w:rsid w:val="00C74829"/>
    <w:rsid w:val="00C74936"/>
    <w:rsid w:val="00C74C41"/>
    <w:rsid w:val="00C74CC8"/>
    <w:rsid w:val="00C74D48"/>
    <w:rsid w:val="00C74EFE"/>
    <w:rsid w:val="00C74F73"/>
    <w:rsid w:val="00C74FD2"/>
    <w:rsid w:val="00C7510D"/>
    <w:rsid w:val="00C751A6"/>
    <w:rsid w:val="00C7524E"/>
    <w:rsid w:val="00C754A2"/>
    <w:rsid w:val="00C7560B"/>
    <w:rsid w:val="00C75725"/>
    <w:rsid w:val="00C75726"/>
    <w:rsid w:val="00C7573F"/>
    <w:rsid w:val="00C7575E"/>
    <w:rsid w:val="00C75E58"/>
    <w:rsid w:val="00C75F34"/>
    <w:rsid w:val="00C7610B"/>
    <w:rsid w:val="00C76411"/>
    <w:rsid w:val="00C76496"/>
    <w:rsid w:val="00C7649A"/>
    <w:rsid w:val="00C764F4"/>
    <w:rsid w:val="00C76510"/>
    <w:rsid w:val="00C76590"/>
    <w:rsid w:val="00C768C1"/>
    <w:rsid w:val="00C76971"/>
    <w:rsid w:val="00C76BFE"/>
    <w:rsid w:val="00C76C65"/>
    <w:rsid w:val="00C76CEB"/>
    <w:rsid w:val="00C7705B"/>
    <w:rsid w:val="00C770F4"/>
    <w:rsid w:val="00C771E8"/>
    <w:rsid w:val="00C7748D"/>
    <w:rsid w:val="00C774C4"/>
    <w:rsid w:val="00C774CE"/>
    <w:rsid w:val="00C77A1A"/>
    <w:rsid w:val="00C77B59"/>
    <w:rsid w:val="00C77BA5"/>
    <w:rsid w:val="00C800FF"/>
    <w:rsid w:val="00C801DA"/>
    <w:rsid w:val="00C80364"/>
    <w:rsid w:val="00C803A7"/>
    <w:rsid w:val="00C80409"/>
    <w:rsid w:val="00C8061C"/>
    <w:rsid w:val="00C807F9"/>
    <w:rsid w:val="00C80959"/>
    <w:rsid w:val="00C80DC7"/>
    <w:rsid w:val="00C80DD2"/>
    <w:rsid w:val="00C80E53"/>
    <w:rsid w:val="00C80ED4"/>
    <w:rsid w:val="00C81069"/>
    <w:rsid w:val="00C81095"/>
    <w:rsid w:val="00C810D5"/>
    <w:rsid w:val="00C810E4"/>
    <w:rsid w:val="00C812BE"/>
    <w:rsid w:val="00C812CD"/>
    <w:rsid w:val="00C81468"/>
    <w:rsid w:val="00C81710"/>
    <w:rsid w:val="00C819C7"/>
    <w:rsid w:val="00C81A45"/>
    <w:rsid w:val="00C81A69"/>
    <w:rsid w:val="00C81E28"/>
    <w:rsid w:val="00C82017"/>
    <w:rsid w:val="00C8232E"/>
    <w:rsid w:val="00C8245E"/>
    <w:rsid w:val="00C82A6F"/>
    <w:rsid w:val="00C82A90"/>
    <w:rsid w:val="00C82CAE"/>
    <w:rsid w:val="00C82CC5"/>
    <w:rsid w:val="00C82D85"/>
    <w:rsid w:val="00C82E23"/>
    <w:rsid w:val="00C82F28"/>
    <w:rsid w:val="00C83220"/>
    <w:rsid w:val="00C837A0"/>
    <w:rsid w:val="00C837F5"/>
    <w:rsid w:val="00C838AC"/>
    <w:rsid w:val="00C83937"/>
    <w:rsid w:val="00C83B7B"/>
    <w:rsid w:val="00C83CBE"/>
    <w:rsid w:val="00C83F9C"/>
    <w:rsid w:val="00C84181"/>
    <w:rsid w:val="00C84189"/>
    <w:rsid w:val="00C841C8"/>
    <w:rsid w:val="00C844F4"/>
    <w:rsid w:val="00C845F4"/>
    <w:rsid w:val="00C846DA"/>
    <w:rsid w:val="00C8474B"/>
    <w:rsid w:val="00C848FA"/>
    <w:rsid w:val="00C84D27"/>
    <w:rsid w:val="00C84D3D"/>
    <w:rsid w:val="00C84D70"/>
    <w:rsid w:val="00C851A0"/>
    <w:rsid w:val="00C85678"/>
    <w:rsid w:val="00C85957"/>
    <w:rsid w:val="00C85BBE"/>
    <w:rsid w:val="00C85C80"/>
    <w:rsid w:val="00C85DFA"/>
    <w:rsid w:val="00C85E28"/>
    <w:rsid w:val="00C85FA3"/>
    <w:rsid w:val="00C8600D"/>
    <w:rsid w:val="00C860F3"/>
    <w:rsid w:val="00C86176"/>
    <w:rsid w:val="00C86404"/>
    <w:rsid w:val="00C864F2"/>
    <w:rsid w:val="00C8650F"/>
    <w:rsid w:val="00C86551"/>
    <w:rsid w:val="00C86572"/>
    <w:rsid w:val="00C8657A"/>
    <w:rsid w:val="00C86802"/>
    <w:rsid w:val="00C86E3F"/>
    <w:rsid w:val="00C87087"/>
    <w:rsid w:val="00C870C6"/>
    <w:rsid w:val="00C8731B"/>
    <w:rsid w:val="00C8732C"/>
    <w:rsid w:val="00C87492"/>
    <w:rsid w:val="00C8749F"/>
    <w:rsid w:val="00C87546"/>
    <w:rsid w:val="00C876AF"/>
    <w:rsid w:val="00C87714"/>
    <w:rsid w:val="00C8771A"/>
    <w:rsid w:val="00C87730"/>
    <w:rsid w:val="00C87923"/>
    <w:rsid w:val="00C87B56"/>
    <w:rsid w:val="00C87C0D"/>
    <w:rsid w:val="00C87CF0"/>
    <w:rsid w:val="00C87D7D"/>
    <w:rsid w:val="00C87FBE"/>
    <w:rsid w:val="00C90170"/>
    <w:rsid w:val="00C90630"/>
    <w:rsid w:val="00C906E7"/>
    <w:rsid w:val="00C908D6"/>
    <w:rsid w:val="00C90CB6"/>
    <w:rsid w:val="00C90D43"/>
    <w:rsid w:val="00C91175"/>
    <w:rsid w:val="00C911B4"/>
    <w:rsid w:val="00C914D2"/>
    <w:rsid w:val="00C91772"/>
    <w:rsid w:val="00C91880"/>
    <w:rsid w:val="00C9196A"/>
    <w:rsid w:val="00C91B2C"/>
    <w:rsid w:val="00C91C11"/>
    <w:rsid w:val="00C91D36"/>
    <w:rsid w:val="00C91F56"/>
    <w:rsid w:val="00C9203D"/>
    <w:rsid w:val="00C920AF"/>
    <w:rsid w:val="00C92207"/>
    <w:rsid w:val="00C92557"/>
    <w:rsid w:val="00C9273A"/>
    <w:rsid w:val="00C92830"/>
    <w:rsid w:val="00C92923"/>
    <w:rsid w:val="00C92A5E"/>
    <w:rsid w:val="00C92D51"/>
    <w:rsid w:val="00C92F91"/>
    <w:rsid w:val="00C92FAD"/>
    <w:rsid w:val="00C93108"/>
    <w:rsid w:val="00C93234"/>
    <w:rsid w:val="00C93269"/>
    <w:rsid w:val="00C933AA"/>
    <w:rsid w:val="00C9355C"/>
    <w:rsid w:val="00C93590"/>
    <w:rsid w:val="00C935CC"/>
    <w:rsid w:val="00C93690"/>
    <w:rsid w:val="00C93790"/>
    <w:rsid w:val="00C93847"/>
    <w:rsid w:val="00C93B52"/>
    <w:rsid w:val="00C93C79"/>
    <w:rsid w:val="00C93CB4"/>
    <w:rsid w:val="00C93D54"/>
    <w:rsid w:val="00C93E83"/>
    <w:rsid w:val="00C93ED9"/>
    <w:rsid w:val="00C94362"/>
    <w:rsid w:val="00C9443A"/>
    <w:rsid w:val="00C945B1"/>
    <w:rsid w:val="00C9468E"/>
    <w:rsid w:val="00C94757"/>
    <w:rsid w:val="00C949BC"/>
    <w:rsid w:val="00C94AD9"/>
    <w:rsid w:val="00C94D1A"/>
    <w:rsid w:val="00C94ED2"/>
    <w:rsid w:val="00C9517A"/>
    <w:rsid w:val="00C9519E"/>
    <w:rsid w:val="00C952F8"/>
    <w:rsid w:val="00C954C9"/>
    <w:rsid w:val="00C958F6"/>
    <w:rsid w:val="00C95C53"/>
    <w:rsid w:val="00C95D0C"/>
    <w:rsid w:val="00C95D52"/>
    <w:rsid w:val="00C95EA2"/>
    <w:rsid w:val="00C95F7E"/>
    <w:rsid w:val="00C96391"/>
    <w:rsid w:val="00C96A5B"/>
    <w:rsid w:val="00C96D7F"/>
    <w:rsid w:val="00C97118"/>
    <w:rsid w:val="00C97992"/>
    <w:rsid w:val="00C97A09"/>
    <w:rsid w:val="00C97B77"/>
    <w:rsid w:val="00C97C0E"/>
    <w:rsid w:val="00C97D5D"/>
    <w:rsid w:val="00C97E79"/>
    <w:rsid w:val="00C97F7D"/>
    <w:rsid w:val="00CA010C"/>
    <w:rsid w:val="00CA012E"/>
    <w:rsid w:val="00CA0277"/>
    <w:rsid w:val="00CA02B8"/>
    <w:rsid w:val="00CA03A7"/>
    <w:rsid w:val="00CA05EE"/>
    <w:rsid w:val="00CA076A"/>
    <w:rsid w:val="00CA079E"/>
    <w:rsid w:val="00CA088F"/>
    <w:rsid w:val="00CA0CDC"/>
    <w:rsid w:val="00CA0F15"/>
    <w:rsid w:val="00CA0F43"/>
    <w:rsid w:val="00CA1148"/>
    <w:rsid w:val="00CA18BE"/>
    <w:rsid w:val="00CA1A63"/>
    <w:rsid w:val="00CA1A89"/>
    <w:rsid w:val="00CA1AF4"/>
    <w:rsid w:val="00CA1C2F"/>
    <w:rsid w:val="00CA1EA0"/>
    <w:rsid w:val="00CA212D"/>
    <w:rsid w:val="00CA2174"/>
    <w:rsid w:val="00CA2182"/>
    <w:rsid w:val="00CA2424"/>
    <w:rsid w:val="00CA2576"/>
    <w:rsid w:val="00CA2717"/>
    <w:rsid w:val="00CA2BDE"/>
    <w:rsid w:val="00CA2E08"/>
    <w:rsid w:val="00CA2E9F"/>
    <w:rsid w:val="00CA2F09"/>
    <w:rsid w:val="00CA31C8"/>
    <w:rsid w:val="00CA3499"/>
    <w:rsid w:val="00CA349A"/>
    <w:rsid w:val="00CA34F6"/>
    <w:rsid w:val="00CA36A6"/>
    <w:rsid w:val="00CA378B"/>
    <w:rsid w:val="00CA3AC3"/>
    <w:rsid w:val="00CA3C10"/>
    <w:rsid w:val="00CA3F6F"/>
    <w:rsid w:val="00CA4027"/>
    <w:rsid w:val="00CA40C2"/>
    <w:rsid w:val="00CA4139"/>
    <w:rsid w:val="00CA4341"/>
    <w:rsid w:val="00CA43A4"/>
    <w:rsid w:val="00CA449F"/>
    <w:rsid w:val="00CA44A0"/>
    <w:rsid w:val="00CA4BEA"/>
    <w:rsid w:val="00CA4D34"/>
    <w:rsid w:val="00CA4DBD"/>
    <w:rsid w:val="00CA4EFB"/>
    <w:rsid w:val="00CA4F34"/>
    <w:rsid w:val="00CA4F80"/>
    <w:rsid w:val="00CA5011"/>
    <w:rsid w:val="00CA501A"/>
    <w:rsid w:val="00CA5268"/>
    <w:rsid w:val="00CA528F"/>
    <w:rsid w:val="00CA534A"/>
    <w:rsid w:val="00CA56DD"/>
    <w:rsid w:val="00CA5BCA"/>
    <w:rsid w:val="00CA601E"/>
    <w:rsid w:val="00CA6253"/>
    <w:rsid w:val="00CA6459"/>
    <w:rsid w:val="00CA672E"/>
    <w:rsid w:val="00CA68D7"/>
    <w:rsid w:val="00CA6B1D"/>
    <w:rsid w:val="00CA6C93"/>
    <w:rsid w:val="00CA6E39"/>
    <w:rsid w:val="00CA6EC5"/>
    <w:rsid w:val="00CA7045"/>
    <w:rsid w:val="00CA71DD"/>
    <w:rsid w:val="00CA7315"/>
    <w:rsid w:val="00CA76B6"/>
    <w:rsid w:val="00CA7997"/>
    <w:rsid w:val="00CA7C3A"/>
    <w:rsid w:val="00CA7C82"/>
    <w:rsid w:val="00CA7C8C"/>
    <w:rsid w:val="00CA7E19"/>
    <w:rsid w:val="00CB017B"/>
    <w:rsid w:val="00CB0265"/>
    <w:rsid w:val="00CB0454"/>
    <w:rsid w:val="00CB04C6"/>
    <w:rsid w:val="00CB05A7"/>
    <w:rsid w:val="00CB0674"/>
    <w:rsid w:val="00CB0707"/>
    <w:rsid w:val="00CB070B"/>
    <w:rsid w:val="00CB07D0"/>
    <w:rsid w:val="00CB0820"/>
    <w:rsid w:val="00CB0EEF"/>
    <w:rsid w:val="00CB0FC7"/>
    <w:rsid w:val="00CB0FDD"/>
    <w:rsid w:val="00CB1151"/>
    <w:rsid w:val="00CB13E8"/>
    <w:rsid w:val="00CB1747"/>
    <w:rsid w:val="00CB1A23"/>
    <w:rsid w:val="00CB1AC9"/>
    <w:rsid w:val="00CB1D1A"/>
    <w:rsid w:val="00CB1D67"/>
    <w:rsid w:val="00CB1F0F"/>
    <w:rsid w:val="00CB2278"/>
    <w:rsid w:val="00CB2300"/>
    <w:rsid w:val="00CB238D"/>
    <w:rsid w:val="00CB23AD"/>
    <w:rsid w:val="00CB2488"/>
    <w:rsid w:val="00CB2547"/>
    <w:rsid w:val="00CB27B6"/>
    <w:rsid w:val="00CB2DAE"/>
    <w:rsid w:val="00CB2E41"/>
    <w:rsid w:val="00CB32D8"/>
    <w:rsid w:val="00CB32DD"/>
    <w:rsid w:val="00CB33D1"/>
    <w:rsid w:val="00CB34F3"/>
    <w:rsid w:val="00CB350D"/>
    <w:rsid w:val="00CB366D"/>
    <w:rsid w:val="00CB3734"/>
    <w:rsid w:val="00CB38F0"/>
    <w:rsid w:val="00CB3947"/>
    <w:rsid w:val="00CB3AC5"/>
    <w:rsid w:val="00CB3B36"/>
    <w:rsid w:val="00CB3EC0"/>
    <w:rsid w:val="00CB3F3B"/>
    <w:rsid w:val="00CB419B"/>
    <w:rsid w:val="00CB41D9"/>
    <w:rsid w:val="00CB4277"/>
    <w:rsid w:val="00CB4292"/>
    <w:rsid w:val="00CB429D"/>
    <w:rsid w:val="00CB43F0"/>
    <w:rsid w:val="00CB4520"/>
    <w:rsid w:val="00CB4656"/>
    <w:rsid w:val="00CB4699"/>
    <w:rsid w:val="00CB49A0"/>
    <w:rsid w:val="00CB4C27"/>
    <w:rsid w:val="00CB4E9F"/>
    <w:rsid w:val="00CB5251"/>
    <w:rsid w:val="00CB5262"/>
    <w:rsid w:val="00CB5339"/>
    <w:rsid w:val="00CB54B9"/>
    <w:rsid w:val="00CB54DC"/>
    <w:rsid w:val="00CB576F"/>
    <w:rsid w:val="00CB5791"/>
    <w:rsid w:val="00CB5806"/>
    <w:rsid w:val="00CB58A7"/>
    <w:rsid w:val="00CB5A74"/>
    <w:rsid w:val="00CB5ADE"/>
    <w:rsid w:val="00CB5D18"/>
    <w:rsid w:val="00CB5DF4"/>
    <w:rsid w:val="00CB5F82"/>
    <w:rsid w:val="00CB5FF5"/>
    <w:rsid w:val="00CB6038"/>
    <w:rsid w:val="00CB609B"/>
    <w:rsid w:val="00CB61E1"/>
    <w:rsid w:val="00CB6201"/>
    <w:rsid w:val="00CB629A"/>
    <w:rsid w:val="00CB6341"/>
    <w:rsid w:val="00CB65AB"/>
    <w:rsid w:val="00CB66A4"/>
    <w:rsid w:val="00CB66F4"/>
    <w:rsid w:val="00CB68FA"/>
    <w:rsid w:val="00CB6904"/>
    <w:rsid w:val="00CB6D0B"/>
    <w:rsid w:val="00CB6F08"/>
    <w:rsid w:val="00CB707A"/>
    <w:rsid w:val="00CB70FA"/>
    <w:rsid w:val="00CB755B"/>
    <w:rsid w:val="00CB76E3"/>
    <w:rsid w:val="00CB7754"/>
    <w:rsid w:val="00CB78CE"/>
    <w:rsid w:val="00CB7C50"/>
    <w:rsid w:val="00CB7C8D"/>
    <w:rsid w:val="00CC0054"/>
    <w:rsid w:val="00CC0063"/>
    <w:rsid w:val="00CC05C4"/>
    <w:rsid w:val="00CC06EB"/>
    <w:rsid w:val="00CC0825"/>
    <w:rsid w:val="00CC0968"/>
    <w:rsid w:val="00CC0D50"/>
    <w:rsid w:val="00CC0D5A"/>
    <w:rsid w:val="00CC1030"/>
    <w:rsid w:val="00CC10C5"/>
    <w:rsid w:val="00CC13E5"/>
    <w:rsid w:val="00CC18F7"/>
    <w:rsid w:val="00CC1A0D"/>
    <w:rsid w:val="00CC1AB6"/>
    <w:rsid w:val="00CC1B29"/>
    <w:rsid w:val="00CC1C88"/>
    <w:rsid w:val="00CC1E6D"/>
    <w:rsid w:val="00CC200C"/>
    <w:rsid w:val="00CC2251"/>
    <w:rsid w:val="00CC22F0"/>
    <w:rsid w:val="00CC23EE"/>
    <w:rsid w:val="00CC241E"/>
    <w:rsid w:val="00CC2734"/>
    <w:rsid w:val="00CC2B9B"/>
    <w:rsid w:val="00CC2E1B"/>
    <w:rsid w:val="00CC2E8E"/>
    <w:rsid w:val="00CC2ECF"/>
    <w:rsid w:val="00CC3112"/>
    <w:rsid w:val="00CC326A"/>
    <w:rsid w:val="00CC33D1"/>
    <w:rsid w:val="00CC34C9"/>
    <w:rsid w:val="00CC3656"/>
    <w:rsid w:val="00CC3B22"/>
    <w:rsid w:val="00CC3E8B"/>
    <w:rsid w:val="00CC3F74"/>
    <w:rsid w:val="00CC4008"/>
    <w:rsid w:val="00CC4020"/>
    <w:rsid w:val="00CC416B"/>
    <w:rsid w:val="00CC4380"/>
    <w:rsid w:val="00CC4A27"/>
    <w:rsid w:val="00CC4B30"/>
    <w:rsid w:val="00CC4CA6"/>
    <w:rsid w:val="00CC4DA8"/>
    <w:rsid w:val="00CC50FD"/>
    <w:rsid w:val="00CC540D"/>
    <w:rsid w:val="00CC54A0"/>
    <w:rsid w:val="00CC5516"/>
    <w:rsid w:val="00CC566D"/>
    <w:rsid w:val="00CC569D"/>
    <w:rsid w:val="00CC571E"/>
    <w:rsid w:val="00CC5932"/>
    <w:rsid w:val="00CC5ABD"/>
    <w:rsid w:val="00CC5BFA"/>
    <w:rsid w:val="00CC5CB6"/>
    <w:rsid w:val="00CC5EBD"/>
    <w:rsid w:val="00CC5F5B"/>
    <w:rsid w:val="00CC63E2"/>
    <w:rsid w:val="00CC661F"/>
    <w:rsid w:val="00CC6E7F"/>
    <w:rsid w:val="00CC6EF7"/>
    <w:rsid w:val="00CC6F93"/>
    <w:rsid w:val="00CC6FA3"/>
    <w:rsid w:val="00CC714F"/>
    <w:rsid w:val="00CC7355"/>
    <w:rsid w:val="00CC763A"/>
    <w:rsid w:val="00CC7717"/>
    <w:rsid w:val="00CC7E70"/>
    <w:rsid w:val="00CC7F66"/>
    <w:rsid w:val="00CD01C2"/>
    <w:rsid w:val="00CD03EB"/>
    <w:rsid w:val="00CD0580"/>
    <w:rsid w:val="00CD0587"/>
    <w:rsid w:val="00CD05F3"/>
    <w:rsid w:val="00CD0614"/>
    <w:rsid w:val="00CD061B"/>
    <w:rsid w:val="00CD090A"/>
    <w:rsid w:val="00CD0958"/>
    <w:rsid w:val="00CD0B8E"/>
    <w:rsid w:val="00CD0BDC"/>
    <w:rsid w:val="00CD1412"/>
    <w:rsid w:val="00CD1521"/>
    <w:rsid w:val="00CD1587"/>
    <w:rsid w:val="00CD1664"/>
    <w:rsid w:val="00CD1858"/>
    <w:rsid w:val="00CD19FC"/>
    <w:rsid w:val="00CD1BB5"/>
    <w:rsid w:val="00CD1C32"/>
    <w:rsid w:val="00CD1CB1"/>
    <w:rsid w:val="00CD1DB0"/>
    <w:rsid w:val="00CD1DB9"/>
    <w:rsid w:val="00CD2383"/>
    <w:rsid w:val="00CD251C"/>
    <w:rsid w:val="00CD26AD"/>
    <w:rsid w:val="00CD27F5"/>
    <w:rsid w:val="00CD29ED"/>
    <w:rsid w:val="00CD2C91"/>
    <w:rsid w:val="00CD2D1D"/>
    <w:rsid w:val="00CD2FC5"/>
    <w:rsid w:val="00CD3094"/>
    <w:rsid w:val="00CD3688"/>
    <w:rsid w:val="00CD3776"/>
    <w:rsid w:val="00CD386C"/>
    <w:rsid w:val="00CD3955"/>
    <w:rsid w:val="00CD39A6"/>
    <w:rsid w:val="00CD3D5F"/>
    <w:rsid w:val="00CD3D6D"/>
    <w:rsid w:val="00CD3DF9"/>
    <w:rsid w:val="00CD3E10"/>
    <w:rsid w:val="00CD3EAD"/>
    <w:rsid w:val="00CD3EBE"/>
    <w:rsid w:val="00CD41A9"/>
    <w:rsid w:val="00CD4378"/>
    <w:rsid w:val="00CD4465"/>
    <w:rsid w:val="00CD4503"/>
    <w:rsid w:val="00CD4A88"/>
    <w:rsid w:val="00CD4AA6"/>
    <w:rsid w:val="00CD4B1D"/>
    <w:rsid w:val="00CD4B4B"/>
    <w:rsid w:val="00CD4BD2"/>
    <w:rsid w:val="00CD4C18"/>
    <w:rsid w:val="00CD4DE2"/>
    <w:rsid w:val="00CD51D0"/>
    <w:rsid w:val="00CD5252"/>
    <w:rsid w:val="00CD52FF"/>
    <w:rsid w:val="00CD5451"/>
    <w:rsid w:val="00CD557B"/>
    <w:rsid w:val="00CD5633"/>
    <w:rsid w:val="00CD576B"/>
    <w:rsid w:val="00CD601E"/>
    <w:rsid w:val="00CD6089"/>
    <w:rsid w:val="00CD60B4"/>
    <w:rsid w:val="00CD6168"/>
    <w:rsid w:val="00CD6301"/>
    <w:rsid w:val="00CD636D"/>
    <w:rsid w:val="00CD6418"/>
    <w:rsid w:val="00CD65B4"/>
    <w:rsid w:val="00CD6701"/>
    <w:rsid w:val="00CD6B2C"/>
    <w:rsid w:val="00CD6CB4"/>
    <w:rsid w:val="00CD6DE9"/>
    <w:rsid w:val="00CD6F27"/>
    <w:rsid w:val="00CD7038"/>
    <w:rsid w:val="00CD71D6"/>
    <w:rsid w:val="00CD741E"/>
    <w:rsid w:val="00CD773C"/>
    <w:rsid w:val="00CD794F"/>
    <w:rsid w:val="00CD7CE1"/>
    <w:rsid w:val="00CD7DEC"/>
    <w:rsid w:val="00CD7F09"/>
    <w:rsid w:val="00CE00B9"/>
    <w:rsid w:val="00CE0816"/>
    <w:rsid w:val="00CE0A90"/>
    <w:rsid w:val="00CE0D5B"/>
    <w:rsid w:val="00CE0EB7"/>
    <w:rsid w:val="00CE0EC8"/>
    <w:rsid w:val="00CE0FD8"/>
    <w:rsid w:val="00CE1119"/>
    <w:rsid w:val="00CE1238"/>
    <w:rsid w:val="00CE142E"/>
    <w:rsid w:val="00CE15C0"/>
    <w:rsid w:val="00CE1901"/>
    <w:rsid w:val="00CE197D"/>
    <w:rsid w:val="00CE1AA1"/>
    <w:rsid w:val="00CE1BF7"/>
    <w:rsid w:val="00CE1C2F"/>
    <w:rsid w:val="00CE1C7E"/>
    <w:rsid w:val="00CE1C9D"/>
    <w:rsid w:val="00CE1D19"/>
    <w:rsid w:val="00CE1E00"/>
    <w:rsid w:val="00CE1F81"/>
    <w:rsid w:val="00CE2400"/>
    <w:rsid w:val="00CE278B"/>
    <w:rsid w:val="00CE2840"/>
    <w:rsid w:val="00CE2E1B"/>
    <w:rsid w:val="00CE2EB6"/>
    <w:rsid w:val="00CE2F1E"/>
    <w:rsid w:val="00CE2F75"/>
    <w:rsid w:val="00CE2F89"/>
    <w:rsid w:val="00CE30EF"/>
    <w:rsid w:val="00CE3131"/>
    <w:rsid w:val="00CE352A"/>
    <w:rsid w:val="00CE36EC"/>
    <w:rsid w:val="00CE37A2"/>
    <w:rsid w:val="00CE3A74"/>
    <w:rsid w:val="00CE3CA4"/>
    <w:rsid w:val="00CE3CD5"/>
    <w:rsid w:val="00CE408B"/>
    <w:rsid w:val="00CE411D"/>
    <w:rsid w:val="00CE41F9"/>
    <w:rsid w:val="00CE431D"/>
    <w:rsid w:val="00CE46EE"/>
    <w:rsid w:val="00CE4961"/>
    <w:rsid w:val="00CE4B8A"/>
    <w:rsid w:val="00CE4D60"/>
    <w:rsid w:val="00CE51B2"/>
    <w:rsid w:val="00CE5224"/>
    <w:rsid w:val="00CE54A4"/>
    <w:rsid w:val="00CE54EF"/>
    <w:rsid w:val="00CE5754"/>
    <w:rsid w:val="00CE57B1"/>
    <w:rsid w:val="00CE59C4"/>
    <w:rsid w:val="00CE5C71"/>
    <w:rsid w:val="00CE5D19"/>
    <w:rsid w:val="00CE5E33"/>
    <w:rsid w:val="00CE5FB7"/>
    <w:rsid w:val="00CE5FF7"/>
    <w:rsid w:val="00CE62E0"/>
    <w:rsid w:val="00CE6347"/>
    <w:rsid w:val="00CE648D"/>
    <w:rsid w:val="00CE67A5"/>
    <w:rsid w:val="00CE67D1"/>
    <w:rsid w:val="00CE68C6"/>
    <w:rsid w:val="00CE6CA2"/>
    <w:rsid w:val="00CE6DA6"/>
    <w:rsid w:val="00CE6EE5"/>
    <w:rsid w:val="00CE7332"/>
    <w:rsid w:val="00CE7903"/>
    <w:rsid w:val="00CE7921"/>
    <w:rsid w:val="00CE79BA"/>
    <w:rsid w:val="00CE79CC"/>
    <w:rsid w:val="00CE7DAA"/>
    <w:rsid w:val="00CE7EF7"/>
    <w:rsid w:val="00CF02E9"/>
    <w:rsid w:val="00CF065A"/>
    <w:rsid w:val="00CF095E"/>
    <w:rsid w:val="00CF09CB"/>
    <w:rsid w:val="00CF0CDB"/>
    <w:rsid w:val="00CF0D63"/>
    <w:rsid w:val="00CF10BF"/>
    <w:rsid w:val="00CF1753"/>
    <w:rsid w:val="00CF1802"/>
    <w:rsid w:val="00CF18A3"/>
    <w:rsid w:val="00CF19E1"/>
    <w:rsid w:val="00CF1B87"/>
    <w:rsid w:val="00CF1BC1"/>
    <w:rsid w:val="00CF1CEB"/>
    <w:rsid w:val="00CF1E54"/>
    <w:rsid w:val="00CF1F61"/>
    <w:rsid w:val="00CF207B"/>
    <w:rsid w:val="00CF2470"/>
    <w:rsid w:val="00CF2743"/>
    <w:rsid w:val="00CF2B35"/>
    <w:rsid w:val="00CF2C22"/>
    <w:rsid w:val="00CF2CF8"/>
    <w:rsid w:val="00CF3009"/>
    <w:rsid w:val="00CF300B"/>
    <w:rsid w:val="00CF306B"/>
    <w:rsid w:val="00CF307C"/>
    <w:rsid w:val="00CF3094"/>
    <w:rsid w:val="00CF3115"/>
    <w:rsid w:val="00CF323A"/>
    <w:rsid w:val="00CF32A7"/>
    <w:rsid w:val="00CF36D8"/>
    <w:rsid w:val="00CF39DB"/>
    <w:rsid w:val="00CF3B15"/>
    <w:rsid w:val="00CF3BEE"/>
    <w:rsid w:val="00CF403E"/>
    <w:rsid w:val="00CF40D7"/>
    <w:rsid w:val="00CF4198"/>
    <w:rsid w:val="00CF44EA"/>
    <w:rsid w:val="00CF48F7"/>
    <w:rsid w:val="00CF4A73"/>
    <w:rsid w:val="00CF4CFC"/>
    <w:rsid w:val="00CF4E68"/>
    <w:rsid w:val="00CF50CA"/>
    <w:rsid w:val="00CF5426"/>
    <w:rsid w:val="00CF5534"/>
    <w:rsid w:val="00CF5594"/>
    <w:rsid w:val="00CF5691"/>
    <w:rsid w:val="00CF56F5"/>
    <w:rsid w:val="00CF593C"/>
    <w:rsid w:val="00CF59E2"/>
    <w:rsid w:val="00CF5C1D"/>
    <w:rsid w:val="00CF5F4B"/>
    <w:rsid w:val="00CF5FA2"/>
    <w:rsid w:val="00CF61DF"/>
    <w:rsid w:val="00CF641F"/>
    <w:rsid w:val="00CF6496"/>
    <w:rsid w:val="00CF65A7"/>
    <w:rsid w:val="00CF6749"/>
    <w:rsid w:val="00CF6AB5"/>
    <w:rsid w:val="00CF6B36"/>
    <w:rsid w:val="00CF6B3C"/>
    <w:rsid w:val="00CF6C41"/>
    <w:rsid w:val="00CF6DF3"/>
    <w:rsid w:val="00CF7426"/>
    <w:rsid w:val="00CF74A9"/>
    <w:rsid w:val="00CF7516"/>
    <w:rsid w:val="00CF75AC"/>
    <w:rsid w:val="00CF7C11"/>
    <w:rsid w:val="00CF7CC1"/>
    <w:rsid w:val="00CF7DE4"/>
    <w:rsid w:val="00CF7E83"/>
    <w:rsid w:val="00D000E2"/>
    <w:rsid w:val="00D00163"/>
    <w:rsid w:val="00D00458"/>
    <w:rsid w:val="00D0059F"/>
    <w:rsid w:val="00D00652"/>
    <w:rsid w:val="00D007C2"/>
    <w:rsid w:val="00D00E03"/>
    <w:rsid w:val="00D010F5"/>
    <w:rsid w:val="00D013A2"/>
    <w:rsid w:val="00D01468"/>
    <w:rsid w:val="00D014E9"/>
    <w:rsid w:val="00D01654"/>
    <w:rsid w:val="00D017E7"/>
    <w:rsid w:val="00D01836"/>
    <w:rsid w:val="00D01860"/>
    <w:rsid w:val="00D0193D"/>
    <w:rsid w:val="00D019A7"/>
    <w:rsid w:val="00D01BCA"/>
    <w:rsid w:val="00D022B5"/>
    <w:rsid w:val="00D022C1"/>
    <w:rsid w:val="00D024EC"/>
    <w:rsid w:val="00D026DE"/>
    <w:rsid w:val="00D026E3"/>
    <w:rsid w:val="00D02849"/>
    <w:rsid w:val="00D02A89"/>
    <w:rsid w:val="00D02D8B"/>
    <w:rsid w:val="00D02FE0"/>
    <w:rsid w:val="00D03065"/>
    <w:rsid w:val="00D030AE"/>
    <w:rsid w:val="00D030C0"/>
    <w:rsid w:val="00D031AC"/>
    <w:rsid w:val="00D032D1"/>
    <w:rsid w:val="00D0337A"/>
    <w:rsid w:val="00D033F2"/>
    <w:rsid w:val="00D034C2"/>
    <w:rsid w:val="00D038C0"/>
    <w:rsid w:val="00D03B50"/>
    <w:rsid w:val="00D03BC2"/>
    <w:rsid w:val="00D03C96"/>
    <w:rsid w:val="00D03CAA"/>
    <w:rsid w:val="00D03CE2"/>
    <w:rsid w:val="00D0443F"/>
    <w:rsid w:val="00D04444"/>
    <w:rsid w:val="00D04511"/>
    <w:rsid w:val="00D04680"/>
    <w:rsid w:val="00D046B3"/>
    <w:rsid w:val="00D047EA"/>
    <w:rsid w:val="00D04A17"/>
    <w:rsid w:val="00D04B29"/>
    <w:rsid w:val="00D04B7E"/>
    <w:rsid w:val="00D04F88"/>
    <w:rsid w:val="00D0511F"/>
    <w:rsid w:val="00D051DD"/>
    <w:rsid w:val="00D053A8"/>
    <w:rsid w:val="00D055C3"/>
    <w:rsid w:val="00D057A6"/>
    <w:rsid w:val="00D058FD"/>
    <w:rsid w:val="00D05ACD"/>
    <w:rsid w:val="00D05BF2"/>
    <w:rsid w:val="00D05C81"/>
    <w:rsid w:val="00D05CED"/>
    <w:rsid w:val="00D05EEA"/>
    <w:rsid w:val="00D060A0"/>
    <w:rsid w:val="00D0611A"/>
    <w:rsid w:val="00D06217"/>
    <w:rsid w:val="00D06357"/>
    <w:rsid w:val="00D06544"/>
    <w:rsid w:val="00D0659D"/>
    <w:rsid w:val="00D06998"/>
    <w:rsid w:val="00D069A2"/>
    <w:rsid w:val="00D06A86"/>
    <w:rsid w:val="00D06AED"/>
    <w:rsid w:val="00D06B75"/>
    <w:rsid w:val="00D06BD0"/>
    <w:rsid w:val="00D07081"/>
    <w:rsid w:val="00D072EF"/>
    <w:rsid w:val="00D07552"/>
    <w:rsid w:val="00D075E2"/>
    <w:rsid w:val="00D075EB"/>
    <w:rsid w:val="00D07892"/>
    <w:rsid w:val="00D079BA"/>
    <w:rsid w:val="00D07DA4"/>
    <w:rsid w:val="00D07E6C"/>
    <w:rsid w:val="00D07F83"/>
    <w:rsid w:val="00D10013"/>
    <w:rsid w:val="00D10537"/>
    <w:rsid w:val="00D107C3"/>
    <w:rsid w:val="00D107D1"/>
    <w:rsid w:val="00D1098B"/>
    <w:rsid w:val="00D10B2D"/>
    <w:rsid w:val="00D10C27"/>
    <w:rsid w:val="00D10F66"/>
    <w:rsid w:val="00D10FED"/>
    <w:rsid w:val="00D11090"/>
    <w:rsid w:val="00D11179"/>
    <w:rsid w:val="00D1124A"/>
    <w:rsid w:val="00D115A5"/>
    <w:rsid w:val="00D1179F"/>
    <w:rsid w:val="00D11804"/>
    <w:rsid w:val="00D11A9A"/>
    <w:rsid w:val="00D11C4D"/>
    <w:rsid w:val="00D11CA1"/>
    <w:rsid w:val="00D11D5C"/>
    <w:rsid w:val="00D11E0B"/>
    <w:rsid w:val="00D11F6F"/>
    <w:rsid w:val="00D11FDA"/>
    <w:rsid w:val="00D12032"/>
    <w:rsid w:val="00D1209E"/>
    <w:rsid w:val="00D122F1"/>
    <w:rsid w:val="00D124BC"/>
    <w:rsid w:val="00D124F4"/>
    <w:rsid w:val="00D12584"/>
    <w:rsid w:val="00D1273E"/>
    <w:rsid w:val="00D1276D"/>
    <w:rsid w:val="00D128C0"/>
    <w:rsid w:val="00D128E5"/>
    <w:rsid w:val="00D12A6A"/>
    <w:rsid w:val="00D12ACA"/>
    <w:rsid w:val="00D12C89"/>
    <w:rsid w:val="00D12C8A"/>
    <w:rsid w:val="00D12CD0"/>
    <w:rsid w:val="00D132D0"/>
    <w:rsid w:val="00D1354D"/>
    <w:rsid w:val="00D1372A"/>
    <w:rsid w:val="00D1379D"/>
    <w:rsid w:val="00D13A21"/>
    <w:rsid w:val="00D13A81"/>
    <w:rsid w:val="00D13C16"/>
    <w:rsid w:val="00D13CA4"/>
    <w:rsid w:val="00D13CDF"/>
    <w:rsid w:val="00D13DD5"/>
    <w:rsid w:val="00D13F1C"/>
    <w:rsid w:val="00D1406D"/>
    <w:rsid w:val="00D141A3"/>
    <w:rsid w:val="00D1426D"/>
    <w:rsid w:val="00D142E8"/>
    <w:rsid w:val="00D142F6"/>
    <w:rsid w:val="00D1448F"/>
    <w:rsid w:val="00D14B38"/>
    <w:rsid w:val="00D14D0B"/>
    <w:rsid w:val="00D14D65"/>
    <w:rsid w:val="00D14DBA"/>
    <w:rsid w:val="00D14F00"/>
    <w:rsid w:val="00D14F4F"/>
    <w:rsid w:val="00D1501C"/>
    <w:rsid w:val="00D154DE"/>
    <w:rsid w:val="00D155DB"/>
    <w:rsid w:val="00D156AB"/>
    <w:rsid w:val="00D158BD"/>
    <w:rsid w:val="00D15AD1"/>
    <w:rsid w:val="00D15B5F"/>
    <w:rsid w:val="00D15BC1"/>
    <w:rsid w:val="00D15D36"/>
    <w:rsid w:val="00D15D6D"/>
    <w:rsid w:val="00D15D82"/>
    <w:rsid w:val="00D15E3A"/>
    <w:rsid w:val="00D15F36"/>
    <w:rsid w:val="00D1600E"/>
    <w:rsid w:val="00D1601B"/>
    <w:rsid w:val="00D16088"/>
    <w:rsid w:val="00D160F6"/>
    <w:rsid w:val="00D1618F"/>
    <w:rsid w:val="00D1627B"/>
    <w:rsid w:val="00D162B6"/>
    <w:rsid w:val="00D16618"/>
    <w:rsid w:val="00D16797"/>
    <w:rsid w:val="00D1685E"/>
    <w:rsid w:val="00D169AC"/>
    <w:rsid w:val="00D16A9C"/>
    <w:rsid w:val="00D16BD0"/>
    <w:rsid w:val="00D16C24"/>
    <w:rsid w:val="00D16C6F"/>
    <w:rsid w:val="00D16C7C"/>
    <w:rsid w:val="00D16CD1"/>
    <w:rsid w:val="00D1714F"/>
    <w:rsid w:val="00D17170"/>
    <w:rsid w:val="00D172B8"/>
    <w:rsid w:val="00D173AC"/>
    <w:rsid w:val="00D17407"/>
    <w:rsid w:val="00D1747B"/>
    <w:rsid w:val="00D175AC"/>
    <w:rsid w:val="00D178D4"/>
    <w:rsid w:val="00D17934"/>
    <w:rsid w:val="00D17D8D"/>
    <w:rsid w:val="00D17EE3"/>
    <w:rsid w:val="00D20279"/>
    <w:rsid w:val="00D203A9"/>
    <w:rsid w:val="00D205AB"/>
    <w:rsid w:val="00D206C6"/>
    <w:rsid w:val="00D20794"/>
    <w:rsid w:val="00D207EF"/>
    <w:rsid w:val="00D209D6"/>
    <w:rsid w:val="00D20C74"/>
    <w:rsid w:val="00D20C78"/>
    <w:rsid w:val="00D20D00"/>
    <w:rsid w:val="00D20E1A"/>
    <w:rsid w:val="00D20EBF"/>
    <w:rsid w:val="00D20EC8"/>
    <w:rsid w:val="00D2101F"/>
    <w:rsid w:val="00D211AA"/>
    <w:rsid w:val="00D21202"/>
    <w:rsid w:val="00D21250"/>
    <w:rsid w:val="00D2144A"/>
    <w:rsid w:val="00D216F1"/>
    <w:rsid w:val="00D21A37"/>
    <w:rsid w:val="00D21AAB"/>
    <w:rsid w:val="00D21AE2"/>
    <w:rsid w:val="00D21D4D"/>
    <w:rsid w:val="00D21F4B"/>
    <w:rsid w:val="00D22062"/>
    <w:rsid w:val="00D22079"/>
    <w:rsid w:val="00D22112"/>
    <w:rsid w:val="00D2218F"/>
    <w:rsid w:val="00D224A9"/>
    <w:rsid w:val="00D2276C"/>
    <w:rsid w:val="00D2298A"/>
    <w:rsid w:val="00D229D7"/>
    <w:rsid w:val="00D22CD5"/>
    <w:rsid w:val="00D22DE6"/>
    <w:rsid w:val="00D22EA7"/>
    <w:rsid w:val="00D22FCC"/>
    <w:rsid w:val="00D2312B"/>
    <w:rsid w:val="00D2339B"/>
    <w:rsid w:val="00D23795"/>
    <w:rsid w:val="00D2396C"/>
    <w:rsid w:val="00D23A9F"/>
    <w:rsid w:val="00D23AFF"/>
    <w:rsid w:val="00D23BC8"/>
    <w:rsid w:val="00D23D4F"/>
    <w:rsid w:val="00D23DBD"/>
    <w:rsid w:val="00D23F09"/>
    <w:rsid w:val="00D23F84"/>
    <w:rsid w:val="00D240A5"/>
    <w:rsid w:val="00D2420D"/>
    <w:rsid w:val="00D2433D"/>
    <w:rsid w:val="00D243B5"/>
    <w:rsid w:val="00D2446E"/>
    <w:rsid w:val="00D24581"/>
    <w:rsid w:val="00D24623"/>
    <w:rsid w:val="00D24802"/>
    <w:rsid w:val="00D24A49"/>
    <w:rsid w:val="00D24A8B"/>
    <w:rsid w:val="00D24AC6"/>
    <w:rsid w:val="00D24B08"/>
    <w:rsid w:val="00D24D71"/>
    <w:rsid w:val="00D24E09"/>
    <w:rsid w:val="00D24E34"/>
    <w:rsid w:val="00D24FC3"/>
    <w:rsid w:val="00D25130"/>
    <w:rsid w:val="00D2517B"/>
    <w:rsid w:val="00D25450"/>
    <w:rsid w:val="00D255E1"/>
    <w:rsid w:val="00D25818"/>
    <w:rsid w:val="00D258DC"/>
    <w:rsid w:val="00D25A51"/>
    <w:rsid w:val="00D25B23"/>
    <w:rsid w:val="00D25CE4"/>
    <w:rsid w:val="00D25EBF"/>
    <w:rsid w:val="00D26184"/>
    <w:rsid w:val="00D261D8"/>
    <w:rsid w:val="00D26216"/>
    <w:rsid w:val="00D262F0"/>
    <w:rsid w:val="00D263A4"/>
    <w:rsid w:val="00D2651C"/>
    <w:rsid w:val="00D2656D"/>
    <w:rsid w:val="00D265A9"/>
    <w:rsid w:val="00D265DE"/>
    <w:rsid w:val="00D26603"/>
    <w:rsid w:val="00D26789"/>
    <w:rsid w:val="00D268A4"/>
    <w:rsid w:val="00D269BE"/>
    <w:rsid w:val="00D26A47"/>
    <w:rsid w:val="00D26C6C"/>
    <w:rsid w:val="00D26F9C"/>
    <w:rsid w:val="00D2724D"/>
    <w:rsid w:val="00D2741A"/>
    <w:rsid w:val="00D27425"/>
    <w:rsid w:val="00D27437"/>
    <w:rsid w:val="00D27441"/>
    <w:rsid w:val="00D2754E"/>
    <w:rsid w:val="00D2776F"/>
    <w:rsid w:val="00D27779"/>
    <w:rsid w:val="00D27A36"/>
    <w:rsid w:val="00D27A47"/>
    <w:rsid w:val="00D27AD4"/>
    <w:rsid w:val="00D27B43"/>
    <w:rsid w:val="00D27B79"/>
    <w:rsid w:val="00D27C31"/>
    <w:rsid w:val="00D27DD3"/>
    <w:rsid w:val="00D27DE2"/>
    <w:rsid w:val="00D27E66"/>
    <w:rsid w:val="00D27F90"/>
    <w:rsid w:val="00D27FF1"/>
    <w:rsid w:val="00D301A6"/>
    <w:rsid w:val="00D3037F"/>
    <w:rsid w:val="00D3048A"/>
    <w:rsid w:val="00D30509"/>
    <w:rsid w:val="00D3070F"/>
    <w:rsid w:val="00D30851"/>
    <w:rsid w:val="00D308C6"/>
    <w:rsid w:val="00D30936"/>
    <w:rsid w:val="00D309E6"/>
    <w:rsid w:val="00D30C51"/>
    <w:rsid w:val="00D30D39"/>
    <w:rsid w:val="00D30F43"/>
    <w:rsid w:val="00D30FC3"/>
    <w:rsid w:val="00D3123B"/>
    <w:rsid w:val="00D312C7"/>
    <w:rsid w:val="00D312F7"/>
    <w:rsid w:val="00D313B7"/>
    <w:rsid w:val="00D313F3"/>
    <w:rsid w:val="00D3164C"/>
    <w:rsid w:val="00D31C6B"/>
    <w:rsid w:val="00D31F8C"/>
    <w:rsid w:val="00D32037"/>
    <w:rsid w:val="00D32060"/>
    <w:rsid w:val="00D32235"/>
    <w:rsid w:val="00D3253E"/>
    <w:rsid w:val="00D3282C"/>
    <w:rsid w:val="00D328A0"/>
    <w:rsid w:val="00D333EF"/>
    <w:rsid w:val="00D334E0"/>
    <w:rsid w:val="00D33533"/>
    <w:rsid w:val="00D33651"/>
    <w:rsid w:val="00D33864"/>
    <w:rsid w:val="00D3425C"/>
    <w:rsid w:val="00D34296"/>
    <w:rsid w:val="00D34414"/>
    <w:rsid w:val="00D3448C"/>
    <w:rsid w:val="00D344B5"/>
    <w:rsid w:val="00D34500"/>
    <w:rsid w:val="00D34517"/>
    <w:rsid w:val="00D3452B"/>
    <w:rsid w:val="00D34B0F"/>
    <w:rsid w:val="00D34BA6"/>
    <w:rsid w:val="00D34BF7"/>
    <w:rsid w:val="00D34C27"/>
    <w:rsid w:val="00D34F5A"/>
    <w:rsid w:val="00D34F8F"/>
    <w:rsid w:val="00D35142"/>
    <w:rsid w:val="00D35397"/>
    <w:rsid w:val="00D35409"/>
    <w:rsid w:val="00D35437"/>
    <w:rsid w:val="00D35447"/>
    <w:rsid w:val="00D35482"/>
    <w:rsid w:val="00D35685"/>
    <w:rsid w:val="00D35770"/>
    <w:rsid w:val="00D3577B"/>
    <w:rsid w:val="00D359A8"/>
    <w:rsid w:val="00D35D03"/>
    <w:rsid w:val="00D35F4A"/>
    <w:rsid w:val="00D36213"/>
    <w:rsid w:val="00D3627A"/>
    <w:rsid w:val="00D362B5"/>
    <w:rsid w:val="00D364AC"/>
    <w:rsid w:val="00D36598"/>
    <w:rsid w:val="00D365BC"/>
    <w:rsid w:val="00D365D7"/>
    <w:rsid w:val="00D365ED"/>
    <w:rsid w:val="00D36A93"/>
    <w:rsid w:val="00D36AA5"/>
    <w:rsid w:val="00D36B4F"/>
    <w:rsid w:val="00D36CAF"/>
    <w:rsid w:val="00D36E48"/>
    <w:rsid w:val="00D36E4D"/>
    <w:rsid w:val="00D36E85"/>
    <w:rsid w:val="00D3788C"/>
    <w:rsid w:val="00D37A1A"/>
    <w:rsid w:val="00D37D03"/>
    <w:rsid w:val="00D37EAE"/>
    <w:rsid w:val="00D37EB2"/>
    <w:rsid w:val="00D37F54"/>
    <w:rsid w:val="00D40335"/>
    <w:rsid w:val="00D404AE"/>
    <w:rsid w:val="00D4055B"/>
    <w:rsid w:val="00D407D3"/>
    <w:rsid w:val="00D4093C"/>
    <w:rsid w:val="00D40AAA"/>
    <w:rsid w:val="00D40B13"/>
    <w:rsid w:val="00D40E84"/>
    <w:rsid w:val="00D40EB6"/>
    <w:rsid w:val="00D40EDF"/>
    <w:rsid w:val="00D41198"/>
    <w:rsid w:val="00D41207"/>
    <w:rsid w:val="00D412A8"/>
    <w:rsid w:val="00D41799"/>
    <w:rsid w:val="00D41972"/>
    <w:rsid w:val="00D41C58"/>
    <w:rsid w:val="00D421BF"/>
    <w:rsid w:val="00D423F2"/>
    <w:rsid w:val="00D42506"/>
    <w:rsid w:val="00D4252D"/>
    <w:rsid w:val="00D42657"/>
    <w:rsid w:val="00D426B6"/>
    <w:rsid w:val="00D42716"/>
    <w:rsid w:val="00D42C5B"/>
    <w:rsid w:val="00D43265"/>
    <w:rsid w:val="00D434A7"/>
    <w:rsid w:val="00D43548"/>
    <w:rsid w:val="00D436CC"/>
    <w:rsid w:val="00D43874"/>
    <w:rsid w:val="00D439A0"/>
    <w:rsid w:val="00D43BDA"/>
    <w:rsid w:val="00D43C62"/>
    <w:rsid w:val="00D43D2E"/>
    <w:rsid w:val="00D43D67"/>
    <w:rsid w:val="00D43F09"/>
    <w:rsid w:val="00D43FC5"/>
    <w:rsid w:val="00D440AC"/>
    <w:rsid w:val="00D440B5"/>
    <w:rsid w:val="00D44135"/>
    <w:rsid w:val="00D441CE"/>
    <w:rsid w:val="00D442D1"/>
    <w:rsid w:val="00D442D3"/>
    <w:rsid w:val="00D4435C"/>
    <w:rsid w:val="00D44587"/>
    <w:rsid w:val="00D44726"/>
    <w:rsid w:val="00D44853"/>
    <w:rsid w:val="00D4485B"/>
    <w:rsid w:val="00D44D79"/>
    <w:rsid w:val="00D44E0E"/>
    <w:rsid w:val="00D44EBB"/>
    <w:rsid w:val="00D4503F"/>
    <w:rsid w:val="00D450CC"/>
    <w:rsid w:val="00D45420"/>
    <w:rsid w:val="00D45566"/>
    <w:rsid w:val="00D45733"/>
    <w:rsid w:val="00D45791"/>
    <w:rsid w:val="00D457AC"/>
    <w:rsid w:val="00D45972"/>
    <w:rsid w:val="00D459D2"/>
    <w:rsid w:val="00D45B8F"/>
    <w:rsid w:val="00D45E07"/>
    <w:rsid w:val="00D46017"/>
    <w:rsid w:val="00D46036"/>
    <w:rsid w:val="00D460C6"/>
    <w:rsid w:val="00D46165"/>
    <w:rsid w:val="00D46394"/>
    <w:rsid w:val="00D464F3"/>
    <w:rsid w:val="00D46520"/>
    <w:rsid w:val="00D465BD"/>
    <w:rsid w:val="00D46699"/>
    <w:rsid w:val="00D469E0"/>
    <w:rsid w:val="00D46C33"/>
    <w:rsid w:val="00D46CBB"/>
    <w:rsid w:val="00D46E20"/>
    <w:rsid w:val="00D46E3A"/>
    <w:rsid w:val="00D46EA3"/>
    <w:rsid w:val="00D46F5D"/>
    <w:rsid w:val="00D47117"/>
    <w:rsid w:val="00D4720E"/>
    <w:rsid w:val="00D472D9"/>
    <w:rsid w:val="00D4730A"/>
    <w:rsid w:val="00D4742F"/>
    <w:rsid w:val="00D47668"/>
    <w:rsid w:val="00D477FA"/>
    <w:rsid w:val="00D47920"/>
    <w:rsid w:val="00D479A9"/>
    <w:rsid w:val="00D479B8"/>
    <w:rsid w:val="00D47A71"/>
    <w:rsid w:val="00D47FF4"/>
    <w:rsid w:val="00D500CB"/>
    <w:rsid w:val="00D50135"/>
    <w:rsid w:val="00D50186"/>
    <w:rsid w:val="00D50471"/>
    <w:rsid w:val="00D50491"/>
    <w:rsid w:val="00D504E4"/>
    <w:rsid w:val="00D5058F"/>
    <w:rsid w:val="00D5059B"/>
    <w:rsid w:val="00D5066E"/>
    <w:rsid w:val="00D5098F"/>
    <w:rsid w:val="00D50A2C"/>
    <w:rsid w:val="00D50B8D"/>
    <w:rsid w:val="00D50F09"/>
    <w:rsid w:val="00D510BA"/>
    <w:rsid w:val="00D515C9"/>
    <w:rsid w:val="00D51876"/>
    <w:rsid w:val="00D51C77"/>
    <w:rsid w:val="00D51E7D"/>
    <w:rsid w:val="00D521E8"/>
    <w:rsid w:val="00D522E6"/>
    <w:rsid w:val="00D52429"/>
    <w:rsid w:val="00D52445"/>
    <w:rsid w:val="00D52834"/>
    <w:rsid w:val="00D52936"/>
    <w:rsid w:val="00D52BD5"/>
    <w:rsid w:val="00D52C71"/>
    <w:rsid w:val="00D52D86"/>
    <w:rsid w:val="00D52E5C"/>
    <w:rsid w:val="00D53140"/>
    <w:rsid w:val="00D534EC"/>
    <w:rsid w:val="00D538DE"/>
    <w:rsid w:val="00D538E2"/>
    <w:rsid w:val="00D538F6"/>
    <w:rsid w:val="00D53AF2"/>
    <w:rsid w:val="00D53C1C"/>
    <w:rsid w:val="00D53D10"/>
    <w:rsid w:val="00D53FE7"/>
    <w:rsid w:val="00D541A7"/>
    <w:rsid w:val="00D545C4"/>
    <w:rsid w:val="00D54859"/>
    <w:rsid w:val="00D5485E"/>
    <w:rsid w:val="00D5495B"/>
    <w:rsid w:val="00D54A29"/>
    <w:rsid w:val="00D54A35"/>
    <w:rsid w:val="00D54A72"/>
    <w:rsid w:val="00D54D2A"/>
    <w:rsid w:val="00D54D74"/>
    <w:rsid w:val="00D54E99"/>
    <w:rsid w:val="00D5505E"/>
    <w:rsid w:val="00D55272"/>
    <w:rsid w:val="00D55493"/>
    <w:rsid w:val="00D554B8"/>
    <w:rsid w:val="00D5566B"/>
    <w:rsid w:val="00D556FF"/>
    <w:rsid w:val="00D55831"/>
    <w:rsid w:val="00D55896"/>
    <w:rsid w:val="00D558AB"/>
    <w:rsid w:val="00D558B2"/>
    <w:rsid w:val="00D55ABF"/>
    <w:rsid w:val="00D55E72"/>
    <w:rsid w:val="00D55FC3"/>
    <w:rsid w:val="00D56238"/>
    <w:rsid w:val="00D5630F"/>
    <w:rsid w:val="00D566D9"/>
    <w:rsid w:val="00D56776"/>
    <w:rsid w:val="00D5679E"/>
    <w:rsid w:val="00D56B7E"/>
    <w:rsid w:val="00D56DBC"/>
    <w:rsid w:val="00D571BC"/>
    <w:rsid w:val="00D5748E"/>
    <w:rsid w:val="00D576B6"/>
    <w:rsid w:val="00D57AE7"/>
    <w:rsid w:val="00D57C9A"/>
    <w:rsid w:val="00D57D0A"/>
    <w:rsid w:val="00D57F6E"/>
    <w:rsid w:val="00D57FCB"/>
    <w:rsid w:val="00D600CC"/>
    <w:rsid w:val="00D603D7"/>
    <w:rsid w:val="00D6054A"/>
    <w:rsid w:val="00D60857"/>
    <w:rsid w:val="00D608B3"/>
    <w:rsid w:val="00D60B76"/>
    <w:rsid w:val="00D610F6"/>
    <w:rsid w:val="00D61627"/>
    <w:rsid w:val="00D6195E"/>
    <w:rsid w:val="00D61C9E"/>
    <w:rsid w:val="00D61DBD"/>
    <w:rsid w:val="00D61E01"/>
    <w:rsid w:val="00D62086"/>
    <w:rsid w:val="00D620D5"/>
    <w:rsid w:val="00D622F9"/>
    <w:rsid w:val="00D625FA"/>
    <w:rsid w:val="00D62616"/>
    <w:rsid w:val="00D6289C"/>
    <w:rsid w:val="00D6289F"/>
    <w:rsid w:val="00D629D3"/>
    <w:rsid w:val="00D62D6D"/>
    <w:rsid w:val="00D62DA1"/>
    <w:rsid w:val="00D62FAC"/>
    <w:rsid w:val="00D6303A"/>
    <w:rsid w:val="00D63075"/>
    <w:rsid w:val="00D630F2"/>
    <w:rsid w:val="00D632AD"/>
    <w:rsid w:val="00D63363"/>
    <w:rsid w:val="00D635D2"/>
    <w:rsid w:val="00D63669"/>
    <w:rsid w:val="00D636AB"/>
    <w:rsid w:val="00D63B22"/>
    <w:rsid w:val="00D63C39"/>
    <w:rsid w:val="00D63CB5"/>
    <w:rsid w:val="00D642CD"/>
    <w:rsid w:val="00D6433A"/>
    <w:rsid w:val="00D6433F"/>
    <w:rsid w:val="00D64342"/>
    <w:rsid w:val="00D645E8"/>
    <w:rsid w:val="00D6466F"/>
    <w:rsid w:val="00D6491E"/>
    <w:rsid w:val="00D64DBD"/>
    <w:rsid w:val="00D65301"/>
    <w:rsid w:val="00D654A6"/>
    <w:rsid w:val="00D65587"/>
    <w:rsid w:val="00D65644"/>
    <w:rsid w:val="00D6565F"/>
    <w:rsid w:val="00D657C2"/>
    <w:rsid w:val="00D65801"/>
    <w:rsid w:val="00D658FF"/>
    <w:rsid w:val="00D65904"/>
    <w:rsid w:val="00D65980"/>
    <w:rsid w:val="00D65C76"/>
    <w:rsid w:val="00D65DA7"/>
    <w:rsid w:val="00D66009"/>
    <w:rsid w:val="00D664CE"/>
    <w:rsid w:val="00D66505"/>
    <w:rsid w:val="00D667F0"/>
    <w:rsid w:val="00D669DA"/>
    <w:rsid w:val="00D66B27"/>
    <w:rsid w:val="00D66C00"/>
    <w:rsid w:val="00D66D68"/>
    <w:rsid w:val="00D66E08"/>
    <w:rsid w:val="00D66F20"/>
    <w:rsid w:val="00D66F2B"/>
    <w:rsid w:val="00D66FD9"/>
    <w:rsid w:val="00D67028"/>
    <w:rsid w:val="00D67233"/>
    <w:rsid w:val="00D67478"/>
    <w:rsid w:val="00D678F8"/>
    <w:rsid w:val="00D67C21"/>
    <w:rsid w:val="00D67D81"/>
    <w:rsid w:val="00D700F4"/>
    <w:rsid w:val="00D7032E"/>
    <w:rsid w:val="00D703C5"/>
    <w:rsid w:val="00D70413"/>
    <w:rsid w:val="00D7079D"/>
    <w:rsid w:val="00D70851"/>
    <w:rsid w:val="00D70875"/>
    <w:rsid w:val="00D7165B"/>
    <w:rsid w:val="00D71F47"/>
    <w:rsid w:val="00D71F4D"/>
    <w:rsid w:val="00D722D6"/>
    <w:rsid w:val="00D724FE"/>
    <w:rsid w:val="00D7253D"/>
    <w:rsid w:val="00D725A6"/>
    <w:rsid w:val="00D7274A"/>
    <w:rsid w:val="00D72A4D"/>
    <w:rsid w:val="00D72ACA"/>
    <w:rsid w:val="00D72BBD"/>
    <w:rsid w:val="00D72C6B"/>
    <w:rsid w:val="00D72ED9"/>
    <w:rsid w:val="00D72FAF"/>
    <w:rsid w:val="00D73303"/>
    <w:rsid w:val="00D733BF"/>
    <w:rsid w:val="00D73431"/>
    <w:rsid w:val="00D73487"/>
    <w:rsid w:val="00D73503"/>
    <w:rsid w:val="00D735BB"/>
    <w:rsid w:val="00D735D5"/>
    <w:rsid w:val="00D73682"/>
    <w:rsid w:val="00D73835"/>
    <w:rsid w:val="00D738DC"/>
    <w:rsid w:val="00D73B91"/>
    <w:rsid w:val="00D73D70"/>
    <w:rsid w:val="00D740B5"/>
    <w:rsid w:val="00D742C1"/>
    <w:rsid w:val="00D74545"/>
    <w:rsid w:val="00D74554"/>
    <w:rsid w:val="00D7473D"/>
    <w:rsid w:val="00D74888"/>
    <w:rsid w:val="00D748E8"/>
    <w:rsid w:val="00D74C54"/>
    <w:rsid w:val="00D74C67"/>
    <w:rsid w:val="00D74F37"/>
    <w:rsid w:val="00D7514A"/>
    <w:rsid w:val="00D7519D"/>
    <w:rsid w:val="00D75455"/>
    <w:rsid w:val="00D7571C"/>
    <w:rsid w:val="00D7581E"/>
    <w:rsid w:val="00D75A5A"/>
    <w:rsid w:val="00D75B3D"/>
    <w:rsid w:val="00D75D9B"/>
    <w:rsid w:val="00D75EC4"/>
    <w:rsid w:val="00D75F9E"/>
    <w:rsid w:val="00D75FFA"/>
    <w:rsid w:val="00D761D4"/>
    <w:rsid w:val="00D762B8"/>
    <w:rsid w:val="00D762BD"/>
    <w:rsid w:val="00D765AB"/>
    <w:rsid w:val="00D76639"/>
    <w:rsid w:val="00D7672F"/>
    <w:rsid w:val="00D76881"/>
    <w:rsid w:val="00D76899"/>
    <w:rsid w:val="00D76A1D"/>
    <w:rsid w:val="00D76A20"/>
    <w:rsid w:val="00D76A4B"/>
    <w:rsid w:val="00D76B18"/>
    <w:rsid w:val="00D76C12"/>
    <w:rsid w:val="00D76CED"/>
    <w:rsid w:val="00D7760E"/>
    <w:rsid w:val="00D77740"/>
    <w:rsid w:val="00D77842"/>
    <w:rsid w:val="00D77B73"/>
    <w:rsid w:val="00D77D79"/>
    <w:rsid w:val="00D77F6F"/>
    <w:rsid w:val="00D801D6"/>
    <w:rsid w:val="00D8073A"/>
    <w:rsid w:val="00D80B6A"/>
    <w:rsid w:val="00D80CE1"/>
    <w:rsid w:val="00D80EB1"/>
    <w:rsid w:val="00D81042"/>
    <w:rsid w:val="00D811F0"/>
    <w:rsid w:val="00D81261"/>
    <w:rsid w:val="00D814C0"/>
    <w:rsid w:val="00D81509"/>
    <w:rsid w:val="00D815B8"/>
    <w:rsid w:val="00D81609"/>
    <w:rsid w:val="00D81794"/>
    <w:rsid w:val="00D8188B"/>
    <w:rsid w:val="00D818F9"/>
    <w:rsid w:val="00D8192E"/>
    <w:rsid w:val="00D81A55"/>
    <w:rsid w:val="00D81D0A"/>
    <w:rsid w:val="00D81F18"/>
    <w:rsid w:val="00D8211E"/>
    <w:rsid w:val="00D8225C"/>
    <w:rsid w:val="00D82421"/>
    <w:rsid w:val="00D824CE"/>
    <w:rsid w:val="00D826F7"/>
    <w:rsid w:val="00D82AD6"/>
    <w:rsid w:val="00D82C5E"/>
    <w:rsid w:val="00D82CCC"/>
    <w:rsid w:val="00D82FA2"/>
    <w:rsid w:val="00D83356"/>
    <w:rsid w:val="00D833E5"/>
    <w:rsid w:val="00D833F2"/>
    <w:rsid w:val="00D83524"/>
    <w:rsid w:val="00D83903"/>
    <w:rsid w:val="00D83A3B"/>
    <w:rsid w:val="00D83A41"/>
    <w:rsid w:val="00D83B1E"/>
    <w:rsid w:val="00D83C90"/>
    <w:rsid w:val="00D83E90"/>
    <w:rsid w:val="00D84170"/>
    <w:rsid w:val="00D841F9"/>
    <w:rsid w:val="00D8442D"/>
    <w:rsid w:val="00D84635"/>
    <w:rsid w:val="00D84902"/>
    <w:rsid w:val="00D84960"/>
    <w:rsid w:val="00D849F2"/>
    <w:rsid w:val="00D84A12"/>
    <w:rsid w:val="00D84ACE"/>
    <w:rsid w:val="00D84BEB"/>
    <w:rsid w:val="00D84BF7"/>
    <w:rsid w:val="00D84D75"/>
    <w:rsid w:val="00D84D8A"/>
    <w:rsid w:val="00D84E4D"/>
    <w:rsid w:val="00D84EBE"/>
    <w:rsid w:val="00D84FC3"/>
    <w:rsid w:val="00D84FE7"/>
    <w:rsid w:val="00D850B7"/>
    <w:rsid w:val="00D851CA"/>
    <w:rsid w:val="00D852A5"/>
    <w:rsid w:val="00D852C7"/>
    <w:rsid w:val="00D8533B"/>
    <w:rsid w:val="00D85433"/>
    <w:rsid w:val="00D856B4"/>
    <w:rsid w:val="00D85740"/>
    <w:rsid w:val="00D85A2A"/>
    <w:rsid w:val="00D85CDD"/>
    <w:rsid w:val="00D85D00"/>
    <w:rsid w:val="00D85D10"/>
    <w:rsid w:val="00D85DCB"/>
    <w:rsid w:val="00D85E12"/>
    <w:rsid w:val="00D85E95"/>
    <w:rsid w:val="00D86214"/>
    <w:rsid w:val="00D8632B"/>
    <w:rsid w:val="00D8660C"/>
    <w:rsid w:val="00D86624"/>
    <w:rsid w:val="00D86678"/>
    <w:rsid w:val="00D869E8"/>
    <w:rsid w:val="00D86A1C"/>
    <w:rsid w:val="00D86BE8"/>
    <w:rsid w:val="00D86BF9"/>
    <w:rsid w:val="00D86D18"/>
    <w:rsid w:val="00D86EB0"/>
    <w:rsid w:val="00D86FAD"/>
    <w:rsid w:val="00D87094"/>
    <w:rsid w:val="00D87280"/>
    <w:rsid w:val="00D8773C"/>
    <w:rsid w:val="00D8776B"/>
    <w:rsid w:val="00D8778A"/>
    <w:rsid w:val="00D87ED9"/>
    <w:rsid w:val="00D900E2"/>
    <w:rsid w:val="00D9043D"/>
    <w:rsid w:val="00D904DB"/>
    <w:rsid w:val="00D908B0"/>
    <w:rsid w:val="00D90B22"/>
    <w:rsid w:val="00D90C67"/>
    <w:rsid w:val="00D90E01"/>
    <w:rsid w:val="00D90E99"/>
    <w:rsid w:val="00D91145"/>
    <w:rsid w:val="00D9120C"/>
    <w:rsid w:val="00D9127D"/>
    <w:rsid w:val="00D9133A"/>
    <w:rsid w:val="00D91408"/>
    <w:rsid w:val="00D91473"/>
    <w:rsid w:val="00D914C9"/>
    <w:rsid w:val="00D91526"/>
    <w:rsid w:val="00D9152F"/>
    <w:rsid w:val="00D9162B"/>
    <w:rsid w:val="00D9175E"/>
    <w:rsid w:val="00D919D9"/>
    <w:rsid w:val="00D91A6E"/>
    <w:rsid w:val="00D91BAD"/>
    <w:rsid w:val="00D91C9B"/>
    <w:rsid w:val="00D91CC5"/>
    <w:rsid w:val="00D91DDD"/>
    <w:rsid w:val="00D91F93"/>
    <w:rsid w:val="00D9204D"/>
    <w:rsid w:val="00D920CF"/>
    <w:rsid w:val="00D920FD"/>
    <w:rsid w:val="00D92194"/>
    <w:rsid w:val="00D921BD"/>
    <w:rsid w:val="00D921FA"/>
    <w:rsid w:val="00D9224F"/>
    <w:rsid w:val="00D923BE"/>
    <w:rsid w:val="00D9259A"/>
    <w:rsid w:val="00D92704"/>
    <w:rsid w:val="00D92709"/>
    <w:rsid w:val="00D92969"/>
    <w:rsid w:val="00D92C18"/>
    <w:rsid w:val="00D92F01"/>
    <w:rsid w:val="00D93182"/>
    <w:rsid w:val="00D93312"/>
    <w:rsid w:val="00D934B4"/>
    <w:rsid w:val="00D935BB"/>
    <w:rsid w:val="00D935C5"/>
    <w:rsid w:val="00D93611"/>
    <w:rsid w:val="00D93623"/>
    <w:rsid w:val="00D936FF"/>
    <w:rsid w:val="00D9370D"/>
    <w:rsid w:val="00D937B0"/>
    <w:rsid w:val="00D9382E"/>
    <w:rsid w:val="00D93902"/>
    <w:rsid w:val="00D93984"/>
    <w:rsid w:val="00D93FBB"/>
    <w:rsid w:val="00D94015"/>
    <w:rsid w:val="00D9410E"/>
    <w:rsid w:val="00D94130"/>
    <w:rsid w:val="00D94645"/>
    <w:rsid w:val="00D948D4"/>
    <w:rsid w:val="00D94964"/>
    <w:rsid w:val="00D94A41"/>
    <w:rsid w:val="00D94A66"/>
    <w:rsid w:val="00D94A99"/>
    <w:rsid w:val="00D94BCA"/>
    <w:rsid w:val="00D94E86"/>
    <w:rsid w:val="00D94ED4"/>
    <w:rsid w:val="00D9500C"/>
    <w:rsid w:val="00D95134"/>
    <w:rsid w:val="00D9557D"/>
    <w:rsid w:val="00D95727"/>
    <w:rsid w:val="00D957D1"/>
    <w:rsid w:val="00D958BC"/>
    <w:rsid w:val="00D95D8D"/>
    <w:rsid w:val="00D95F36"/>
    <w:rsid w:val="00D960FA"/>
    <w:rsid w:val="00D961C1"/>
    <w:rsid w:val="00D9632B"/>
    <w:rsid w:val="00D9633F"/>
    <w:rsid w:val="00D964D4"/>
    <w:rsid w:val="00D96726"/>
    <w:rsid w:val="00D96797"/>
    <w:rsid w:val="00D9685A"/>
    <w:rsid w:val="00D9687A"/>
    <w:rsid w:val="00D968D8"/>
    <w:rsid w:val="00D969F0"/>
    <w:rsid w:val="00D96BE3"/>
    <w:rsid w:val="00D96CFB"/>
    <w:rsid w:val="00D9704D"/>
    <w:rsid w:val="00D971F1"/>
    <w:rsid w:val="00D97229"/>
    <w:rsid w:val="00D97366"/>
    <w:rsid w:val="00D973D4"/>
    <w:rsid w:val="00D97498"/>
    <w:rsid w:val="00D97542"/>
    <w:rsid w:val="00D97A55"/>
    <w:rsid w:val="00D97ADF"/>
    <w:rsid w:val="00D97F9B"/>
    <w:rsid w:val="00DA02F3"/>
    <w:rsid w:val="00DA0385"/>
    <w:rsid w:val="00DA0714"/>
    <w:rsid w:val="00DA08AB"/>
    <w:rsid w:val="00DA08EF"/>
    <w:rsid w:val="00DA0B77"/>
    <w:rsid w:val="00DA0C7F"/>
    <w:rsid w:val="00DA0F7F"/>
    <w:rsid w:val="00DA0F92"/>
    <w:rsid w:val="00DA103A"/>
    <w:rsid w:val="00DA13AD"/>
    <w:rsid w:val="00DA13D3"/>
    <w:rsid w:val="00DA13FA"/>
    <w:rsid w:val="00DA1429"/>
    <w:rsid w:val="00DA1473"/>
    <w:rsid w:val="00DA16B4"/>
    <w:rsid w:val="00DA17F2"/>
    <w:rsid w:val="00DA1E4A"/>
    <w:rsid w:val="00DA1EB8"/>
    <w:rsid w:val="00DA1F47"/>
    <w:rsid w:val="00DA20F4"/>
    <w:rsid w:val="00DA2266"/>
    <w:rsid w:val="00DA24A2"/>
    <w:rsid w:val="00DA2549"/>
    <w:rsid w:val="00DA291C"/>
    <w:rsid w:val="00DA2A35"/>
    <w:rsid w:val="00DA2A45"/>
    <w:rsid w:val="00DA2B80"/>
    <w:rsid w:val="00DA2BB4"/>
    <w:rsid w:val="00DA2BBD"/>
    <w:rsid w:val="00DA2C04"/>
    <w:rsid w:val="00DA2D6A"/>
    <w:rsid w:val="00DA3237"/>
    <w:rsid w:val="00DA34F0"/>
    <w:rsid w:val="00DA358A"/>
    <w:rsid w:val="00DA3604"/>
    <w:rsid w:val="00DA3691"/>
    <w:rsid w:val="00DA37D0"/>
    <w:rsid w:val="00DA3A7A"/>
    <w:rsid w:val="00DA3BE0"/>
    <w:rsid w:val="00DA3CFA"/>
    <w:rsid w:val="00DA3D92"/>
    <w:rsid w:val="00DA40EB"/>
    <w:rsid w:val="00DA42C7"/>
    <w:rsid w:val="00DA4383"/>
    <w:rsid w:val="00DA4399"/>
    <w:rsid w:val="00DA43A4"/>
    <w:rsid w:val="00DA4493"/>
    <w:rsid w:val="00DA4683"/>
    <w:rsid w:val="00DA46D1"/>
    <w:rsid w:val="00DA4740"/>
    <w:rsid w:val="00DA4AA6"/>
    <w:rsid w:val="00DA4ABA"/>
    <w:rsid w:val="00DA4AF9"/>
    <w:rsid w:val="00DA4C2C"/>
    <w:rsid w:val="00DA4EC4"/>
    <w:rsid w:val="00DA4F6F"/>
    <w:rsid w:val="00DA5051"/>
    <w:rsid w:val="00DA5057"/>
    <w:rsid w:val="00DA5091"/>
    <w:rsid w:val="00DA5265"/>
    <w:rsid w:val="00DA5983"/>
    <w:rsid w:val="00DA5ACC"/>
    <w:rsid w:val="00DA5B41"/>
    <w:rsid w:val="00DA5B69"/>
    <w:rsid w:val="00DA5B8C"/>
    <w:rsid w:val="00DA5C1E"/>
    <w:rsid w:val="00DA5CF0"/>
    <w:rsid w:val="00DA5E7F"/>
    <w:rsid w:val="00DA5EAD"/>
    <w:rsid w:val="00DA5FCC"/>
    <w:rsid w:val="00DA6014"/>
    <w:rsid w:val="00DA602A"/>
    <w:rsid w:val="00DA60F5"/>
    <w:rsid w:val="00DA63B8"/>
    <w:rsid w:val="00DA64E9"/>
    <w:rsid w:val="00DA657D"/>
    <w:rsid w:val="00DA68D6"/>
    <w:rsid w:val="00DA6924"/>
    <w:rsid w:val="00DA6CF5"/>
    <w:rsid w:val="00DA6DB5"/>
    <w:rsid w:val="00DA6DBE"/>
    <w:rsid w:val="00DA7191"/>
    <w:rsid w:val="00DA73ED"/>
    <w:rsid w:val="00DA74FB"/>
    <w:rsid w:val="00DA7525"/>
    <w:rsid w:val="00DA754D"/>
    <w:rsid w:val="00DA783A"/>
    <w:rsid w:val="00DA7BD5"/>
    <w:rsid w:val="00DA7E92"/>
    <w:rsid w:val="00DB01ED"/>
    <w:rsid w:val="00DB05C5"/>
    <w:rsid w:val="00DB05F5"/>
    <w:rsid w:val="00DB0656"/>
    <w:rsid w:val="00DB08BD"/>
    <w:rsid w:val="00DB0A2F"/>
    <w:rsid w:val="00DB0A66"/>
    <w:rsid w:val="00DB0BEB"/>
    <w:rsid w:val="00DB0C7B"/>
    <w:rsid w:val="00DB0D64"/>
    <w:rsid w:val="00DB0FF9"/>
    <w:rsid w:val="00DB1283"/>
    <w:rsid w:val="00DB154D"/>
    <w:rsid w:val="00DB16BA"/>
    <w:rsid w:val="00DB16EE"/>
    <w:rsid w:val="00DB179E"/>
    <w:rsid w:val="00DB183D"/>
    <w:rsid w:val="00DB1950"/>
    <w:rsid w:val="00DB1A7E"/>
    <w:rsid w:val="00DB1CEF"/>
    <w:rsid w:val="00DB1CFB"/>
    <w:rsid w:val="00DB1E8D"/>
    <w:rsid w:val="00DB1EF6"/>
    <w:rsid w:val="00DB240F"/>
    <w:rsid w:val="00DB291B"/>
    <w:rsid w:val="00DB2923"/>
    <w:rsid w:val="00DB29E0"/>
    <w:rsid w:val="00DB2B0E"/>
    <w:rsid w:val="00DB2B1D"/>
    <w:rsid w:val="00DB2BCA"/>
    <w:rsid w:val="00DB2BEA"/>
    <w:rsid w:val="00DB2C9A"/>
    <w:rsid w:val="00DB3095"/>
    <w:rsid w:val="00DB30A6"/>
    <w:rsid w:val="00DB31A2"/>
    <w:rsid w:val="00DB34CC"/>
    <w:rsid w:val="00DB34EA"/>
    <w:rsid w:val="00DB35F0"/>
    <w:rsid w:val="00DB37FD"/>
    <w:rsid w:val="00DB3936"/>
    <w:rsid w:val="00DB3ABE"/>
    <w:rsid w:val="00DB3CBD"/>
    <w:rsid w:val="00DB3E0C"/>
    <w:rsid w:val="00DB3E2A"/>
    <w:rsid w:val="00DB3E34"/>
    <w:rsid w:val="00DB4107"/>
    <w:rsid w:val="00DB421F"/>
    <w:rsid w:val="00DB434E"/>
    <w:rsid w:val="00DB4425"/>
    <w:rsid w:val="00DB485E"/>
    <w:rsid w:val="00DB4904"/>
    <w:rsid w:val="00DB4AFE"/>
    <w:rsid w:val="00DB4BEA"/>
    <w:rsid w:val="00DB50C2"/>
    <w:rsid w:val="00DB50D0"/>
    <w:rsid w:val="00DB52DC"/>
    <w:rsid w:val="00DB52DE"/>
    <w:rsid w:val="00DB5FD5"/>
    <w:rsid w:val="00DB6131"/>
    <w:rsid w:val="00DB62D3"/>
    <w:rsid w:val="00DB63A0"/>
    <w:rsid w:val="00DB6660"/>
    <w:rsid w:val="00DB666D"/>
    <w:rsid w:val="00DB6769"/>
    <w:rsid w:val="00DB696A"/>
    <w:rsid w:val="00DB6A1C"/>
    <w:rsid w:val="00DB6A4C"/>
    <w:rsid w:val="00DB6B5A"/>
    <w:rsid w:val="00DB6CA8"/>
    <w:rsid w:val="00DB6DF9"/>
    <w:rsid w:val="00DB7164"/>
    <w:rsid w:val="00DB71DA"/>
    <w:rsid w:val="00DB725C"/>
    <w:rsid w:val="00DB7297"/>
    <w:rsid w:val="00DB74D8"/>
    <w:rsid w:val="00DB75BE"/>
    <w:rsid w:val="00DB7687"/>
    <w:rsid w:val="00DB7704"/>
    <w:rsid w:val="00DB7885"/>
    <w:rsid w:val="00DB7AFF"/>
    <w:rsid w:val="00DB7C5A"/>
    <w:rsid w:val="00DB7CA7"/>
    <w:rsid w:val="00DB7CA8"/>
    <w:rsid w:val="00DB7D0A"/>
    <w:rsid w:val="00DB7DF3"/>
    <w:rsid w:val="00DB7F32"/>
    <w:rsid w:val="00DC0009"/>
    <w:rsid w:val="00DC0076"/>
    <w:rsid w:val="00DC00EC"/>
    <w:rsid w:val="00DC01BA"/>
    <w:rsid w:val="00DC01CF"/>
    <w:rsid w:val="00DC0640"/>
    <w:rsid w:val="00DC07AE"/>
    <w:rsid w:val="00DC07FB"/>
    <w:rsid w:val="00DC0AB9"/>
    <w:rsid w:val="00DC0B1B"/>
    <w:rsid w:val="00DC0B9E"/>
    <w:rsid w:val="00DC0BC1"/>
    <w:rsid w:val="00DC0C8C"/>
    <w:rsid w:val="00DC0E07"/>
    <w:rsid w:val="00DC0E86"/>
    <w:rsid w:val="00DC11D2"/>
    <w:rsid w:val="00DC138E"/>
    <w:rsid w:val="00DC14B9"/>
    <w:rsid w:val="00DC1668"/>
    <w:rsid w:val="00DC1916"/>
    <w:rsid w:val="00DC192C"/>
    <w:rsid w:val="00DC1BAB"/>
    <w:rsid w:val="00DC1D19"/>
    <w:rsid w:val="00DC1D55"/>
    <w:rsid w:val="00DC1F1E"/>
    <w:rsid w:val="00DC2317"/>
    <w:rsid w:val="00DC290B"/>
    <w:rsid w:val="00DC2B59"/>
    <w:rsid w:val="00DC2C17"/>
    <w:rsid w:val="00DC2F2B"/>
    <w:rsid w:val="00DC315B"/>
    <w:rsid w:val="00DC339B"/>
    <w:rsid w:val="00DC33A5"/>
    <w:rsid w:val="00DC3551"/>
    <w:rsid w:val="00DC3577"/>
    <w:rsid w:val="00DC3779"/>
    <w:rsid w:val="00DC3A26"/>
    <w:rsid w:val="00DC3CA8"/>
    <w:rsid w:val="00DC3CDB"/>
    <w:rsid w:val="00DC405B"/>
    <w:rsid w:val="00DC407B"/>
    <w:rsid w:val="00DC4423"/>
    <w:rsid w:val="00DC455A"/>
    <w:rsid w:val="00DC472C"/>
    <w:rsid w:val="00DC474E"/>
    <w:rsid w:val="00DC4943"/>
    <w:rsid w:val="00DC4994"/>
    <w:rsid w:val="00DC4AC4"/>
    <w:rsid w:val="00DC4ADA"/>
    <w:rsid w:val="00DC4BE6"/>
    <w:rsid w:val="00DC4CBC"/>
    <w:rsid w:val="00DC50BB"/>
    <w:rsid w:val="00DC50E7"/>
    <w:rsid w:val="00DC528C"/>
    <w:rsid w:val="00DC53DD"/>
    <w:rsid w:val="00DC566A"/>
    <w:rsid w:val="00DC5843"/>
    <w:rsid w:val="00DC58D0"/>
    <w:rsid w:val="00DC5C87"/>
    <w:rsid w:val="00DC5DB5"/>
    <w:rsid w:val="00DC61E4"/>
    <w:rsid w:val="00DC6215"/>
    <w:rsid w:val="00DC65E7"/>
    <w:rsid w:val="00DC66A8"/>
    <w:rsid w:val="00DC66BD"/>
    <w:rsid w:val="00DC67CD"/>
    <w:rsid w:val="00DC680F"/>
    <w:rsid w:val="00DC68B0"/>
    <w:rsid w:val="00DC694D"/>
    <w:rsid w:val="00DC6AD6"/>
    <w:rsid w:val="00DC6E57"/>
    <w:rsid w:val="00DC710A"/>
    <w:rsid w:val="00DC7125"/>
    <w:rsid w:val="00DC7260"/>
    <w:rsid w:val="00DC76EB"/>
    <w:rsid w:val="00DC7872"/>
    <w:rsid w:val="00DC78ED"/>
    <w:rsid w:val="00DC793B"/>
    <w:rsid w:val="00DC7B29"/>
    <w:rsid w:val="00DC7B46"/>
    <w:rsid w:val="00DC7B88"/>
    <w:rsid w:val="00DC7D55"/>
    <w:rsid w:val="00DD001B"/>
    <w:rsid w:val="00DD00A1"/>
    <w:rsid w:val="00DD014D"/>
    <w:rsid w:val="00DD0217"/>
    <w:rsid w:val="00DD0582"/>
    <w:rsid w:val="00DD0681"/>
    <w:rsid w:val="00DD095D"/>
    <w:rsid w:val="00DD0AC7"/>
    <w:rsid w:val="00DD0E3F"/>
    <w:rsid w:val="00DD0F77"/>
    <w:rsid w:val="00DD1014"/>
    <w:rsid w:val="00DD10E6"/>
    <w:rsid w:val="00DD13CC"/>
    <w:rsid w:val="00DD14A5"/>
    <w:rsid w:val="00DD157C"/>
    <w:rsid w:val="00DD167F"/>
    <w:rsid w:val="00DD1732"/>
    <w:rsid w:val="00DD1755"/>
    <w:rsid w:val="00DD178F"/>
    <w:rsid w:val="00DD1974"/>
    <w:rsid w:val="00DD1A54"/>
    <w:rsid w:val="00DD1A84"/>
    <w:rsid w:val="00DD1ACA"/>
    <w:rsid w:val="00DD1AE0"/>
    <w:rsid w:val="00DD1D17"/>
    <w:rsid w:val="00DD1ED5"/>
    <w:rsid w:val="00DD2310"/>
    <w:rsid w:val="00DD2457"/>
    <w:rsid w:val="00DD2863"/>
    <w:rsid w:val="00DD2871"/>
    <w:rsid w:val="00DD2934"/>
    <w:rsid w:val="00DD29FA"/>
    <w:rsid w:val="00DD2BC3"/>
    <w:rsid w:val="00DD2E75"/>
    <w:rsid w:val="00DD2F97"/>
    <w:rsid w:val="00DD3446"/>
    <w:rsid w:val="00DD3635"/>
    <w:rsid w:val="00DD375C"/>
    <w:rsid w:val="00DD3775"/>
    <w:rsid w:val="00DD3860"/>
    <w:rsid w:val="00DD3A12"/>
    <w:rsid w:val="00DD3BAB"/>
    <w:rsid w:val="00DD3C19"/>
    <w:rsid w:val="00DD3C7E"/>
    <w:rsid w:val="00DD3CAE"/>
    <w:rsid w:val="00DD3E70"/>
    <w:rsid w:val="00DD403F"/>
    <w:rsid w:val="00DD426D"/>
    <w:rsid w:val="00DD42B0"/>
    <w:rsid w:val="00DD4361"/>
    <w:rsid w:val="00DD442A"/>
    <w:rsid w:val="00DD4A86"/>
    <w:rsid w:val="00DD4F43"/>
    <w:rsid w:val="00DD4FFB"/>
    <w:rsid w:val="00DD50A9"/>
    <w:rsid w:val="00DD5173"/>
    <w:rsid w:val="00DD51F0"/>
    <w:rsid w:val="00DD52EC"/>
    <w:rsid w:val="00DD5332"/>
    <w:rsid w:val="00DD5475"/>
    <w:rsid w:val="00DD552F"/>
    <w:rsid w:val="00DD5710"/>
    <w:rsid w:val="00DD57CE"/>
    <w:rsid w:val="00DD5983"/>
    <w:rsid w:val="00DD5B05"/>
    <w:rsid w:val="00DD5B6A"/>
    <w:rsid w:val="00DD5B72"/>
    <w:rsid w:val="00DD5B97"/>
    <w:rsid w:val="00DD5CAD"/>
    <w:rsid w:val="00DD5CC9"/>
    <w:rsid w:val="00DD5CFA"/>
    <w:rsid w:val="00DD5DA3"/>
    <w:rsid w:val="00DD5F49"/>
    <w:rsid w:val="00DD61DA"/>
    <w:rsid w:val="00DD62E9"/>
    <w:rsid w:val="00DD6416"/>
    <w:rsid w:val="00DD659A"/>
    <w:rsid w:val="00DD67C8"/>
    <w:rsid w:val="00DD6850"/>
    <w:rsid w:val="00DD68C6"/>
    <w:rsid w:val="00DD6BCF"/>
    <w:rsid w:val="00DD6BE4"/>
    <w:rsid w:val="00DD6CEC"/>
    <w:rsid w:val="00DD6D0C"/>
    <w:rsid w:val="00DD71EE"/>
    <w:rsid w:val="00DD72AA"/>
    <w:rsid w:val="00DD748D"/>
    <w:rsid w:val="00DD7533"/>
    <w:rsid w:val="00DD7572"/>
    <w:rsid w:val="00DD75F7"/>
    <w:rsid w:val="00DD76CC"/>
    <w:rsid w:val="00DD777E"/>
    <w:rsid w:val="00DD7AD5"/>
    <w:rsid w:val="00DD7CBB"/>
    <w:rsid w:val="00DD7D73"/>
    <w:rsid w:val="00DD7DD1"/>
    <w:rsid w:val="00DD7DE0"/>
    <w:rsid w:val="00DD7F12"/>
    <w:rsid w:val="00DD7FDE"/>
    <w:rsid w:val="00DE0431"/>
    <w:rsid w:val="00DE072E"/>
    <w:rsid w:val="00DE07AC"/>
    <w:rsid w:val="00DE0C17"/>
    <w:rsid w:val="00DE0CC9"/>
    <w:rsid w:val="00DE0D8D"/>
    <w:rsid w:val="00DE0EB7"/>
    <w:rsid w:val="00DE0F71"/>
    <w:rsid w:val="00DE105C"/>
    <w:rsid w:val="00DE106F"/>
    <w:rsid w:val="00DE118A"/>
    <w:rsid w:val="00DE119D"/>
    <w:rsid w:val="00DE12B5"/>
    <w:rsid w:val="00DE14E1"/>
    <w:rsid w:val="00DE15D5"/>
    <w:rsid w:val="00DE17D1"/>
    <w:rsid w:val="00DE1894"/>
    <w:rsid w:val="00DE18D6"/>
    <w:rsid w:val="00DE194E"/>
    <w:rsid w:val="00DE198E"/>
    <w:rsid w:val="00DE1D10"/>
    <w:rsid w:val="00DE1F3D"/>
    <w:rsid w:val="00DE1FF6"/>
    <w:rsid w:val="00DE219B"/>
    <w:rsid w:val="00DE2463"/>
    <w:rsid w:val="00DE2492"/>
    <w:rsid w:val="00DE2918"/>
    <w:rsid w:val="00DE2934"/>
    <w:rsid w:val="00DE2C08"/>
    <w:rsid w:val="00DE2D13"/>
    <w:rsid w:val="00DE2F1D"/>
    <w:rsid w:val="00DE2F59"/>
    <w:rsid w:val="00DE2FAF"/>
    <w:rsid w:val="00DE3033"/>
    <w:rsid w:val="00DE320F"/>
    <w:rsid w:val="00DE32AB"/>
    <w:rsid w:val="00DE32CA"/>
    <w:rsid w:val="00DE33AC"/>
    <w:rsid w:val="00DE33CE"/>
    <w:rsid w:val="00DE3539"/>
    <w:rsid w:val="00DE3610"/>
    <w:rsid w:val="00DE38EB"/>
    <w:rsid w:val="00DE3944"/>
    <w:rsid w:val="00DE3A29"/>
    <w:rsid w:val="00DE3AE4"/>
    <w:rsid w:val="00DE3B5B"/>
    <w:rsid w:val="00DE3B8F"/>
    <w:rsid w:val="00DE3C7F"/>
    <w:rsid w:val="00DE3DDC"/>
    <w:rsid w:val="00DE3E49"/>
    <w:rsid w:val="00DE4312"/>
    <w:rsid w:val="00DE43F4"/>
    <w:rsid w:val="00DE4443"/>
    <w:rsid w:val="00DE44C9"/>
    <w:rsid w:val="00DE44E7"/>
    <w:rsid w:val="00DE468D"/>
    <w:rsid w:val="00DE4714"/>
    <w:rsid w:val="00DE4728"/>
    <w:rsid w:val="00DE4992"/>
    <w:rsid w:val="00DE49D1"/>
    <w:rsid w:val="00DE49D8"/>
    <w:rsid w:val="00DE49E9"/>
    <w:rsid w:val="00DE4BD3"/>
    <w:rsid w:val="00DE4C3D"/>
    <w:rsid w:val="00DE4E4C"/>
    <w:rsid w:val="00DE4EB2"/>
    <w:rsid w:val="00DE4EDD"/>
    <w:rsid w:val="00DE52EC"/>
    <w:rsid w:val="00DE53C1"/>
    <w:rsid w:val="00DE559E"/>
    <w:rsid w:val="00DE567E"/>
    <w:rsid w:val="00DE5736"/>
    <w:rsid w:val="00DE5742"/>
    <w:rsid w:val="00DE5767"/>
    <w:rsid w:val="00DE5911"/>
    <w:rsid w:val="00DE5926"/>
    <w:rsid w:val="00DE5CA1"/>
    <w:rsid w:val="00DE5CC8"/>
    <w:rsid w:val="00DE5DEE"/>
    <w:rsid w:val="00DE5ED3"/>
    <w:rsid w:val="00DE6009"/>
    <w:rsid w:val="00DE602E"/>
    <w:rsid w:val="00DE641C"/>
    <w:rsid w:val="00DE6601"/>
    <w:rsid w:val="00DE66BD"/>
    <w:rsid w:val="00DE680E"/>
    <w:rsid w:val="00DE6AC0"/>
    <w:rsid w:val="00DE6BA6"/>
    <w:rsid w:val="00DE6E3C"/>
    <w:rsid w:val="00DE7144"/>
    <w:rsid w:val="00DE71BF"/>
    <w:rsid w:val="00DE7212"/>
    <w:rsid w:val="00DE72DA"/>
    <w:rsid w:val="00DE73FA"/>
    <w:rsid w:val="00DE76C6"/>
    <w:rsid w:val="00DE76C9"/>
    <w:rsid w:val="00DE7814"/>
    <w:rsid w:val="00DE788C"/>
    <w:rsid w:val="00DE79E1"/>
    <w:rsid w:val="00DE7A9B"/>
    <w:rsid w:val="00DE7BDC"/>
    <w:rsid w:val="00DE7D66"/>
    <w:rsid w:val="00DF022B"/>
    <w:rsid w:val="00DF0301"/>
    <w:rsid w:val="00DF046D"/>
    <w:rsid w:val="00DF0704"/>
    <w:rsid w:val="00DF07C7"/>
    <w:rsid w:val="00DF0977"/>
    <w:rsid w:val="00DF099C"/>
    <w:rsid w:val="00DF0AD8"/>
    <w:rsid w:val="00DF0B63"/>
    <w:rsid w:val="00DF0EC3"/>
    <w:rsid w:val="00DF1098"/>
    <w:rsid w:val="00DF10F0"/>
    <w:rsid w:val="00DF11CE"/>
    <w:rsid w:val="00DF128B"/>
    <w:rsid w:val="00DF1589"/>
    <w:rsid w:val="00DF1854"/>
    <w:rsid w:val="00DF1868"/>
    <w:rsid w:val="00DF1935"/>
    <w:rsid w:val="00DF1C2D"/>
    <w:rsid w:val="00DF1D27"/>
    <w:rsid w:val="00DF1FAC"/>
    <w:rsid w:val="00DF20B0"/>
    <w:rsid w:val="00DF22EE"/>
    <w:rsid w:val="00DF238F"/>
    <w:rsid w:val="00DF2537"/>
    <w:rsid w:val="00DF2996"/>
    <w:rsid w:val="00DF2DB1"/>
    <w:rsid w:val="00DF2DC9"/>
    <w:rsid w:val="00DF2E1D"/>
    <w:rsid w:val="00DF302A"/>
    <w:rsid w:val="00DF3440"/>
    <w:rsid w:val="00DF351E"/>
    <w:rsid w:val="00DF3554"/>
    <w:rsid w:val="00DF36AA"/>
    <w:rsid w:val="00DF36E3"/>
    <w:rsid w:val="00DF3828"/>
    <w:rsid w:val="00DF3990"/>
    <w:rsid w:val="00DF3B00"/>
    <w:rsid w:val="00DF4038"/>
    <w:rsid w:val="00DF4337"/>
    <w:rsid w:val="00DF4516"/>
    <w:rsid w:val="00DF45DC"/>
    <w:rsid w:val="00DF46D2"/>
    <w:rsid w:val="00DF46F2"/>
    <w:rsid w:val="00DF47B6"/>
    <w:rsid w:val="00DF49E1"/>
    <w:rsid w:val="00DF4B3D"/>
    <w:rsid w:val="00DF4B85"/>
    <w:rsid w:val="00DF5021"/>
    <w:rsid w:val="00DF50AA"/>
    <w:rsid w:val="00DF5131"/>
    <w:rsid w:val="00DF52A2"/>
    <w:rsid w:val="00DF537B"/>
    <w:rsid w:val="00DF5461"/>
    <w:rsid w:val="00DF5654"/>
    <w:rsid w:val="00DF56BB"/>
    <w:rsid w:val="00DF57B8"/>
    <w:rsid w:val="00DF594D"/>
    <w:rsid w:val="00DF5A34"/>
    <w:rsid w:val="00DF5EF8"/>
    <w:rsid w:val="00DF5F1C"/>
    <w:rsid w:val="00DF5FD1"/>
    <w:rsid w:val="00DF6285"/>
    <w:rsid w:val="00DF6366"/>
    <w:rsid w:val="00DF684E"/>
    <w:rsid w:val="00DF688D"/>
    <w:rsid w:val="00DF6D90"/>
    <w:rsid w:val="00DF6E94"/>
    <w:rsid w:val="00DF6F33"/>
    <w:rsid w:val="00DF7120"/>
    <w:rsid w:val="00DF724A"/>
    <w:rsid w:val="00DF7255"/>
    <w:rsid w:val="00DF7277"/>
    <w:rsid w:val="00DF72AB"/>
    <w:rsid w:val="00DF7586"/>
    <w:rsid w:val="00DF7633"/>
    <w:rsid w:val="00DF7781"/>
    <w:rsid w:val="00DF77F9"/>
    <w:rsid w:val="00DF79E5"/>
    <w:rsid w:val="00DF7C32"/>
    <w:rsid w:val="00DF7DB3"/>
    <w:rsid w:val="00DF7E51"/>
    <w:rsid w:val="00DF7EB0"/>
    <w:rsid w:val="00E0027F"/>
    <w:rsid w:val="00E0043A"/>
    <w:rsid w:val="00E00733"/>
    <w:rsid w:val="00E00779"/>
    <w:rsid w:val="00E00B26"/>
    <w:rsid w:val="00E00CC4"/>
    <w:rsid w:val="00E01277"/>
    <w:rsid w:val="00E012E8"/>
    <w:rsid w:val="00E012ED"/>
    <w:rsid w:val="00E0137A"/>
    <w:rsid w:val="00E015C2"/>
    <w:rsid w:val="00E016EF"/>
    <w:rsid w:val="00E023F6"/>
    <w:rsid w:val="00E02405"/>
    <w:rsid w:val="00E02511"/>
    <w:rsid w:val="00E0257F"/>
    <w:rsid w:val="00E02705"/>
    <w:rsid w:val="00E02741"/>
    <w:rsid w:val="00E02856"/>
    <w:rsid w:val="00E02AD3"/>
    <w:rsid w:val="00E02B0F"/>
    <w:rsid w:val="00E02B24"/>
    <w:rsid w:val="00E02C5A"/>
    <w:rsid w:val="00E02CA0"/>
    <w:rsid w:val="00E02E3A"/>
    <w:rsid w:val="00E02EDA"/>
    <w:rsid w:val="00E0308E"/>
    <w:rsid w:val="00E03158"/>
    <w:rsid w:val="00E0345F"/>
    <w:rsid w:val="00E0365D"/>
    <w:rsid w:val="00E03812"/>
    <w:rsid w:val="00E03855"/>
    <w:rsid w:val="00E03931"/>
    <w:rsid w:val="00E03AB4"/>
    <w:rsid w:val="00E03AC0"/>
    <w:rsid w:val="00E04036"/>
    <w:rsid w:val="00E0405D"/>
    <w:rsid w:val="00E040E3"/>
    <w:rsid w:val="00E0438A"/>
    <w:rsid w:val="00E04451"/>
    <w:rsid w:val="00E045E8"/>
    <w:rsid w:val="00E0462C"/>
    <w:rsid w:val="00E0471F"/>
    <w:rsid w:val="00E047C0"/>
    <w:rsid w:val="00E04840"/>
    <w:rsid w:val="00E04902"/>
    <w:rsid w:val="00E04A62"/>
    <w:rsid w:val="00E04B3F"/>
    <w:rsid w:val="00E04C5D"/>
    <w:rsid w:val="00E04E49"/>
    <w:rsid w:val="00E04ECD"/>
    <w:rsid w:val="00E0542C"/>
    <w:rsid w:val="00E054E9"/>
    <w:rsid w:val="00E058E6"/>
    <w:rsid w:val="00E059F6"/>
    <w:rsid w:val="00E05B4E"/>
    <w:rsid w:val="00E05BE8"/>
    <w:rsid w:val="00E05D07"/>
    <w:rsid w:val="00E05DB0"/>
    <w:rsid w:val="00E05DBD"/>
    <w:rsid w:val="00E05EF2"/>
    <w:rsid w:val="00E06043"/>
    <w:rsid w:val="00E06066"/>
    <w:rsid w:val="00E06146"/>
    <w:rsid w:val="00E062CC"/>
    <w:rsid w:val="00E063AF"/>
    <w:rsid w:val="00E064B7"/>
    <w:rsid w:val="00E067CC"/>
    <w:rsid w:val="00E06907"/>
    <w:rsid w:val="00E06A9F"/>
    <w:rsid w:val="00E06E2A"/>
    <w:rsid w:val="00E06E2B"/>
    <w:rsid w:val="00E071DD"/>
    <w:rsid w:val="00E071FA"/>
    <w:rsid w:val="00E0734F"/>
    <w:rsid w:val="00E0746E"/>
    <w:rsid w:val="00E074F3"/>
    <w:rsid w:val="00E07815"/>
    <w:rsid w:val="00E078B2"/>
    <w:rsid w:val="00E07A18"/>
    <w:rsid w:val="00E07AE5"/>
    <w:rsid w:val="00E07B3A"/>
    <w:rsid w:val="00E07BED"/>
    <w:rsid w:val="00E07D4B"/>
    <w:rsid w:val="00E07FDF"/>
    <w:rsid w:val="00E10123"/>
    <w:rsid w:val="00E10367"/>
    <w:rsid w:val="00E10454"/>
    <w:rsid w:val="00E10506"/>
    <w:rsid w:val="00E10542"/>
    <w:rsid w:val="00E10552"/>
    <w:rsid w:val="00E10606"/>
    <w:rsid w:val="00E107D3"/>
    <w:rsid w:val="00E10962"/>
    <w:rsid w:val="00E10ED0"/>
    <w:rsid w:val="00E1101E"/>
    <w:rsid w:val="00E110FB"/>
    <w:rsid w:val="00E11200"/>
    <w:rsid w:val="00E112E8"/>
    <w:rsid w:val="00E112F0"/>
    <w:rsid w:val="00E114AD"/>
    <w:rsid w:val="00E1157B"/>
    <w:rsid w:val="00E116EA"/>
    <w:rsid w:val="00E11708"/>
    <w:rsid w:val="00E11732"/>
    <w:rsid w:val="00E11742"/>
    <w:rsid w:val="00E11806"/>
    <w:rsid w:val="00E11847"/>
    <w:rsid w:val="00E11B4D"/>
    <w:rsid w:val="00E11BFD"/>
    <w:rsid w:val="00E11D95"/>
    <w:rsid w:val="00E11F06"/>
    <w:rsid w:val="00E11F19"/>
    <w:rsid w:val="00E121B1"/>
    <w:rsid w:val="00E122B1"/>
    <w:rsid w:val="00E12938"/>
    <w:rsid w:val="00E12A76"/>
    <w:rsid w:val="00E12AEA"/>
    <w:rsid w:val="00E12F66"/>
    <w:rsid w:val="00E1300F"/>
    <w:rsid w:val="00E13209"/>
    <w:rsid w:val="00E13271"/>
    <w:rsid w:val="00E133EF"/>
    <w:rsid w:val="00E13525"/>
    <w:rsid w:val="00E135A9"/>
    <w:rsid w:val="00E1360B"/>
    <w:rsid w:val="00E1387F"/>
    <w:rsid w:val="00E13A89"/>
    <w:rsid w:val="00E13FD3"/>
    <w:rsid w:val="00E140C9"/>
    <w:rsid w:val="00E1467D"/>
    <w:rsid w:val="00E147FB"/>
    <w:rsid w:val="00E14A71"/>
    <w:rsid w:val="00E14CB8"/>
    <w:rsid w:val="00E14D33"/>
    <w:rsid w:val="00E14FC4"/>
    <w:rsid w:val="00E14FE0"/>
    <w:rsid w:val="00E15338"/>
    <w:rsid w:val="00E15383"/>
    <w:rsid w:val="00E15389"/>
    <w:rsid w:val="00E153DF"/>
    <w:rsid w:val="00E1545B"/>
    <w:rsid w:val="00E1569D"/>
    <w:rsid w:val="00E15B25"/>
    <w:rsid w:val="00E15C3B"/>
    <w:rsid w:val="00E15CCC"/>
    <w:rsid w:val="00E15DCF"/>
    <w:rsid w:val="00E15EF2"/>
    <w:rsid w:val="00E161EE"/>
    <w:rsid w:val="00E1624D"/>
    <w:rsid w:val="00E16253"/>
    <w:rsid w:val="00E16257"/>
    <w:rsid w:val="00E16265"/>
    <w:rsid w:val="00E16268"/>
    <w:rsid w:val="00E1645A"/>
    <w:rsid w:val="00E164BC"/>
    <w:rsid w:val="00E1657B"/>
    <w:rsid w:val="00E1674C"/>
    <w:rsid w:val="00E16774"/>
    <w:rsid w:val="00E16817"/>
    <w:rsid w:val="00E16823"/>
    <w:rsid w:val="00E169D6"/>
    <w:rsid w:val="00E169F8"/>
    <w:rsid w:val="00E16AD0"/>
    <w:rsid w:val="00E16B0F"/>
    <w:rsid w:val="00E16D72"/>
    <w:rsid w:val="00E16F3B"/>
    <w:rsid w:val="00E16F8D"/>
    <w:rsid w:val="00E17327"/>
    <w:rsid w:val="00E1734B"/>
    <w:rsid w:val="00E1746D"/>
    <w:rsid w:val="00E176DF"/>
    <w:rsid w:val="00E177EF"/>
    <w:rsid w:val="00E17803"/>
    <w:rsid w:val="00E17A7A"/>
    <w:rsid w:val="00E17E6A"/>
    <w:rsid w:val="00E2006E"/>
    <w:rsid w:val="00E200CD"/>
    <w:rsid w:val="00E20134"/>
    <w:rsid w:val="00E2017C"/>
    <w:rsid w:val="00E202DA"/>
    <w:rsid w:val="00E204B7"/>
    <w:rsid w:val="00E204F4"/>
    <w:rsid w:val="00E20626"/>
    <w:rsid w:val="00E20885"/>
    <w:rsid w:val="00E20975"/>
    <w:rsid w:val="00E20A25"/>
    <w:rsid w:val="00E20B31"/>
    <w:rsid w:val="00E20B61"/>
    <w:rsid w:val="00E210BB"/>
    <w:rsid w:val="00E21287"/>
    <w:rsid w:val="00E21353"/>
    <w:rsid w:val="00E2174F"/>
    <w:rsid w:val="00E217C6"/>
    <w:rsid w:val="00E219CC"/>
    <w:rsid w:val="00E21B0E"/>
    <w:rsid w:val="00E21BD6"/>
    <w:rsid w:val="00E21D0B"/>
    <w:rsid w:val="00E21DB8"/>
    <w:rsid w:val="00E21ED5"/>
    <w:rsid w:val="00E21F64"/>
    <w:rsid w:val="00E22323"/>
    <w:rsid w:val="00E22531"/>
    <w:rsid w:val="00E2275D"/>
    <w:rsid w:val="00E227CE"/>
    <w:rsid w:val="00E228E5"/>
    <w:rsid w:val="00E229AC"/>
    <w:rsid w:val="00E229B6"/>
    <w:rsid w:val="00E22AE5"/>
    <w:rsid w:val="00E22C6D"/>
    <w:rsid w:val="00E22F8F"/>
    <w:rsid w:val="00E231C5"/>
    <w:rsid w:val="00E232BE"/>
    <w:rsid w:val="00E232E9"/>
    <w:rsid w:val="00E23587"/>
    <w:rsid w:val="00E235CB"/>
    <w:rsid w:val="00E23671"/>
    <w:rsid w:val="00E236D2"/>
    <w:rsid w:val="00E237DE"/>
    <w:rsid w:val="00E23910"/>
    <w:rsid w:val="00E239E5"/>
    <w:rsid w:val="00E23A80"/>
    <w:rsid w:val="00E23AB6"/>
    <w:rsid w:val="00E23ECA"/>
    <w:rsid w:val="00E24258"/>
    <w:rsid w:val="00E24703"/>
    <w:rsid w:val="00E2481F"/>
    <w:rsid w:val="00E248E5"/>
    <w:rsid w:val="00E24CB7"/>
    <w:rsid w:val="00E251F1"/>
    <w:rsid w:val="00E252B9"/>
    <w:rsid w:val="00E25336"/>
    <w:rsid w:val="00E25375"/>
    <w:rsid w:val="00E25411"/>
    <w:rsid w:val="00E25413"/>
    <w:rsid w:val="00E25579"/>
    <w:rsid w:val="00E256FC"/>
    <w:rsid w:val="00E2583B"/>
    <w:rsid w:val="00E25875"/>
    <w:rsid w:val="00E25930"/>
    <w:rsid w:val="00E2599A"/>
    <w:rsid w:val="00E25A3C"/>
    <w:rsid w:val="00E25B62"/>
    <w:rsid w:val="00E25C49"/>
    <w:rsid w:val="00E25C4F"/>
    <w:rsid w:val="00E260D6"/>
    <w:rsid w:val="00E26106"/>
    <w:rsid w:val="00E26150"/>
    <w:rsid w:val="00E263B1"/>
    <w:rsid w:val="00E2654C"/>
    <w:rsid w:val="00E26689"/>
    <w:rsid w:val="00E2669B"/>
    <w:rsid w:val="00E266EC"/>
    <w:rsid w:val="00E26717"/>
    <w:rsid w:val="00E26A3D"/>
    <w:rsid w:val="00E26AD7"/>
    <w:rsid w:val="00E26B43"/>
    <w:rsid w:val="00E26D72"/>
    <w:rsid w:val="00E26D90"/>
    <w:rsid w:val="00E27126"/>
    <w:rsid w:val="00E27503"/>
    <w:rsid w:val="00E2793A"/>
    <w:rsid w:val="00E27CBA"/>
    <w:rsid w:val="00E27CD7"/>
    <w:rsid w:val="00E27D8E"/>
    <w:rsid w:val="00E27E0E"/>
    <w:rsid w:val="00E27F2A"/>
    <w:rsid w:val="00E27F8F"/>
    <w:rsid w:val="00E30099"/>
    <w:rsid w:val="00E3034D"/>
    <w:rsid w:val="00E3038D"/>
    <w:rsid w:val="00E303F7"/>
    <w:rsid w:val="00E30421"/>
    <w:rsid w:val="00E30606"/>
    <w:rsid w:val="00E3097C"/>
    <w:rsid w:val="00E30B22"/>
    <w:rsid w:val="00E30B81"/>
    <w:rsid w:val="00E30BC5"/>
    <w:rsid w:val="00E30F12"/>
    <w:rsid w:val="00E31025"/>
    <w:rsid w:val="00E31026"/>
    <w:rsid w:val="00E3134E"/>
    <w:rsid w:val="00E313E9"/>
    <w:rsid w:val="00E314A3"/>
    <w:rsid w:val="00E3179E"/>
    <w:rsid w:val="00E3184A"/>
    <w:rsid w:val="00E31B3C"/>
    <w:rsid w:val="00E31CDC"/>
    <w:rsid w:val="00E31EC6"/>
    <w:rsid w:val="00E31F27"/>
    <w:rsid w:val="00E321A1"/>
    <w:rsid w:val="00E32304"/>
    <w:rsid w:val="00E3235D"/>
    <w:rsid w:val="00E32374"/>
    <w:rsid w:val="00E323D0"/>
    <w:rsid w:val="00E32439"/>
    <w:rsid w:val="00E324AE"/>
    <w:rsid w:val="00E3256D"/>
    <w:rsid w:val="00E328EB"/>
    <w:rsid w:val="00E32AAF"/>
    <w:rsid w:val="00E32D04"/>
    <w:rsid w:val="00E32DB6"/>
    <w:rsid w:val="00E32E08"/>
    <w:rsid w:val="00E32EE7"/>
    <w:rsid w:val="00E3304E"/>
    <w:rsid w:val="00E331FF"/>
    <w:rsid w:val="00E33227"/>
    <w:rsid w:val="00E33277"/>
    <w:rsid w:val="00E334F9"/>
    <w:rsid w:val="00E33564"/>
    <w:rsid w:val="00E3356B"/>
    <w:rsid w:val="00E335F5"/>
    <w:rsid w:val="00E336FD"/>
    <w:rsid w:val="00E33726"/>
    <w:rsid w:val="00E33F51"/>
    <w:rsid w:val="00E34085"/>
    <w:rsid w:val="00E3413E"/>
    <w:rsid w:val="00E341B0"/>
    <w:rsid w:val="00E343F8"/>
    <w:rsid w:val="00E34A10"/>
    <w:rsid w:val="00E34E31"/>
    <w:rsid w:val="00E35016"/>
    <w:rsid w:val="00E35110"/>
    <w:rsid w:val="00E351D9"/>
    <w:rsid w:val="00E3532D"/>
    <w:rsid w:val="00E353B3"/>
    <w:rsid w:val="00E35427"/>
    <w:rsid w:val="00E35A2A"/>
    <w:rsid w:val="00E35B31"/>
    <w:rsid w:val="00E35BC2"/>
    <w:rsid w:val="00E35C0F"/>
    <w:rsid w:val="00E35CDA"/>
    <w:rsid w:val="00E361F0"/>
    <w:rsid w:val="00E36458"/>
    <w:rsid w:val="00E36788"/>
    <w:rsid w:val="00E36B09"/>
    <w:rsid w:val="00E36BA0"/>
    <w:rsid w:val="00E36D12"/>
    <w:rsid w:val="00E37005"/>
    <w:rsid w:val="00E3734A"/>
    <w:rsid w:val="00E37369"/>
    <w:rsid w:val="00E375E6"/>
    <w:rsid w:val="00E375EA"/>
    <w:rsid w:val="00E379C0"/>
    <w:rsid w:val="00E37AB1"/>
    <w:rsid w:val="00E37B1C"/>
    <w:rsid w:val="00E37D5E"/>
    <w:rsid w:val="00E37F0F"/>
    <w:rsid w:val="00E37F19"/>
    <w:rsid w:val="00E4039D"/>
    <w:rsid w:val="00E40453"/>
    <w:rsid w:val="00E404CE"/>
    <w:rsid w:val="00E4053A"/>
    <w:rsid w:val="00E409AF"/>
    <w:rsid w:val="00E40A37"/>
    <w:rsid w:val="00E40CC3"/>
    <w:rsid w:val="00E40EBC"/>
    <w:rsid w:val="00E40F4D"/>
    <w:rsid w:val="00E411F7"/>
    <w:rsid w:val="00E4130A"/>
    <w:rsid w:val="00E41373"/>
    <w:rsid w:val="00E4144C"/>
    <w:rsid w:val="00E41663"/>
    <w:rsid w:val="00E416C0"/>
    <w:rsid w:val="00E418BB"/>
    <w:rsid w:val="00E41979"/>
    <w:rsid w:val="00E419D9"/>
    <w:rsid w:val="00E41B92"/>
    <w:rsid w:val="00E422B0"/>
    <w:rsid w:val="00E422B4"/>
    <w:rsid w:val="00E42434"/>
    <w:rsid w:val="00E42530"/>
    <w:rsid w:val="00E42547"/>
    <w:rsid w:val="00E425EF"/>
    <w:rsid w:val="00E42794"/>
    <w:rsid w:val="00E42B88"/>
    <w:rsid w:val="00E42C26"/>
    <w:rsid w:val="00E42CA0"/>
    <w:rsid w:val="00E42DE1"/>
    <w:rsid w:val="00E42F20"/>
    <w:rsid w:val="00E43037"/>
    <w:rsid w:val="00E4305B"/>
    <w:rsid w:val="00E4347B"/>
    <w:rsid w:val="00E4367D"/>
    <w:rsid w:val="00E4381F"/>
    <w:rsid w:val="00E43A86"/>
    <w:rsid w:val="00E43B7F"/>
    <w:rsid w:val="00E43C12"/>
    <w:rsid w:val="00E43D4E"/>
    <w:rsid w:val="00E44010"/>
    <w:rsid w:val="00E4426E"/>
    <w:rsid w:val="00E445D7"/>
    <w:rsid w:val="00E44785"/>
    <w:rsid w:val="00E449D8"/>
    <w:rsid w:val="00E44C29"/>
    <w:rsid w:val="00E44CC6"/>
    <w:rsid w:val="00E44D10"/>
    <w:rsid w:val="00E44D47"/>
    <w:rsid w:val="00E44F22"/>
    <w:rsid w:val="00E4520C"/>
    <w:rsid w:val="00E45589"/>
    <w:rsid w:val="00E45C3A"/>
    <w:rsid w:val="00E45FF4"/>
    <w:rsid w:val="00E4619A"/>
    <w:rsid w:val="00E46431"/>
    <w:rsid w:val="00E464CA"/>
    <w:rsid w:val="00E465D3"/>
    <w:rsid w:val="00E466BF"/>
    <w:rsid w:val="00E4689E"/>
    <w:rsid w:val="00E46A24"/>
    <w:rsid w:val="00E46AD3"/>
    <w:rsid w:val="00E46D05"/>
    <w:rsid w:val="00E472C2"/>
    <w:rsid w:val="00E47787"/>
    <w:rsid w:val="00E4789D"/>
    <w:rsid w:val="00E47B57"/>
    <w:rsid w:val="00E47C09"/>
    <w:rsid w:val="00E47CA1"/>
    <w:rsid w:val="00E47E1F"/>
    <w:rsid w:val="00E47FA0"/>
    <w:rsid w:val="00E5038C"/>
    <w:rsid w:val="00E50502"/>
    <w:rsid w:val="00E5059E"/>
    <w:rsid w:val="00E50760"/>
    <w:rsid w:val="00E507CE"/>
    <w:rsid w:val="00E50B1A"/>
    <w:rsid w:val="00E50BDF"/>
    <w:rsid w:val="00E50E64"/>
    <w:rsid w:val="00E50E84"/>
    <w:rsid w:val="00E50F8D"/>
    <w:rsid w:val="00E50FC0"/>
    <w:rsid w:val="00E510DC"/>
    <w:rsid w:val="00E51734"/>
    <w:rsid w:val="00E517EE"/>
    <w:rsid w:val="00E518DA"/>
    <w:rsid w:val="00E51A29"/>
    <w:rsid w:val="00E51CCE"/>
    <w:rsid w:val="00E51D82"/>
    <w:rsid w:val="00E51DFD"/>
    <w:rsid w:val="00E51FFC"/>
    <w:rsid w:val="00E52064"/>
    <w:rsid w:val="00E52252"/>
    <w:rsid w:val="00E5233F"/>
    <w:rsid w:val="00E5259E"/>
    <w:rsid w:val="00E525A4"/>
    <w:rsid w:val="00E525EA"/>
    <w:rsid w:val="00E527F5"/>
    <w:rsid w:val="00E527FE"/>
    <w:rsid w:val="00E5289E"/>
    <w:rsid w:val="00E528CA"/>
    <w:rsid w:val="00E52BD7"/>
    <w:rsid w:val="00E52CB9"/>
    <w:rsid w:val="00E53092"/>
    <w:rsid w:val="00E5319B"/>
    <w:rsid w:val="00E53247"/>
    <w:rsid w:val="00E5330A"/>
    <w:rsid w:val="00E535DA"/>
    <w:rsid w:val="00E53648"/>
    <w:rsid w:val="00E53AE3"/>
    <w:rsid w:val="00E53C4B"/>
    <w:rsid w:val="00E53D07"/>
    <w:rsid w:val="00E53F50"/>
    <w:rsid w:val="00E542EB"/>
    <w:rsid w:val="00E5439A"/>
    <w:rsid w:val="00E54436"/>
    <w:rsid w:val="00E5491D"/>
    <w:rsid w:val="00E54CD0"/>
    <w:rsid w:val="00E54D46"/>
    <w:rsid w:val="00E54F36"/>
    <w:rsid w:val="00E551C9"/>
    <w:rsid w:val="00E553A8"/>
    <w:rsid w:val="00E553CB"/>
    <w:rsid w:val="00E553D0"/>
    <w:rsid w:val="00E553DC"/>
    <w:rsid w:val="00E5542E"/>
    <w:rsid w:val="00E5549D"/>
    <w:rsid w:val="00E55974"/>
    <w:rsid w:val="00E55B1D"/>
    <w:rsid w:val="00E55B1E"/>
    <w:rsid w:val="00E55B7A"/>
    <w:rsid w:val="00E55D65"/>
    <w:rsid w:val="00E55D7D"/>
    <w:rsid w:val="00E56054"/>
    <w:rsid w:val="00E56202"/>
    <w:rsid w:val="00E56288"/>
    <w:rsid w:val="00E56610"/>
    <w:rsid w:val="00E5680B"/>
    <w:rsid w:val="00E568F8"/>
    <w:rsid w:val="00E56A91"/>
    <w:rsid w:val="00E56C53"/>
    <w:rsid w:val="00E56DFD"/>
    <w:rsid w:val="00E56EE9"/>
    <w:rsid w:val="00E56F54"/>
    <w:rsid w:val="00E56F5A"/>
    <w:rsid w:val="00E57048"/>
    <w:rsid w:val="00E570FC"/>
    <w:rsid w:val="00E5722B"/>
    <w:rsid w:val="00E572F4"/>
    <w:rsid w:val="00E57323"/>
    <w:rsid w:val="00E574DC"/>
    <w:rsid w:val="00E57667"/>
    <w:rsid w:val="00E5785D"/>
    <w:rsid w:val="00E578EE"/>
    <w:rsid w:val="00E57917"/>
    <w:rsid w:val="00E5795D"/>
    <w:rsid w:val="00E57F19"/>
    <w:rsid w:val="00E57FA8"/>
    <w:rsid w:val="00E6048B"/>
    <w:rsid w:val="00E604F2"/>
    <w:rsid w:val="00E60505"/>
    <w:rsid w:val="00E60840"/>
    <w:rsid w:val="00E608F1"/>
    <w:rsid w:val="00E609C5"/>
    <w:rsid w:val="00E60CDC"/>
    <w:rsid w:val="00E60D81"/>
    <w:rsid w:val="00E60E65"/>
    <w:rsid w:val="00E60F05"/>
    <w:rsid w:val="00E61035"/>
    <w:rsid w:val="00E61129"/>
    <w:rsid w:val="00E618DD"/>
    <w:rsid w:val="00E618FC"/>
    <w:rsid w:val="00E61A33"/>
    <w:rsid w:val="00E61A69"/>
    <w:rsid w:val="00E61A82"/>
    <w:rsid w:val="00E61B6E"/>
    <w:rsid w:val="00E61C09"/>
    <w:rsid w:val="00E61F58"/>
    <w:rsid w:val="00E626D6"/>
    <w:rsid w:val="00E62800"/>
    <w:rsid w:val="00E629F9"/>
    <w:rsid w:val="00E62B3E"/>
    <w:rsid w:val="00E62B7C"/>
    <w:rsid w:val="00E62ED7"/>
    <w:rsid w:val="00E63AD6"/>
    <w:rsid w:val="00E63B7A"/>
    <w:rsid w:val="00E63D43"/>
    <w:rsid w:val="00E63DCE"/>
    <w:rsid w:val="00E64095"/>
    <w:rsid w:val="00E64204"/>
    <w:rsid w:val="00E644AB"/>
    <w:rsid w:val="00E645D6"/>
    <w:rsid w:val="00E64619"/>
    <w:rsid w:val="00E648EB"/>
    <w:rsid w:val="00E6497D"/>
    <w:rsid w:val="00E64ADB"/>
    <w:rsid w:val="00E64CFC"/>
    <w:rsid w:val="00E64E0D"/>
    <w:rsid w:val="00E6502C"/>
    <w:rsid w:val="00E65048"/>
    <w:rsid w:val="00E652CB"/>
    <w:rsid w:val="00E652F9"/>
    <w:rsid w:val="00E657CE"/>
    <w:rsid w:val="00E65847"/>
    <w:rsid w:val="00E65935"/>
    <w:rsid w:val="00E65A34"/>
    <w:rsid w:val="00E65C6B"/>
    <w:rsid w:val="00E65E10"/>
    <w:rsid w:val="00E65E19"/>
    <w:rsid w:val="00E65F52"/>
    <w:rsid w:val="00E6611B"/>
    <w:rsid w:val="00E6624C"/>
    <w:rsid w:val="00E6634B"/>
    <w:rsid w:val="00E664CD"/>
    <w:rsid w:val="00E66DB9"/>
    <w:rsid w:val="00E66E31"/>
    <w:rsid w:val="00E670AF"/>
    <w:rsid w:val="00E67148"/>
    <w:rsid w:val="00E67293"/>
    <w:rsid w:val="00E67353"/>
    <w:rsid w:val="00E6735E"/>
    <w:rsid w:val="00E677C2"/>
    <w:rsid w:val="00E67890"/>
    <w:rsid w:val="00E67A3E"/>
    <w:rsid w:val="00E67B75"/>
    <w:rsid w:val="00E67D39"/>
    <w:rsid w:val="00E701D3"/>
    <w:rsid w:val="00E7054B"/>
    <w:rsid w:val="00E70791"/>
    <w:rsid w:val="00E709E5"/>
    <w:rsid w:val="00E70AC0"/>
    <w:rsid w:val="00E70BFB"/>
    <w:rsid w:val="00E70D41"/>
    <w:rsid w:val="00E70DD5"/>
    <w:rsid w:val="00E70DFD"/>
    <w:rsid w:val="00E71016"/>
    <w:rsid w:val="00E71059"/>
    <w:rsid w:val="00E7159B"/>
    <w:rsid w:val="00E7163E"/>
    <w:rsid w:val="00E7166A"/>
    <w:rsid w:val="00E716AA"/>
    <w:rsid w:val="00E716FB"/>
    <w:rsid w:val="00E71B33"/>
    <w:rsid w:val="00E71BE3"/>
    <w:rsid w:val="00E71E97"/>
    <w:rsid w:val="00E72013"/>
    <w:rsid w:val="00E72898"/>
    <w:rsid w:val="00E729C5"/>
    <w:rsid w:val="00E72A13"/>
    <w:rsid w:val="00E72B4B"/>
    <w:rsid w:val="00E72B9F"/>
    <w:rsid w:val="00E72BAE"/>
    <w:rsid w:val="00E72FFF"/>
    <w:rsid w:val="00E7305E"/>
    <w:rsid w:val="00E73143"/>
    <w:rsid w:val="00E731E0"/>
    <w:rsid w:val="00E73228"/>
    <w:rsid w:val="00E7326A"/>
    <w:rsid w:val="00E73392"/>
    <w:rsid w:val="00E734AD"/>
    <w:rsid w:val="00E734B7"/>
    <w:rsid w:val="00E736EA"/>
    <w:rsid w:val="00E73766"/>
    <w:rsid w:val="00E737AB"/>
    <w:rsid w:val="00E73937"/>
    <w:rsid w:val="00E73CED"/>
    <w:rsid w:val="00E74918"/>
    <w:rsid w:val="00E74981"/>
    <w:rsid w:val="00E74AC4"/>
    <w:rsid w:val="00E74DC7"/>
    <w:rsid w:val="00E74E67"/>
    <w:rsid w:val="00E74EA5"/>
    <w:rsid w:val="00E74ED8"/>
    <w:rsid w:val="00E750EE"/>
    <w:rsid w:val="00E752F3"/>
    <w:rsid w:val="00E7545A"/>
    <w:rsid w:val="00E754F2"/>
    <w:rsid w:val="00E758B9"/>
    <w:rsid w:val="00E759B3"/>
    <w:rsid w:val="00E75ABA"/>
    <w:rsid w:val="00E75BE7"/>
    <w:rsid w:val="00E75FA3"/>
    <w:rsid w:val="00E762AC"/>
    <w:rsid w:val="00E76334"/>
    <w:rsid w:val="00E76629"/>
    <w:rsid w:val="00E768B9"/>
    <w:rsid w:val="00E769F5"/>
    <w:rsid w:val="00E76D81"/>
    <w:rsid w:val="00E76F4E"/>
    <w:rsid w:val="00E76FE8"/>
    <w:rsid w:val="00E77034"/>
    <w:rsid w:val="00E770ED"/>
    <w:rsid w:val="00E77157"/>
    <w:rsid w:val="00E771D9"/>
    <w:rsid w:val="00E77276"/>
    <w:rsid w:val="00E77A70"/>
    <w:rsid w:val="00E77AC3"/>
    <w:rsid w:val="00E77EB2"/>
    <w:rsid w:val="00E77FBA"/>
    <w:rsid w:val="00E80127"/>
    <w:rsid w:val="00E803EF"/>
    <w:rsid w:val="00E80BED"/>
    <w:rsid w:val="00E80D6D"/>
    <w:rsid w:val="00E80D95"/>
    <w:rsid w:val="00E80E6F"/>
    <w:rsid w:val="00E810E5"/>
    <w:rsid w:val="00E81522"/>
    <w:rsid w:val="00E816C1"/>
    <w:rsid w:val="00E8195E"/>
    <w:rsid w:val="00E8199A"/>
    <w:rsid w:val="00E81DF7"/>
    <w:rsid w:val="00E82035"/>
    <w:rsid w:val="00E820A6"/>
    <w:rsid w:val="00E82425"/>
    <w:rsid w:val="00E8255A"/>
    <w:rsid w:val="00E82634"/>
    <w:rsid w:val="00E8264B"/>
    <w:rsid w:val="00E82806"/>
    <w:rsid w:val="00E828CC"/>
    <w:rsid w:val="00E8296C"/>
    <w:rsid w:val="00E8297D"/>
    <w:rsid w:val="00E82A4B"/>
    <w:rsid w:val="00E82C4A"/>
    <w:rsid w:val="00E82E1B"/>
    <w:rsid w:val="00E82E93"/>
    <w:rsid w:val="00E82FB8"/>
    <w:rsid w:val="00E830E0"/>
    <w:rsid w:val="00E831A8"/>
    <w:rsid w:val="00E83217"/>
    <w:rsid w:val="00E83230"/>
    <w:rsid w:val="00E8331E"/>
    <w:rsid w:val="00E83744"/>
    <w:rsid w:val="00E837B0"/>
    <w:rsid w:val="00E837CD"/>
    <w:rsid w:val="00E8383C"/>
    <w:rsid w:val="00E83BB3"/>
    <w:rsid w:val="00E83FA5"/>
    <w:rsid w:val="00E8423B"/>
    <w:rsid w:val="00E8423D"/>
    <w:rsid w:val="00E84675"/>
    <w:rsid w:val="00E849A0"/>
    <w:rsid w:val="00E84D0D"/>
    <w:rsid w:val="00E84E18"/>
    <w:rsid w:val="00E84ED1"/>
    <w:rsid w:val="00E84FC7"/>
    <w:rsid w:val="00E85295"/>
    <w:rsid w:val="00E853E2"/>
    <w:rsid w:val="00E854EC"/>
    <w:rsid w:val="00E855FF"/>
    <w:rsid w:val="00E85DAC"/>
    <w:rsid w:val="00E86215"/>
    <w:rsid w:val="00E862B9"/>
    <w:rsid w:val="00E86367"/>
    <w:rsid w:val="00E866CD"/>
    <w:rsid w:val="00E868E2"/>
    <w:rsid w:val="00E86990"/>
    <w:rsid w:val="00E86FC0"/>
    <w:rsid w:val="00E8717F"/>
    <w:rsid w:val="00E87292"/>
    <w:rsid w:val="00E872FA"/>
    <w:rsid w:val="00E877B1"/>
    <w:rsid w:val="00E879A4"/>
    <w:rsid w:val="00E879D0"/>
    <w:rsid w:val="00E879D5"/>
    <w:rsid w:val="00E87CFF"/>
    <w:rsid w:val="00E87D12"/>
    <w:rsid w:val="00E87D5E"/>
    <w:rsid w:val="00E90696"/>
    <w:rsid w:val="00E908CF"/>
    <w:rsid w:val="00E90923"/>
    <w:rsid w:val="00E90A5D"/>
    <w:rsid w:val="00E90AA0"/>
    <w:rsid w:val="00E90AFB"/>
    <w:rsid w:val="00E90B75"/>
    <w:rsid w:val="00E90BB2"/>
    <w:rsid w:val="00E90C36"/>
    <w:rsid w:val="00E90D26"/>
    <w:rsid w:val="00E91155"/>
    <w:rsid w:val="00E91360"/>
    <w:rsid w:val="00E91503"/>
    <w:rsid w:val="00E9156C"/>
    <w:rsid w:val="00E91626"/>
    <w:rsid w:val="00E91A18"/>
    <w:rsid w:val="00E91A75"/>
    <w:rsid w:val="00E91B54"/>
    <w:rsid w:val="00E91CD6"/>
    <w:rsid w:val="00E91E14"/>
    <w:rsid w:val="00E91E17"/>
    <w:rsid w:val="00E922B8"/>
    <w:rsid w:val="00E922BB"/>
    <w:rsid w:val="00E922F2"/>
    <w:rsid w:val="00E92343"/>
    <w:rsid w:val="00E92471"/>
    <w:rsid w:val="00E92617"/>
    <w:rsid w:val="00E92652"/>
    <w:rsid w:val="00E928BC"/>
    <w:rsid w:val="00E928F9"/>
    <w:rsid w:val="00E929CF"/>
    <w:rsid w:val="00E92AF9"/>
    <w:rsid w:val="00E92B52"/>
    <w:rsid w:val="00E92B82"/>
    <w:rsid w:val="00E9323B"/>
    <w:rsid w:val="00E936F2"/>
    <w:rsid w:val="00E9390F"/>
    <w:rsid w:val="00E93A30"/>
    <w:rsid w:val="00E93B67"/>
    <w:rsid w:val="00E93C54"/>
    <w:rsid w:val="00E94990"/>
    <w:rsid w:val="00E94AD7"/>
    <w:rsid w:val="00E94C15"/>
    <w:rsid w:val="00E94E2A"/>
    <w:rsid w:val="00E94FC1"/>
    <w:rsid w:val="00E950FD"/>
    <w:rsid w:val="00E95146"/>
    <w:rsid w:val="00E9525B"/>
    <w:rsid w:val="00E952FE"/>
    <w:rsid w:val="00E956B6"/>
    <w:rsid w:val="00E957EC"/>
    <w:rsid w:val="00E95A40"/>
    <w:rsid w:val="00E95A53"/>
    <w:rsid w:val="00E95B92"/>
    <w:rsid w:val="00E95D6E"/>
    <w:rsid w:val="00E95D74"/>
    <w:rsid w:val="00E95D9B"/>
    <w:rsid w:val="00E95DA7"/>
    <w:rsid w:val="00E95E31"/>
    <w:rsid w:val="00E95F7F"/>
    <w:rsid w:val="00E96132"/>
    <w:rsid w:val="00E961CE"/>
    <w:rsid w:val="00E9627D"/>
    <w:rsid w:val="00E96566"/>
    <w:rsid w:val="00E96940"/>
    <w:rsid w:val="00E96A54"/>
    <w:rsid w:val="00E96A70"/>
    <w:rsid w:val="00E96A9E"/>
    <w:rsid w:val="00E96CAD"/>
    <w:rsid w:val="00E96FB5"/>
    <w:rsid w:val="00E9704C"/>
    <w:rsid w:val="00E97152"/>
    <w:rsid w:val="00E971D9"/>
    <w:rsid w:val="00E972A6"/>
    <w:rsid w:val="00E97394"/>
    <w:rsid w:val="00E973FC"/>
    <w:rsid w:val="00E9751A"/>
    <w:rsid w:val="00E9755B"/>
    <w:rsid w:val="00E97567"/>
    <w:rsid w:val="00E97689"/>
    <w:rsid w:val="00E97853"/>
    <w:rsid w:val="00E97AC8"/>
    <w:rsid w:val="00E97B44"/>
    <w:rsid w:val="00E97E48"/>
    <w:rsid w:val="00E97EDD"/>
    <w:rsid w:val="00EA0495"/>
    <w:rsid w:val="00EA04A9"/>
    <w:rsid w:val="00EA0761"/>
    <w:rsid w:val="00EA092D"/>
    <w:rsid w:val="00EA0A6D"/>
    <w:rsid w:val="00EA0AE8"/>
    <w:rsid w:val="00EA0AEF"/>
    <w:rsid w:val="00EA0C06"/>
    <w:rsid w:val="00EA0C33"/>
    <w:rsid w:val="00EA0D27"/>
    <w:rsid w:val="00EA1210"/>
    <w:rsid w:val="00EA1519"/>
    <w:rsid w:val="00EA15C7"/>
    <w:rsid w:val="00EA1635"/>
    <w:rsid w:val="00EA1724"/>
    <w:rsid w:val="00EA1807"/>
    <w:rsid w:val="00EA18B3"/>
    <w:rsid w:val="00EA18ED"/>
    <w:rsid w:val="00EA1932"/>
    <w:rsid w:val="00EA1A8B"/>
    <w:rsid w:val="00EA1BAA"/>
    <w:rsid w:val="00EA1C62"/>
    <w:rsid w:val="00EA1D10"/>
    <w:rsid w:val="00EA1D14"/>
    <w:rsid w:val="00EA1D4E"/>
    <w:rsid w:val="00EA213E"/>
    <w:rsid w:val="00EA2269"/>
    <w:rsid w:val="00EA22B9"/>
    <w:rsid w:val="00EA2335"/>
    <w:rsid w:val="00EA2352"/>
    <w:rsid w:val="00EA23DD"/>
    <w:rsid w:val="00EA24DC"/>
    <w:rsid w:val="00EA26DF"/>
    <w:rsid w:val="00EA2A76"/>
    <w:rsid w:val="00EA2C38"/>
    <w:rsid w:val="00EA2C82"/>
    <w:rsid w:val="00EA2C85"/>
    <w:rsid w:val="00EA2CDC"/>
    <w:rsid w:val="00EA2FAE"/>
    <w:rsid w:val="00EA2FD9"/>
    <w:rsid w:val="00EA32BB"/>
    <w:rsid w:val="00EA33EA"/>
    <w:rsid w:val="00EA3422"/>
    <w:rsid w:val="00EA3637"/>
    <w:rsid w:val="00EA372E"/>
    <w:rsid w:val="00EA38B3"/>
    <w:rsid w:val="00EA38EE"/>
    <w:rsid w:val="00EA3B35"/>
    <w:rsid w:val="00EA3BC3"/>
    <w:rsid w:val="00EA3C0D"/>
    <w:rsid w:val="00EA3DFE"/>
    <w:rsid w:val="00EA3EDC"/>
    <w:rsid w:val="00EA4241"/>
    <w:rsid w:val="00EA4733"/>
    <w:rsid w:val="00EA47C0"/>
    <w:rsid w:val="00EA47CA"/>
    <w:rsid w:val="00EA4AAD"/>
    <w:rsid w:val="00EA4B26"/>
    <w:rsid w:val="00EA4CCC"/>
    <w:rsid w:val="00EA4F55"/>
    <w:rsid w:val="00EA5094"/>
    <w:rsid w:val="00EA5159"/>
    <w:rsid w:val="00EA52CC"/>
    <w:rsid w:val="00EA535C"/>
    <w:rsid w:val="00EA5768"/>
    <w:rsid w:val="00EA57BB"/>
    <w:rsid w:val="00EA59EE"/>
    <w:rsid w:val="00EA5ACB"/>
    <w:rsid w:val="00EA5B08"/>
    <w:rsid w:val="00EA5D1D"/>
    <w:rsid w:val="00EA5E16"/>
    <w:rsid w:val="00EA6223"/>
    <w:rsid w:val="00EA6617"/>
    <w:rsid w:val="00EA689E"/>
    <w:rsid w:val="00EA6B0B"/>
    <w:rsid w:val="00EA6C70"/>
    <w:rsid w:val="00EA6EAD"/>
    <w:rsid w:val="00EA6F21"/>
    <w:rsid w:val="00EA6F62"/>
    <w:rsid w:val="00EA70D7"/>
    <w:rsid w:val="00EA758A"/>
    <w:rsid w:val="00EA77E8"/>
    <w:rsid w:val="00EA79F6"/>
    <w:rsid w:val="00EA7A4C"/>
    <w:rsid w:val="00EA7A5E"/>
    <w:rsid w:val="00EA7BBE"/>
    <w:rsid w:val="00EA7D87"/>
    <w:rsid w:val="00EB0039"/>
    <w:rsid w:val="00EB0056"/>
    <w:rsid w:val="00EB0282"/>
    <w:rsid w:val="00EB038D"/>
    <w:rsid w:val="00EB0391"/>
    <w:rsid w:val="00EB0458"/>
    <w:rsid w:val="00EB0D84"/>
    <w:rsid w:val="00EB0E32"/>
    <w:rsid w:val="00EB0E41"/>
    <w:rsid w:val="00EB0EE6"/>
    <w:rsid w:val="00EB1305"/>
    <w:rsid w:val="00EB1312"/>
    <w:rsid w:val="00EB132A"/>
    <w:rsid w:val="00EB149F"/>
    <w:rsid w:val="00EB15A6"/>
    <w:rsid w:val="00EB1671"/>
    <w:rsid w:val="00EB16E4"/>
    <w:rsid w:val="00EB1762"/>
    <w:rsid w:val="00EB1932"/>
    <w:rsid w:val="00EB195B"/>
    <w:rsid w:val="00EB1A97"/>
    <w:rsid w:val="00EB1DF1"/>
    <w:rsid w:val="00EB1F1D"/>
    <w:rsid w:val="00EB2A82"/>
    <w:rsid w:val="00EB2B7B"/>
    <w:rsid w:val="00EB2C1C"/>
    <w:rsid w:val="00EB2DE9"/>
    <w:rsid w:val="00EB2F13"/>
    <w:rsid w:val="00EB31D4"/>
    <w:rsid w:val="00EB3412"/>
    <w:rsid w:val="00EB34DB"/>
    <w:rsid w:val="00EB3559"/>
    <w:rsid w:val="00EB3568"/>
    <w:rsid w:val="00EB3573"/>
    <w:rsid w:val="00EB3623"/>
    <w:rsid w:val="00EB3C2E"/>
    <w:rsid w:val="00EB3C30"/>
    <w:rsid w:val="00EB3CA5"/>
    <w:rsid w:val="00EB3EF1"/>
    <w:rsid w:val="00EB3F89"/>
    <w:rsid w:val="00EB41D5"/>
    <w:rsid w:val="00EB42D2"/>
    <w:rsid w:val="00EB4451"/>
    <w:rsid w:val="00EB48D8"/>
    <w:rsid w:val="00EB49DF"/>
    <w:rsid w:val="00EB4A66"/>
    <w:rsid w:val="00EB4A72"/>
    <w:rsid w:val="00EB4D9B"/>
    <w:rsid w:val="00EB4E2A"/>
    <w:rsid w:val="00EB4F26"/>
    <w:rsid w:val="00EB4FE9"/>
    <w:rsid w:val="00EB50ED"/>
    <w:rsid w:val="00EB53A7"/>
    <w:rsid w:val="00EB5474"/>
    <w:rsid w:val="00EB55E8"/>
    <w:rsid w:val="00EB5611"/>
    <w:rsid w:val="00EB5A4A"/>
    <w:rsid w:val="00EB5B7E"/>
    <w:rsid w:val="00EB5D11"/>
    <w:rsid w:val="00EB5D1A"/>
    <w:rsid w:val="00EB5EED"/>
    <w:rsid w:val="00EB5F5B"/>
    <w:rsid w:val="00EB611F"/>
    <w:rsid w:val="00EB612D"/>
    <w:rsid w:val="00EB6193"/>
    <w:rsid w:val="00EB6277"/>
    <w:rsid w:val="00EB6462"/>
    <w:rsid w:val="00EB67F3"/>
    <w:rsid w:val="00EB684F"/>
    <w:rsid w:val="00EB6F3E"/>
    <w:rsid w:val="00EB6F43"/>
    <w:rsid w:val="00EB75E7"/>
    <w:rsid w:val="00EB766B"/>
    <w:rsid w:val="00EB7C25"/>
    <w:rsid w:val="00EB7E3D"/>
    <w:rsid w:val="00EB7FAC"/>
    <w:rsid w:val="00EB7FDF"/>
    <w:rsid w:val="00EC0053"/>
    <w:rsid w:val="00EC0356"/>
    <w:rsid w:val="00EC03BB"/>
    <w:rsid w:val="00EC04BE"/>
    <w:rsid w:val="00EC050A"/>
    <w:rsid w:val="00EC058D"/>
    <w:rsid w:val="00EC0728"/>
    <w:rsid w:val="00EC0811"/>
    <w:rsid w:val="00EC08E3"/>
    <w:rsid w:val="00EC0917"/>
    <w:rsid w:val="00EC0A2F"/>
    <w:rsid w:val="00EC0B44"/>
    <w:rsid w:val="00EC0B8E"/>
    <w:rsid w:val="00EC0DEA"/>
    <w:rsid w:val="00EC0EB4"/>
    <w:rsid w:val="00EC10AA"/>
    <w:rsid w:val="00EC11D8"/>
    <w:rsid w:val="00EC11E3"/>
    <w:rsid w:val="00EC1344"/>
    <w:rsid w:val="00EC1361"/>
    <w:rsid w:val="00EC1684"/>
    <w:rsid w:val="00EC1685"/>
    <w:rsid w:val="00EC1708"/>
    <w:rsid w:val="00EC1BA3"/>
    <w:rsid w:val="00EC1C6C"/>
    <w:rsid w:val="00EC1D1C"/>
    <w:rsid w:val="00EC1D2C"/>
    <w:rsid w:val="00EC1F89"/>
    <w:rsid w:val="00EC2025"/>
    <w:rsid w:val="00EC213C"/>
    <w:rsid w:val="00EC23FC"/>
    <w:rsid w:val="00EC24AC"/>
    <w:rsid w:val="00EC2598"/>
    <w:rsid w:val="00EC25E0"/>
    <w:rsid w:val="00EC2635"/>
    <w:rsid w:val="00EC2688"/>
    <w:rsid w:val="00EC27FD"/>
    <w:rsid w:val="00EC2870"/>
    <w:rsid w:val="00EC2C82"/>
    <w:rsid w:val="00EC3098"/>
    <w:rsid w:val="00EC30B4"/>
    <w:rsid w:val="00EC3149"/>
    <w:rsid w:val="00EC3182"/>
    <w:rsid w:val="00EC34F0"/>
    <w:rsid w:val="00EC3732"/>
    <w:rsid w:val="00EC3823"/>
    <w:rsid w:val="00EC3967"/>
    <w:rsid w:val="00EC3AB5"/>
    <w:rsid w:val="00EC3B06"/>
    <w:rsid w:val="00EC3BEC"/>
    <w:rsid w:val="00EC3CFA"/>
    <w:rsid w:val="00EC3DE3"/>
    <w:rsid w:val="00EC3E7C"/>
    <w:rsid w:val="00EC3EA7"/>
    <w:rsid w:val="00EC3FA6"/>
    <w:rsid w:val="00EC4117"/>
    <w:rsid w:val="00EC426D"/>
    <w:rsid w:val="00EC44B8"/>
    <w:rsid w:val="00EC44DA"/>
    <w:rsid w:val="00EC4564"/>
    <w:rsid w:val="00EC4676"/>
    <w:rsid w:val="00EC48A4"/>
    <w:rsid w:val="00EC4AE2"/>
    <w:rsid w:val="00EC4B68"/>
    <w:rsid w:val="00EC51F2"/>
    <w:rsid w:val="00EC5293"/>
    <w:rsid w:val="00EC52FB"/>
    <w:rsid w:val="00EC5573"/>
    <w:rsid w:val="00EC5880"/>
    <w:rsid w:val="00EC595B"/>
    <w:rsid w:val="00EC5B28"/>
    <w:rsid w:val="00EC5F4F"/>
    <w:rsid w:val="00EC6105"/>
    <w:rsid w:val="00EC6174"/>
    <w:rsid w:val="00EC61A0"/>
    <w:rsid w:val="00EC6470"/>
    <w:rsid w:val="00EC6714"/>
    <w:rsid w:val="00EC67C6"/>
    <w:rsid w:val="00EC68DF"/>
    <w:rsid w:val="00EC6937"/>
    <w:rsid w:val="00EC6A34"/>
    <w:rsid w:val="00EC6C08"/>
    <w:rsid w:val="00EC6DE6"/>
    <w:rsid w:val="00EC717C"/>
    <w:rsid w:val="00EC732D"/>
    <w:rsid w:val="00EC74C1"/>
    <w:rsid w:val="00EC75C3"/>
    <w:rsid w:val="00EC784B"/>
    <w:rsid w:val="00EC79B8"/>
    <w:rsid w:val="00EC7CE9"/>
    <w:rsid w:val="00EC7D2F"/>
    <w:rsid w:val="00EC7D9D"/>
    <w:rsid w:val="00ED00AF"/>
    <w:rsid w:val="00ED022E"/>
    <w:rsid w:val="00ED026B"/>
    <w:rsid w:val="00ED0280"/>
    <w:rsid w:val="00ED039E"/>
    <w:rsid w:val="00ED0917"/>
    <w:rsid w:val="00ED0BA0"/>
    <w:rsid w:val="00ED0E70"/>
    <w:rsid w:val="00ED0E97"/>
    <w:rsid w:val="00ED0FC8"/>
    <w:rsid w:val="00ED10E7"/>
    <w:rsid w:val="00ED1179"/>
    <w:rsid w:val="00ED11A6"/>
    <w:rsid w:val="00ED12BC"/>
    <w:rsid w:val="00ED1418"/>
    <w:rsid w:val="00ED14BC"/>
    <w:rsid w:val="00ED1693"/>
    <w:rsid w:val="00ED1A6F"/>
    <w:rsid w:val="00ED1C58"/>
    <w:rsid w:val="00ED20D5"/>
    <w:rsid w:val="00ED2289"/>
    <w:rsid w:val="00ED27FE"/>
    <w:rsid w:val="00ED2C0A"/>
    <w:rsid w:val="00ED2CFE"/>
    <w:rsid w:val="00ED2D0F"/>
    <w:rsid w:val="00ED2D41"/>
    <w:rsid w:val="00ED2DBC"/>
    <w:rsid w:val="00ED327D"/>
    <w:rsid w:val="00ED331E"/>
    <w:rsid w:val="00ED3390"/>
    <w:rsid w:val="00ED3440"/>
    <w:rsid w:val="00ED3504"/>
    <w:rsid w:val="00ED3906"/>
    <w:rsid w:val="00ED3A42"/>
    <w:rsid w:val="00ED3F77"/>
    <w:rsid w:val="00ED4055"/>
    <w:rsid w:val="00ED4105"/>
    <w:rsid w:val="00ED4202"/>
    <w:rsid w:val="00ED4240"/>
    <w:rsid w:val="00ED4390"/>
    <w:rsid w:val="00ED43DF"/>
    <w:rsid w:val="00ED45D1"/>
    <w:rsid w:val="00ED45F5"/>
    <w:rsid w:val="00ED4945"/>
    <w:rsid w:val="00ED49AC"/>
    <w:rsid w:val="00ED4B56"/>
    <w:rsid w:val="00ED4B68"/>
    <w:rsid w:val="00ED4C13"/>
    <w:rsid w:val="00ED4F00"/>
    <w:rsid w:val="00ED4FB6"/>
    <w:rsid w:val="00ED501F"/>
    <w:rsid w:val="00ED5024"/>
    <w:rsid w:val="00ED510A"/>
    <w:rsid w:val="00ED53C1"/>
    <w:rsid w:val="00ED54FA"/>
    <w:rsid w:val="00ED5624"/>
    <w:rsid w:val="00ED56C6"/>
    <w:rsid w:val="00ED5A5E"/>
    <w:rsid w:val="00ED5C0E"/>
    <w:rsid w:val="00ED5FE7"/>
    <w:rsid w:val="00ED6460"/>
    <w:rsid w:val="00ED660B"/>
    <w:rsid w:val="00ED6744"/>
    <w:rsid w:val="00ED674D"/>
    <w:rsid w:val="00ED677A"/>
    <w:rsid w:val="00ED6B65"/>
    <w:rsid w:val="00ED6E16"/>
    <w:rsid w:val="00ED6F3B"/>
    <w:rsid w:val="00ED703C"/>
    <w:rsid w:val="00ED70DF"/>
    <w:rsid w:val="00ED71B5"/>
    <w:rsid w:val="00ED72ED"/>
    <w:rsid w:val="00ED735A"/>
    <w:rsid w:val="00ED7444"/>
    <w:rsid w:val="00ED759C"/>
    <w:rsid w:val="00ED75B5"/>
    <w:rsid w:val="00ED77C0"/>
    <w:rsid w:val="00ED793B"/>
    <w:rsid w:val="00ED798D"/>
    <w:rsid w:val="00ED7999"/>
    <w:rsid w:val="00ED79D3"/>
    <w:rsid w:val="00ED7A25"/>
    <w:rsid w:val="00ED7AA8"/>
    <w:rsid w:val="00ED7CB4"/>
    <w:rsid w:val="00ED7F78"/>
    <w:rsid w:val="00ED7FE3"/>
    <w:rsid w:val="00EE08C3"/>
    <w:rsid w:val="00EE0904"/>
    <w:rsid w:val="00EE09F3"/>
    <w:rsid w:val="00EE0AA6"/>
    <w:rsid w:val="00EE0D66"/>
    <w:rsid w:val="00EE0E7C"/>
    <w:rsid w:val="00EE102B"/>
    <w:rsid w:val="00EE11A0"/>
    <w:rsid w:val="00EE12A0"/>
    <w:rsid w:val="00EE15B4"/>
    <w:rsid w:val="00EE1AD5"/>
    <w:rsid w:val="00EE1D57"/>
    <w:rsid w:val="00EE1E82"/>
    <w:rsid w:val="00EE20FD"/>
    <w:rsid w:val="00EE21F1"/>
    <w:rsid w:val="00EE21FE"/>
    <w:rsid w:val="00EE221F"/>
    <w:rsid w:val="00EE22F5"/>
    <w:rsid w:val="00EE233A"/>
    <w:rsid w:val="00EE25EB"/>
    <w:rsid w:val="00EE26AB"/>
    <w:rsid w:val="00EE29C4"/>
    <w:rsid w:val="00EE2A51"/>
    <w:rsid w:val="00EE2A9A"/>
    <w:rsid w:val="00EE2B3A"/>
    <w:rsid w:val="00EE2DEA"/>
    <w:rsid w:val="00EE3063"/>
    <w:rsid w:val="00EE327E"/>
    <w:rsid w:val="00EE32D2"/>
    <w:rsid w:val="00EE3820"/>
    <w:rsid w:val="00EE3828"/>
    <w:rsid w:val="00EE387D"/>
    <w:rsid w:val="00EE38F7"/>
    <w:rsid w:val="00EE392F"/>
    <w:rsid w:val="00EE39E7"/>
    <w:rsid w:val="00EE3A67"/>
    <w:rsid w:val="00EE3BAC"/>
    <w:rsid w:val="00EE3C21"/>
    <w:rsid w:val="00EE3F0C"/>
    <w:rsid w:val="00EE403C"/>
    <w:rsid w:val="00EE413E"/>
    <w:rsid w:val="00EE433C"/>
    <w:rsid w:val="00EE4647"/>
    <w:rsid w:val="00EE4971"/>
    <w:rsid w:val="00EE4BE5"/>
    <w:rsid w:val="00EE4F41"/>
    <w:rsid w:val="00EE513A"/>
    <w:rsid w:val="00EE532F"/>
    <w:rsid w:val="00EE5363"/>
    <w:rsid w:val="00EE55E5"/>
    <w:rsid w:val="00EE57ED"/>
    <w:rsid w:val="00EE59D7"/>
    <w:rsid w:val="00EE5ACB"/>
    <w:rsid w:val="00EE5C7F"/>
    <w:rsid w:val="00EE5D80"/>
    <w:rsid w:val="00EE5E41"/>
    <w:rsid w:val="00EE5F82"/>
    <w:rsid w:val="00EE5F88"/>
    <w:rsid w:val="00EE5F9D"/>
    <w:rsid w:val="00EE5FC8"/>
    <w:rsid w:val="00EE6097"/>
    <w:rsid w:val="00EE60A0"/>
    <w:rsid w:val="00EE60BF"/>
    <w:rsid w:val="00EE6174"/>
    <w:rsid w:val="00EE62DE"/>
    <w:rsid w:val="00EE6394"/>
    <w:rsid w:val="00EE63ED"/>
    <w:rsid w:val="00EE6769"/>
    <w:rsid w:val="00EE6771"/>
    <w:rsid w:val="00EE69B4"/>
    <w:rsid w:val="00EE6C8F"/>
    <w:rsid w:val="00EE6DA8"/>
    <w:rsid w:val="00EE6E80"/>
    <w:rsid w:val="00EE7219"/>
    <w:rsid w:val="00EE7287"/>
    <w:rsid w:val="00EE72FD"/>
    <w:rsid w:val="00EE7482"/>
    <w:rsid w:val="00EE7559"/>
    <w:rsid w:val="00EE7839"/>
    <w:rsid w:val="00EE7A97"/>
    <w:rsid w:val="00EE7ADC"/>
    <w:rsid w:val="00EE7AE0"/>
    <w:rsid w:val="00EE7DC6"/>
    <w:rsid w:val="00EE7F12"/>
    <w:rsid w:val="00EF0025"/>
    <w:rsid w:val="00EF00C3"/>
    <w:rsid w:val="00EF0170"/>
    <w:rsid w:val="00EF01D2"/>
    <w:rsid w:val="00EF0529"/>
    <w:rsid w:val="00EF08B5"/>
    <w:rsid w:val="00EF0C5E"/>
    <w:rsid w:val="00EF0C92"/>
    <w:rsid w:val="00EF0CC4"/>
    <w:rsid w:val="00EF12A3"/>
    <w:rsid w:val="00EF1469"/>
    <w:rsid w:val="00EF14AB"/>
    <w:rsid w:val="00EF1609"/>
    <w:rsid w:val="00EF17F2"/>
    <w:rsid w:val="00EF1B84"/>
    <w:rsid w:val="00EF1C6D"/>
    <w:rsid w:val="00EF2143"/>
    <w:rsid w:val="00EF26C3"/>
    <w:rsid w:val="00EF2B5B"/>
    <w:rsid w:val="00EF2CC7"/>
    <w:rsid w:val="00EF2CED"/>
    <w:rsid w:val="00EF3267"/>
    <w:rsid w:val="00EF349F"/>
    <w:rsid w:val="00EF3745"/>
    <w:rsid w:val="00EF37E6"/>
    <w:rsid w:val="00EF3BDB"/>
    <w:rsid w:val="00EF3F70"/>
    <w:rsid w:val="00EF4075"/>
    <w:rsid w:val="00EF415B"/>
    <w:rsid w:val="00EF41DE"/>
    <w:rsid w:val="00EF4220"/>
    <w:rsid w:val="00EF4233"/>
    <w:rsid w:val="00EF441A"/>
    <w:rsid w:val="00EF449D"/>
    <w:rsid w:val="00EF45C6"/>
    <w:rsid w:val="00EF4810"/>
    <w:rsid w:val="00EF485A"/>
    <w:rsid w:val="00EF49BB"/>
    <w:rsid w:val="00EF4AB1"/>
    <w:rsid w:val="00EF4BD2"/>
    <w:rsid w:val="00EF4C52"/>
    <w:rsid w:val="00EF4DB2"/>
    <w:rsid w:val="00EF4EA2"/>
    <w:rsid w:val="00EF4F05"/>
    <w:rsid w:val="00EF5175"/>
    <w:rsid w:val="00EF52C6"/>
    <w:rsid w:val="00EF53C2"/>
    <w:rsid w:val="00EF54A7"/>
    <w:rsid w:val="00EF5675"/>
    <w:rsid w:val="00EF576F"/>
    <w:rsid w:val="00EF57DE"/>
    <w:rsid w:val="00EF58BF"/>
    <w:rsid w:val="00EF59A0"/>
    <w:rsid w:val="00EF5DFB"/>
    <w:rsid w:val="00EF5E8E"/>
    <w:rsid w:val="00EF61BE"/>
    <w:rsid w:val="00EF625B"/>
    <w:rsid w:val="00EF627F"/>
    <w:rsid w:val="00EF62CC"/>
    <w:rsid w:val="00EF642F"/>
    <w:rsid w:val="00EF671C"/>
    <w:rsid w:val="00EF6B92"/>
    <w:rsid w:val="00EF6E39"/>
    <w:rsid w:val="00EF7306"/>
    <w:rsid w:val="00EF73DB"/>
    <w:rsid w:val="00EF7903"/>
    <w:rsid w:val="00EF7BA1"/>
    <w:rsid w:val="00EF7BE8"/>
    <w:rsid w:val="00F005BA"/>
    <w:rsid w:val="00F0075C"/>
    <w:rsid w:val="00F00D4B"/>
    <w:rsid w:val="00F01065"/>
    <w:rsid w:val="00F01326"/>
    <w:rsid w:val="00F015C2"/>
    <w:rsid w:val="00F01760"/>
    <w:rsid w:val="00F01899"/>
    <w:rsid w:val="00F018B4"/>
    <w:rsid w:val="00F018F7"/>
    <w:rsid w:val="00F01AE3"/>
    <w:rsid w:val="00F01C21"/>
    <w:rsid w:val="00F01DD3"/>
    <w:rsid w:val="00F01EC7"/>
    <w:rsid w:val="00F02428"/>
    <w:rsid w:val="00F025E9"/>
    <w:rsid w:val="00F02724"/>
    <w:rsid w:val="00F02A76"/>
    <w:rsid w:val="00F02D2A"/>
    <w:rsid w:val="00F02E8A"/>
    <w:rsid w:val="00F02F10"/>
    <w:rsid w:val="00F02F3E"/>
    <w:rsid w:val="00F03339"/>
    <w:rsid w:val="00F03621"/>
    <w:rsid w:val="00F03716"/>
    <w:rsid w:val="00F037F0"/>
    <w:rsid w:val="00F03934"/>
    <w:rsid w:val="00F03B13"/>
    <w:rsid w:val="00F03B4A"/>
    <w:rsid w:val="00F03C9F"/>
    <w:rsid w:val="00F03E30"/>
    <w:rsid w:val="00F03FEE"/>
    <w:rsid w:val="00F04070"/>
    <w:rsid w:val="00F041DF"/>
    <w:rsid w:val="00F0438E"/>
    <w:rsid w:val="00F04454"/>
    <w:rsid w:val="00F04816"/>
    <w:rsid w:val="00F04987"/>
    <w:rsid w:val="00F0498A"/>
    <w:rsid w:val="00F049B6"/>
    <w:rsid w:val="00F04DEE"/>
    <w:rsid w:val="00F04E48"/>
    <w:rsid w:val="00F05029"/>
    <w:rsid w:val="00F05264"/>
    <w:rsid w:val="00F05423"/>
    <w:rsid w:val="00F05844"/>
    <w:rsid w:val="00F05A6F"/>
    <w:rsid w:val="00F05ABB"/>
    <w:rsid w:val="00F0601B"/>
    <w:rsid w:val="00F061C6"/>
    <w:rsid w:val="00F061E6"/>
    <w:rsid w:val="00F06274"/>
    <w:rsid w:val="00F06905"/>
    <w:rsid w:val="00F069A7"/>
    <w:rsid w:val="00F06A1B"/>
    <w:rsid w:val="00F06C7D"/>
    <w:rsid w:val="00F0713C"/>
    <w:rsid w:val="00F07209"/>
    <w:rsid w:val="00F0751E"/>
    <w:rsid w:val="00F0774A"/>
    <w:rsid w:val="00F07798"/>
    <w:rsid w:val="00F07C9E"/>
    <w:rsid w:val="00F07CA5"/>
    <w:rsid w:val="00F07DDB"/>
    <w:rsid w:val="00F100B9"/>
    <w:rsid w:val="00F10215"/>
    <w:rsid w:val="00F10229"/>
    <w:rsid w:val="00F102CD"/>
    <w:rsid w:val="00F103D0"/>
    <w:rsid w:val="00F10835"/>
    <w:rsid w:val="00F109A7"/>
    <w:rsid w:val="00F10AC5"/>
    <w:rsid w:val="00F10DC5"/>
    <w:rsid w:val="00F10E87"/>
    <w:rsid w:val="00F10FA0"/>
    <w:rsid w:val="00F11133"/>
    <w:rsid w:val="00F11262"/>
    <w:rsid w:val="00F113D2"/>
    <w:rsid w:val="00F115C9"/>
    <w:rsid w:val="00F115E1"/>
    <w:rsid w:val="00F116D5"/>
    <w:rsid w:val="00F118C3"/>
    <w:rsid w:val="00F11904"/>
    <w:rsid w:val="00F11947"/>
    <w:rsid w:val="00F11989"/>
    <w:rsid w:val="00F11A57"/>
    <w:rsid w:val="00F11AAD"/>
    <w:rsid w:val="00F11CC9"/>
    <w:rsid w:val="00F11E97"/>
    <w:rsid w:val="00F12033"/>
    <w:rsid w:val="00F120BE"/>
    <w:rsid w:val="00F125F7"/>
    <w:rsid w:val="00F126A0"/>
    <w:rsid w:val="00F129B8"/>
    <w:rsid w:val="00F12A02"/>
    <w:rsid w:val="00F12B28"/>
    <w:rsid w:val="00F12B8A"/>
    <w:rsid w:val="00F12EC0"/>
    <w:rsid w:val="00F13147"/>
    <w:rsid w:val="00F135FA"/>
    <w:rsid w:val="00F1371A"/>
    <w:rsid w:val="00F137E4"/>
    <w:rsid w:val="00F13812"/>
    <w:rsid w:val="00F139E0"/>
    <w:rsid w:val="00F13A83"/>
    <w:rsid w:val="00F13AD6"/>
    <w:rsid w:val="00F13CB3"/>
    <w:rsid w:val="00F13CF9"/>
    <w:rsid w:val="00F13E16"/>
    <w:rsid w:val="00F13FA8"/>
    <w:rsid w:val="00F140E3"/>
    <w:rsid w:val="00F1427A"/>
    <w:rsid w:val="00F14328"/>
    <w:rsid w:val="00F14606"/>
    <w:rsid w:val="00F14692"/>
    <w:rsid w:val="00F146B4"/>
    <w:rsid w:val="00F146C1"/>
    <w:rsid w:val="00F146F2"/>
    <w:rsid w:val="00F14A36"/>
    <w:rsid w:val="00F14D6B"/>
    <w:rsid w:val="00F15185"/>
    <w:rsid w:val="00F151A2"/>
    <w:rsid w:val="00F151D7"/>
    <w:rsid w:val="00F152A1"/>
    <w:rsid w:val="00F1530A"/>
    <w:rsid w:val="00F153FB"/>
    <w:rsid w:val="00F1548F"/>
    <w:rsid w:val="00F1563A"/>
    <w:rsid w:val="00F159AF"/>
    <w:rsid w:val="00F15B98"/>
    <w:rsid w:val="00F15FC5"/>
    <w:rsid w:val="00F1603E"/>
    <w:rsid w:val="00F16126"/>
    <w:rsid w:val="00F1644A"/>
    <w:rsid w:val="00F16500"/>
    <w:rsid w:val="00F16749"/>
    <w:rsid w:val="00F1681B"/>
    <w:rsid w:val="00F16BD8"/>
    <w:rsid w:val="00F16C0E"/>
    <w:rsid w:val="00F16CB4"/>
    <w:rsid w:val="00F16CBD"/>
    <w:rsid w:val="00F172BF"/>
    <w:rsid w:val="00F17453"/>
    <w:rsid w:val="00F17475"/>
    <w:rsid w:val="00F174CE"/>
    <w:rsid w:val="00F175FB"/>
    <w:rsid w:val="00F1776D"/>
    <w:rsid w:val="00F178FE"/>
    <w:rsid w:val="00F179F2"/>
    <w:rsid w:val="00F17C36"/>
    <w:rsid w:val="00F17CCE"/>
    <w:rsid w:val="00F17E0C"/>
    <w:rsid w:val="00F17E7D"/>
    <w:rsid w:val="00F17F6C"/>
    <w:rsid w:val="00F20312"/>
    <w:rsid w:val="00F203C8"/>
    <w:rsid w:val="00F205F3"/>
    <w:rsid w:val="00F20653"/>
    <w:rsid w:val="00F20A11"/>
    <w:rsid w:val="00F20A6B"/>
    <w:rsid w:val="00F20B6E"/>
    <w:rsid w:val="00F21423"/>
    <w:rsid w:val="00F2146D"/>
    <w:rsid w:val="00F215F1"/>
    <w:rsid w:val="00F217FB"/>
    <w:rsid w:val="00F21948"/>
    <w:rsid w:val="00F21A0A"/>
    <w:rsid w:val="00F21C57"/>
    <w:rsid w:val="00F21F5F"/>
    <w:rsid w:val="00F2207E"/>
    <w:rsid w:val="00F22250"/>
    <w:rsid w:val="00F22377"/>
    <w:rsid w:val="00F223A5"/>
    <w:rsid w:val="00F225C6"/>
    <w:rsid w:val="00F226A8"/>
    <w:rsid w:val="00F226C0"/>
    <w:rsid w:val="00F22792"/>
    <w:rsid w:val="00F227D6"/>
    <w:rsid w:val="00F22863"/>
    <w:rsid w:val="00F22F96"/>
    <w:rsid w:val="00F230B6"/>
    <w:rsid w:val="00F23174"/>
    <w:rsid w:val="00F23175"/>
    <w:rsid w:val="00F2321B"/>
    <w:rsid w:val="00F2357A"/>
    <w:rsid w:val="00F235AE"/>
    <w:rsid w:val="00F2362F"/>
    <w:rsid w:val="00F23767"/>
    <w:rsid w:val="00F237CE"/>
    <w:rsid w:val="00F23901"/>
    <w:rsid w:val="00F23A1E"/>
    <w:rsid w:val="00F240AA"/>
    <w:rsid w:val="00F240DE"/>
    <w:rsid w:val="00F2435C"/>
    <w:rsid w:val="00F2442A"/>
    <w:rsid w:val="00F245CE"/>
    <w:rsid w:val="00F24874"/>
    <w:rsid w:val="00F248E1"/>
    <w:rsid w:val="00F24956"/>
    <w:rsid w:val="00F24C1B"/>
    <w:rsid w:val="00F24CB1"/>
    <w:rsid w:val="00F25143"/>
    <w:rsid w:val="00F251FD"/>
    <w:rsid w:val="00F2540A"/>
    <w:rsid w:val="00F25614"/>
    <w:rsid w:val="00F256FD"/>
    <w:rsid w:val="00F2581E"/>
    <w:rsid w:val="00F2584D"/>
    <w:rsid w:val="00F25906"/>
    <w:rsid w:val="00F25919"/>
    <w:rsid w:val="00F25B52"/>
    <w:rsid w:val="00F25BE1"/>
    <w:rsid w:val="00F25C81"/>
    <w:rsid w:val="00F25D9C"/>
    <w:rsid w:val="00F25DAE"/>
    <w:rsid w:val="00F25EDE"/>
    <w:rsid w:val="00F25EE2"/>
    <w:rsid w:val="00F26111"/>
    <w:rsid w:val="00F261DC"/>
    <w:rsid w:val="00F26241"/>
    <w:rsid w:val="00F26350"/>
    <w:rsid w:val="00F26355"/>
    <w:rsid w:val="00F263BF"/>
    <w:rsid w:val="00F266BD"/>
    <w:rsid w:val="00F266F5"/>
    <w:rsid w:val="00F267B0"/>
    <w:rsid w:val="00F26862"/>
    <w:rsid w:val="00F26C09"/>
    <w:rsid w:val="00F26C5E"/>
    <w:rsid w:val="00F26D54"/>
    <w:rsid w:val="00F26D7E"/>
    <w:rsid w:val="00F271FA"/>
    <w:rsid w:val="00F272BD"/>
    <w:rsid w:val="00F27324"/>
    <w:rsid w:val="00F2753B"/>
    <w:rsid w:val="00F27796"/>
    <w:rsid w:val="00F27816"/>
    <w:rsid w:val="00F27884"/>
    <w:rsid w:val="00F27A17"/>
    <w:rsid w:val="00F27A2E"/>
    <w:rsid w:val="00F27F72"/>
    <w:rsid w:val="00F30047"/>
    <w:rsid w:val="00F30372"/>
    <w:rsid w:val="00F30439"/>
    <w:rsid w:val="00F304EF"/>
    <w:rsid w:val="00F305B0"/>
    <w:rsid w:val="00F30683"/>
    <w:rsid w:val="00F306F3"/>
    <w:rsid w:val="00F30762"/>
    <w:rsid w:val="00F30A53"/>
    <w:rsid w:val="00F30A9A"/>
    <w:rsid w:val="00F30DE1"/>
    <w:rsid w:val="00F30F94"/>
    <w:rsid w:val="00F3101E"/>
    <w:rsid w:val="00F31531"/>
    <w:rsid w:val="00F31830"/>
    <w:rsid w:val="00F319B9"/>
    <w:rsid w:val="00F319D5"/>
    <w:rsid w:val="00F31A16"/>
    <w:rsid w:val="00F31A5F"/>
    <w:rsid w:val="00F31B2D"/>
    <w:rsid w:val="00F31D40"/>
    <w:rsid w:val="00F31E9C"/>
    <w:rsid w:val="00F320A8"/>
    <w:rsid w:val="00F32140"/>
    <w:rsid w:val="00F324C9"/>
    <w:rsid w:val="00F3264C"/>
    <w:rsid w:val="00F326D2"/>
    <w:rsid w:val="00F327A6"/>
    <w:rsid w:val="00F327E3"/>
    <w:rsid w:val="00F32949"/>
    <w:rsid w:val="00F32952"/>
    <w:rsid w:val="00F3295E"/>
    <w:rsid w:val="00F329BB"/>
    <w:rsid w:val="00F33094"/>
    <w:rsid w:val="00F332AE"/>
    <w:rsid w:val="00F334A8"/>
    <w:rsid w:val="00F335D5"/>
    <w:rsid w:val="00F338C6"/>
    <w:rsid w:val="00F33FE8"/>
    <w:rsid w:val="00F340C9"/>
    <w:rsid w:val="00F342BB"/>
    <w:rsid w:val="00F34318"/>
    <w:rsid w:val="00F343ED"/>
    <w:rsid w:val="00F3474D"/>
    <w:rsid w:val="00F3475F"/>
    <w:rsid w:val="00F3477D"/>
    <w:rsid w:val="00F3485E"/>
    <w:rsid w:val="00F34AFE"/>
    <w:rsid w:val="00F34D69"/>
    <w:rsid w:val="00F34EC5"/>
    <w:rsid w:val="00F34F66"/>
    <w:rsid w:val="00F35071"/>
    <w:rsid w:val="00F351DF"/>
    <w:rsid w:val="00F35369"/>
    <w:rsid w:val="00F35753"/>
    <w:rsid w:val="00F35BBD"/>
    <w:rsid w:val="00F35C91"/>
    <w:rsid w:val="00F36238"/>
    <w:rsid w:val="00F36250"/>
    <w:rsid w:val="00F362D0"/>
    <w:rsid w:val="00F3646F"/>
    <w:rsid w:val="00F36495"/>
    <w:rsid w:val="00F364A9"/>
    <w:rsid w:val="00F3650F"/>
    <w:rsid w:val="00F3683F"/>
    <w:rsid w:val="00F36879"/>
    <w:rsid w:val="00F36932"/>
    <w:rsid w:val="00F36A35"/>
    <w:rsid w:val="00F36A95"/>
    <w:rsid w:val="00F36B25"/>
    <w:rsid w:val="00F36B7E"/>
    <w:rsid w:val="00F36CA7"/>
    <w:rsid w:val="00F36D13"/>
    <w:rsid w:val="00F36F19"/>
    <w:rsid w:val="00F37101"/>
    <w:rsid w:val="00F371BB"/>
    <w:rsid w:val="00F37401"/>
    <w:rsid w:val="00F374FE"/>
    <w:rsid w:val="00F378DF"/>
    <w:rsid w:val="00F37919"/>
    <w:rsid w:val="00F37A18"/>
    <w:rsid w:val="00F37AB1"/>
    <w:rsid w:val="00F37B3F"/>
    <w:rsid w:val="00F37CEA"/>
    <w:rsid w:val="00F37D71"/>
    <w:rsid w:val="00F37DB1"/>
    <w:rsid w:val="00F37FAF"/>
    <w:rsid w:val="00F37FE7"/>
    <w:rsid w:val="00F4013B"/>
    <w:rsid w:val="00F406A2"/>
    <w:rsid w:val="00F406C7"/>
    <w:rsid w:val="00F4072A"/>
    <w:rsid w:val="00F408BD"/>
    <w:rsid w:val="00F408C1"/>
    <w:rsid w:val="00F4096C"/>
    <w:rsid w:val="00F40999"/>
    <w:rsid w:val="00F40F0A"/>
    <w:rsid w:val="00F41029"/>
    <w:rsid w:val="00F411C8"/>
    <w:rsid w:val="00F411DA"/>
    <w:rsid w:val="00F415FB"/>
    <w:rsid w:val="00F41811"/>
    <w:rsid w:val="00F418A9"/>
    <w:rsid w:val="00F418DB"/>
    <w:rsid w:val="00F41E63"/>
    <w:rsid w:val="00F41E91"/>
    <w:rsid w:val="00F42097"/>
    <w:rsid w:val="00F420A0"/>
    <w:rsid w:val="00F421CC"/>
    <w:rsid w:val="00F4231B"/>
    <w:rsid w:val="00F423FF"/>
    <w:rsid w:val="00F42497"/>
    <w:rsid w:val="00F424B7"/>
    <w:rsid w:val="00F42542"/>
    <w:rsid w:val="00F427D8"/>
    <w:rsid w:val="00F42A1F"/>
    <w:rsid w:val="00F42A63"/>
    <w:rsid w:val="00F42B95"/>
    <w:rsid w:val="00F42C44"/>
    <w:rsid w:val="00F42C80"/>
    <w:rsid w:val="00F42E2C"/>
    <w:rsid w:val="00F42E88"/>
    <w:rsid w:val="00F43065"/>
    <w:rsid w:val="00F43189"/>
    <w:rsid w:val="00F431F2"/>
    <w:rsid w:val="00F438B3"/>
    <w:rsid w:val="00F4391A"/>
    <w:rsid w:val="00F43CE9"/>
    <w:rsid w:val="00F43D45"/>
    <w:rsid w:val="00F43DD2"/>
    <w:rsid w:val="00F4442A"/>
    <w:rsid w:val="00F448E0"/>
    <w:rsid w:val="00F44A91"/>
    <w:rsid w:val="00F44D00"/>
    <w:rsid w:val="00F44EA3"/>
    <w:rsid w:val="00F44ED0"/>
    <w:rsid w:val="00F4518C"/>
    <w:rsid w:val="00F453F2"/>
    <w:rsid w:val="00F45819"/>
    <w:rsid w:val="00F45829"/>
    <w:rsid w:val="00F45939"/>
    <w:rsid w:val="00F45A1A"/>
    <w:rsid w:val="00F45A3E"/>
    <w:rsid w:val="00F45DBE"/>
    <w:rsid w:val="00F46103"/>
    <w:rsid w:val="00F46574"/>
    <w:rsid w:val="00F468E8"/>
    <w:rsid w:val="00F4694A"/>
    <w:rsid w:val="00F4695E"/>
    <w:rsid w:val="00F469DB"/>
    <w:rsid w:val="00F46CB5"/>
    <w:rsid w:val="00F46DB8"/>
    <w:rsid w:val="00F46DE0"/>
    <w:rsid w:val="00F46F60"/>
    <w:rsid w:val="00F471D4"/>
    <w:rsid w:val="00F472E4"/>
    <w:rsid w:val="00F4733E"/>
    <w:rsid w:val="00F47532"/>
    <w:rsid w:val="00F475EA"/>
    <w:rsid w:val="00F47687"/>
    <w:rsid w:val="00F477A9"/>
    <w:rsid w:val="00F4783E"/>
    <w:rsid w:val="00F47CBB"/>
    <w:rsid w:val="00F47ED9"/>
    <w:rsid w:val="00F47EEA"/>
    <w:rsid w:val="00F50013"/>
    <w:rsid w:val="00F5023A"/>
    <w:rsid w:val="00F5024E"/>
    <w:rsid w:val="00F5035C"/>
    <w:rsid w:val="00F50428"/>
    <w:rsid w:val="00F504E1"/>
    <w:rsid w:val="00F50594"/>
    <w:rsid w:val="00F506F8"/>
    <w:rsid w:val="00F50712"/>
    <w:rsid w:val="00F50768"/>
    <w:rsid w:val="00F50E71"/>
    <w:rsid w:val="00F50F3C"/>
    <w:rsid w:val="00F50FA4"/>
    <w:rsid w:val="00F51156"/>
    <w:rsid w:val="00F5125E"/>
    <w:rsid w:val="00F5163E"/>
    <w:rsid w:val="00F519B5"/>
    <w:rsid w:val="00F51A88"/>
    <w:rsid w:val="00F51B34"/>
    <w:rsid w:val="00F51B7D"/>
    <w:rsid w:val="00F51D58"/>
    <w:rsid w:val="00F52067"/>
    <w:rsid w:val="00F52099"/>
    <w:rsid w:val="00F52340"/>
    <w:rsid w:val="00F52380"/>
    <w:rsid w:val="00F523C0"/>
    <w:rsid w:val="00F52599"/>
    <w:rsid w:val="00F525A9"/>
    <w:rsid w:val="00F527DB"/>
    <w:rsid w:val="00F527E6"/>
    <w:rsid w:val="00F52839"/>
    <w:rsid w:val="00F5293A"/>
    <w:rsid w:val="00F52ACC"/>
    <w:rsid w:val="00F52C24"/>
    <w:rsid w:val="00F52C57"/>
    <w:rsid w:val="00F53078"/>
    <w:rsid w:val="00F533EC"/>
    <w:rsid w:val="00F539D3"/>
    <w:rsid w:val="00F53CF4"/>
    <w:rsid w:val="00F53DDB"/>
    <w:rsid w:val="00F54074"/>
    <w:rsid w:val="00F54245"/>
    <w:rsid w:val="00F543D9"/>
    <w:rsid w:val="00F5472D"/>
    <w:rsid w:val="00F54738"/>
    <w:rsid w:val="00F5490E"/>
    <w:rsid w:val="00F54922"/>
    <w:rsid w:val="00F54B6D"/>
    <w:rsid w:val="00F54DD3"/>
    <w:rsid w:val="00F54DE3"/>
    <w:rsid w:val="00F54E23"/>
    <w:rsid w:val="00F54E74"/>
    <w:rsid w:val="00F54EE8"/>
    <w:rsid w:val="00F54FAB"/>
    <w:rsid w:val="00F550CD"/>
    <w:rsid w:val="00F55151"/>
    <w:rsid w:val="00F5542F"/>
    <w:rsid w:val="00F55680"/>
    <w:rsid w:val="00F55985"/>
    <w:rsid w:val="00F55AFA"/>
    <w:rsid w:val="00F55B10"/>
    <w:rsid w:val="00F55BB3"/>
    <w:rsid w:val="00F5633A"/>
    <w:rsid w:val="00F566F9"/>
    <w:rsid w:val="00F56717"/>
    <w:rsid w:val="00F567C0"/>
    <w:rsid w:val="00F56877"/>
    <w:rsid w:val="00F5690E"/>
    <w:rsid w:val="00F56F39"/>
    <w:rsid w:val="00F56FAE"/>
    <w:rsid w:val="00F57078"/>
    <w:rsid w:val="00F57126"/>
    <w:rsid w:val="00F571D8"/>
    <w:rsid w:val="00F57310"/>
    <w:rsid w:val="00F576BB"/>
    <w:rsid w:val="00F57721"/>
    <w:rsid w:val="00F5793B"/>
    <w:rsid w:val="00F579D2"/>
    <w:rsid w:val="00F57B1B"/>
    <w:rsid w:val="00F57E00"/>
    <w:rsid w:val="00F57E1A"/>
    <w:rsid w:val="00F57E77"/>
    <w:rsid w:val="00F57ECE"/>
    <w:rsid w:val="00F60136"/>
    <w:rsid w:val="00F601AE"/>
    <w:rsid w:val="00F602AC"/>
    <w:rsid w:val="00F603DB"/>
    <w:rsid w:val="00F604ED"/>
    <w:rsid w:val="00F606F0"/>
    <w:rsid w:val="00F60741"/>
    <w:rsid w:val="00F60896"/>
    <w:rsid w:val="00F60A17"/>
    <w:rsid w:val="00F60A66"/>
    <w:rsid w:val="00F60ACE"/>
    <w:rsid w:val="00F60C11"/>
    <w:rsid w:val="00F60CE5"/>
    <w:rsid w:val="00F60E36"/>
    <w:rsid w:val="00F60E3F"/>
    <w:rsid w:val="00F60EA9"/>
    <w:rsid w:val="00F6106F"/>
    <w:rsid w:val="00F61073"/>
    <w:rsid w:val="00F610C2"/>
    <w:rsid w:val="00F61299"/>
    <w:rsid w:val="00F614C2"/>
    <w:rsid w:val="00F614F1"/>
    <w:rsid w:val="00F615FA"/>
    <w:rsid w:val="00F6186E"/>
    <w:rsid w:val="00F6196A"/>
    <w:rsid w:val="00F61AF7"/>
    <w:rsid w:val="00F61BE4"/>
    <w:rsid w:val="00F61BF8"/>
    <w:rsid w:val="00F61CC1"/>
    <w:rsid w:val="00F61D44"/>
    <w:rsid w:val="00F620BC"/>
    <w:rsid w:val="00F6219C"/>
    <w:rsid w:val="00F62451"/>
    <w:rsid w:val="00F6267F"/>
    <w:rsid w:val="00F62685"/>
    <w:rsid w:val="00F62730"/>
    <w:rsid w:val="00F627D5"/>
    <w:rsid w:val="00F62852"/>
    <w:rsid w:val="00F62B0F"/>
    <w:rsid w:val="00F62B3E"/>
    <w:rsid w:val="00F62C48"/>
    <w:rsid w:val="00F62DCE"/>
    <w:rsid w:val="00F63021"/>
    <w:rsid w:val="00F632C3"/>
    <w:rsid w:val="00F63310"/>
    <w:rsid w:val="00F63809"/>
    <w:rsid w:val="00F63884"/>
    <w:rsid w:val="00F6390C"/>
    <w:rsid w:val="00F639E0"/>
    <w:rsid w:val="00F63A86"/>
    <w:rsid w:val="00F63ACE"/>
    <w:rsid w:val="00F63BE4"/>
    <w:rsid w:val="00F63C80"/>
    <w:rsid w:val="00F63D0B"/>
    <w:rsid w:val="00F6400D"/>
    <w:rsid w:val="00F6413D"/>
    <w:rsid w:val="00F643F3"/>
    <w:rsid w:val="00F644A6"/>
    <w:rsid w:val="00F64592"/>
    <w:rsid w:val="00F6469D"/>
    <w:rsid w:val="00F64740"/>
    <w:rsid w:val="00F64B8A"/>
    <w:rsid w:val="00F64BDC"/>
    <w:rsid w:val="00F64E1D"/>
    <w:rsid w:val="00F64EB6"/>
    <w:rsid w:val="00F650F4"/>
    <w:rsid w:val="00F65255"/>
    <w:rsid w:val="00F6529E"/>
    <w:rsid w:val="00F65490"/>
    <w:rsid w:val="00F65515"/>
    <w:rsid w:val="00F65686"/>
    <w:rsid w:val="00F6571C"/>
    <w:rsid w:val="00F659F8"/>
    <w:rsid w:val="00F65BB9"/>
    <w:rsid w:val="00F65F80"/>
    <w:rsid w:val="00F66142"/>
    <w:rsid w:val="00F663AE"/>
    <w:rsid w:val="00F66585"/>
    <w:rsid w:val="00F6675D"/>
    <w:rsid w:val="00F66807"/>
    <w:rsid w:val="00F669D5"/>
    <w:rsid w:val="00F672EE"/>
    <w:rsid w:val="00F6755B"/>
    <w:rsid w:val="00F675DB"/>
    <w:rsid w:val="00F67842"/>
    <w:rsid w:val="00F67AB1"/>
    <w:rsid w:val="00F67BF3"/>
    <w:rsid w:val="00F67C87"/>
    <w:rsid w:val="00F67EBE"/>
    <w:rsid w:val="00F700BF"/>
    <w:rsid w:val="00F700D9"/>
    <w:rsid w:val="00F70138"/>
    <w:rsid w:val="00F7045E"/>
    <w:rsid w:val="00F704F1"/>
    <w:rsid w:val="00F7058A"/>
    <w:rsid w:val="00F7066D"/>
    <w:rsid w:val="00F70728"/>
    <w:rsid w:val="00F70833"/>
    <w:rsid w:val="00F70A02"/>
    <w:rsid w:val="00F70D26"/>
    <w:rsid w:val="00F70DD1"/>
    <w:rsid w:val="00F70EA7"/>
    <w:rsid w:val="00F71207"/>
    <w:rsid w:val="00F712DC"/>
    <w:rsid w:val="00F71321"/>
    <w:rsid w:val="00F713DE"/>
    <w:rsid w:val="00F71437"/>
    <w:rsid w:val="00F71559"/>
    <w:rsid w:val="00F717C4"/>
    <w:rsid w:val="00F718ED"/>
    <w:rsid w:val="00F719E5"/>
    <w:rsid w:val="00F71A7E"/>
    <w:rsid w:val="00F71B90"/>
    <w:rsid w:val="00F71BB2"/>
    <w:rsid w:val="00F71D07"/>
    <w:rsid w:val="00F71D75"/>
    <w:rsid w:val="00F71D84"/>
    <w:rsid w:val="00F722B1"/>
    <w:rsid w:val="00F724A2"/>
    <w:rsid w:val="00F724D8"/>
    <w:rsid w:val="00F725C3"/>
    <w:rsid w:val="00F725D3"/>
    <w:rsid w:val="00F7297B"/>
    <w:rsid w:val="00F72A53"/>
    <w:rsid w:val="00F72CD8"/>
    <w:rsid w:val="00F72D86"/>
    <w:rsid w:val="00F7300D"/>
    <w:rsid w:val="00F73056"/>
    <w:rsid w:val="00F7313B"/>
    <w:rsid w:val="00F73166"/>
    <w:rsid w:val="00F731CA"/>
    <w:rsid w:val="00F735D3"/>
    <w:rsid w:val="00F7364D"/>
    <w:rsid w:val="00F73793"/>
    <w:rsid w:val="00F737D0"/>
    <w:rsid w:val="00F73F00"/>
    <w:rsid w:val="00F74341"/>
    <w:rsid w:val="00F7455C"/>
    <w:rsid w:val="00F74605"/>
    <w:rsid w:val="00F74794"/>
    <w:rsid w:val="00F747B4"/>
    <w:rsid w:val="00F74867"/>
    <w:rsid w:val="00F74A83"/>
    <w:rsid w:val="00F74AAE"/>
    <w:rsid w:val="00F74C49"/>
    <w:rsid w:val="00F751E5"/>
    <w:rsid w:val="00F751EE"/>
    <w:rsid w:val="00F75418"/>
    <w:rsid w:val="00F75457"/>
    <w:rsid w:val="00F7567A"/>
    <w:rsid w:val="00F757DD"/>
    <w:rsid w:val="00F75A77"/>
    <w:rsid w:val="00F75A7B"/>
    <w:rsid w:val="00F75B37"/>
    <w:rsid w:val="00F75B66"/>
    <w:rsid w:val="00F75C65"/>
    <w:rsid w:val="00F75CB3"/>
    <w:rsid w:val="00F75D2C"/>
    <w:rsid w:val="00F75DC0"/>
    <w:rsid w:val="00F75E96"/>
    <w:rsid w:val="00F75F13"/>
    <w:rsid w:val="00F75F4B"/>
    <w:rsid w:val="00F75FBB"/>
    <w:rsid w:val="00F7628E"/>
    <w:rsid w:val="00F76462"/>
    <w:rsid w:val="00F767D4"/>
    <w:rsid w:val="00F76807"/>
    <w:rsid w:val="00F76976"/>
    <w:rsid w:val="00F76AA0"/>
    <w:rsid w:val="00F76AB8"/>
    <w:rsid w:val="00F76D11"/>
    <w:rsid w:val="00F76D69"/>
    <w:rsid w:val="00F76F92"/>
    <w:rsid w:val="00F7703D"/>
    <w:rsid w:val="00F77077"/>
    <w:rsid w:val="00F7709F"/>
    <w:rsid w:val="00F770DC"/>
    <w:rsid w:val="00F77292"/>
    <w:rsid w:val="00F7749D"/>
    <w:rsid w:val="00F7749F"/>
    <w:rsid w:val="00F77958"/>
    <w:rsid w:val="00F779D1"/>
    <w:rsid w:val="00F77A51"/>
    <w:rsid w:val="00F77A70"/>
    <w:rsid w:val="00F77A7B"/>
    <w:rsid w:val="00F77A7E"/>
    <w:rsid w:val="00F8009D"/>
    <w:rsid w:val="00F8023F"/>
    <w:rsid w:val="00F8032D"/>
    <w:rsid w:val="00F80427"/>
    <w:rsid w:val="00F8056E"/>
    <w:rsid w:val="00F808E7"/>
    <w:rsid w:val="00F809D1"/>
    <w:rsid w:val="00F80E47"/>
    <w:rsid w:val="00F80E95"/>
    <w:rsid w:val="00F811C1"/>
    <w:rsid w:val="00F813E4"/>
    <w:rsid w:val="00F81466"/>
    <w:rsid w:val="00F818BA"/>
    <w:rsid w:val="00F81AF2"/>
    <w:rsid w:val="00F81C94"/>
    <w:rsid w:val="00F81D0E"/>
    <w:rsid w:val="00F81DA0"/>
    <w:rsid w:val="00F81ECC"/>
    <w:rsid w:val="00F822E0"/>
    <w:rsid w:val="00F82360"/>
    <w:rsid w:val="00F824B9"/>
    <w:rsid w:val="00F827A8"/>
    <w:rsid w:val="00F82872"/>
    <w:rsid w:val="00F828A4"/>
    <w:rsid w:val="00F829D3"/>
    <w:rsid w:val="00F82AB1"/>
    <w:rsid w:val="00F82AD4"/>
    <w:rsid w:val="00F82BF2"/>
    <w:rsid w:val="00F82E5C"/>
    <w:rsid w:val="00F82EBC"/>
    <w:rsid w:val="00F8305C"/>
    <w:rsid w:val="00F83076"/>
    <w:rsid w:val="00F83104"/>
    <w:rsid w:val="00F831D8"/>
    <w:rsid w:val="00F8339F"/>
    <w:rsid w:val="00F83526"/>
    <w:rsid w:val="00F835BA"/>
    <w:rsid w:val="00F83B3F"/>
    <w:rsid w:val="00F83DE2"/>
    <w:rsid w:val="00F84062"/>
    <w:rsid w:val="00F843E4"/>
    <w:rsid w:val="00F844EE"/>
    <w:rsid w:val="00F8453A"/>
    <w:rsid w:val="00F8453D"/>
    <w:rsid w:val="00F845F5"/>
    <w:rsid w:val="00F84829"/>
    <w:rsid w:val="00F849E5"/>
    <w:rsid w:val="00F84B13"/>
    <w:rsid w:val="00F84C99"/>
    <w:rsid w:val="00F84E34"/>
    <w:rsid w:val="00F84EC1"/>
    <w:rsid w:val="00F84F50"/>
    <w:rsid w:val="00F85095"/>
    <w:rsid w:val="00F8512F"/>
    <w:rsid w:val="00F853CD"/>
    <w:rsid w:val="00F85578"/>
    <w:rsid w:val="00F8557E"/>
    <w:rsid w:val="00F858F5"/>
    <w:rsid w:val="00F8592F"/>
    <w:rsid w:val="00F85B8B"/>
    <w:rsid w:val="00F85C19"/>
    <w:rsid w:val="00F85EE6"/>
    <w:rsid w:val="00F86375"/>
    <w:rsid w:val="00F86479"/>
    <w:rsid w:val="00F86676"/>
    <w:rsid w:val="00F86776"/>
    <w:rsid w:val="00F86876"/>
    <w:rsid w:val="00F86987"/>
    <w:rsid w:val="00F870DA"/>
    <w:rsid w:val="00F871D9"/>
    <w:rsid w:val="00F873FA"/>
    <w:rsid w:val="00F8782C"/>
    <w:rsid w:val="00F8784A"/>
    <w:rsid w:val="00F87A56"/>
    <w:rsid w:val="00F87AFF"/>
    <w:rsid w:val="00F87C5D"/>
    <w:rsid w:val="00F87D10"/>
    <w:rsid w:val="00F87F7C"/>
    <w:rsid w:val="00F90197"/>
    <w:rsid w:val="00F901FF"/>
    <w:rsid w:val="00F90304"/>
    <w:rsid w:val="00F905AF"/>
    <w:rsid w:val="00F9073D"/>
    <w:rsid w:val="00F908D7"/>
    <w:rsid w:val="00F90969"/>
    <w:rsid w:val="00F90C41"/>
    <w:rsid w:val="00F90D7C"/>
    <w:rsid w:val="00F90E09"/>
    <w:rsid w:val="00F90E38"/>
    <w:rsid w:val="00F90F66"/>
    <w:rsid w:val="00F90FFB"/>
    <w:rsid w:val="00F912D7"/>
    <w:rsid w:val="00F91310"/>
    <w:rsid w:val="00F9143B"/>
    <w:rsid w:val="00F91514"/>
    <w:rsid w:val="00F91619"/>
    <w:rsid w:val="00F9177B"/>
    <w:rsid w:val="00F91A05"/>
    <w:rsid w:val="00F91B5A"/>
    <w:rsid w:val="00F91B87"/>
    <w:rsid w:val="00F91BBC"/>
    <w:rsid w:val="00F91BE9"/>
    <w:rsid w:val="00F91F65"/>
    <w:rsid w:val="00F91FBC"/>
    <w:rsid w:val="00F92348"/>
    <w:rsid w:val="00F92379"/>
    <w:rsid w:val="00F92383"/>
    <w:rsid w:val="00F923BA"/>
    <w:rsid w:val="00F925A3"/>
    <w:rsid w:val="00F92648"/>
    <w:rsid w:val="00F92A12"/>
    <w:rsid w:val="00F92AE1"/>
    <w:rsid w:val="00F92BC1"/>
    <w:rsid w:val="00F92E43"/>
    <w:rsid w:val="00F931DF"/>
    <w:rsid w:val="00F93221"/>
    <w:rsid w:val="00F932AB"/>
    <w:rsid w:val="00F933C4"/>
    <w:rsid w:val="00F93500"/>
    <w:rsid w:val="00F93665"/>
    <w:rsid w:val="00F93680"/>
    <w:rsid w:val="00F9387B"/>
    <w:rsid w:val="00F93A45"/>
    <w:rsid w:val="00F93CAE"/>
    <w:rsid w:val="00F93D0A"/>
    <w:rsid w:val="00F93E48"/>
    <w:rsid w:val="00F93E4B"/>
    <w:rsid w:val="00F93F5D"/>
    <w:rsid w:val="00F940C8"/>
    <w:rsid w:val="00F94198"/>
    <w:rsid w:val="00F941E5"/>
    <w:rsid w:val="00F94232"/>
    <w:rsid w:val="00F9438E"/>
    <w:rsid w:val="00F94753"/>
    <w:rsid w:val="00F94BD7"/>
    <w:rsid w:val="00F951B1"/>
    <w:rsid w:val="00F95247"/>
    <w:rsid w:val="00F95428"/>
    <w:rsid w:val="00F9555B"/>
    <w:rsid w:val="00F9568A"/>
    <w:rsid w:val="00F957C2"/>
    <w:rsid w:val="00F95B57"/>
    <w:rsid w:val="00F95BEB"/>
    <w:rsid w:val="00F95C4B"/>
    <w:rsid w:val="00F95F85"/>
    <w:rsid w:val="00F9618A"/>
    <w:rsid w:val="00F96231"/>
    <w:rsid w:val="00F96278"/>
    <w:rsid w:val="00F963C3"/>
    <w:rsid w:val="00F963D5"/>
    <w:rsid w:val="00F9662A"/>
    <w:rsid w:val="00F96652"/>
    <w:rsid w:val="00F968F9"/>
    <w:rsid w:val="00F9693F"/>
    <w:rsid w:val="00F96A4F"/>
    <w:rsid w:val="00F96C12"/>
    <w:rsid w:val="00F96C40"/>
    <w:rsid w:val="00F96D5A"/>
    <w:rsid w:val="00F96D7E"/>
    <w:rsid w:val="00F96EC2"/>
    <w:rsid w:val="00F9700D"/>
    <w:rsid w:val="00F9706B"/>
    <w:rsid w:val="00F9748F"/>
    <w:rsid w:val="00F9756E"/>
    <w:rsid w:val="00F9757F"/>
    <w:rsid w:val="00F977A3"/>
    <w:rsid w:val="00F97A46"/>
    <w:rsid w:val="00F97CD4"/>
    <w:rsid w:val="00F97F24"/>
    <w:rsid w:val="00F97FAD"/>
    <w:rsid w:val="00F97FD9"/>
    <w:rsid w:val="00FA00FF"/>
    <w:rsid w:val="00FA02C1"/>
    <w:rsid w:val="00FA05A4"/>
    <w:rsid w:val="00FA06FA"/>
    <w:rsid w:val="00FA0753"/>
    <w:rsid w:val="00FA08B8"/>
    <w:rsid w:val="00FA091D"/>
    <w:rsid w:val="00FA0A50"/>
    <w:rsid w:val="00FA0C41"/>
    <w:rsid w:val="00FA0DA8"/>
    <w:rsid w:val="00FA0E05"/>
    <w:rsid w:val="00FA1396"/>
    <w:rsid w:val="00FA1507"/>
    <w:rsid w:val="00FA1777"/>
    <w:rsid w:val="00FA17C8"/>
    <w:rsid w:val="00FA1BBE"/>
    <w:rsid w:val="00FA1F89"/>
    <w:rsid w:val="00FA225C"/>
    <w:rsid w:val="00FA2441"/>
    <w:rsid w:val="00FA2597"/>
    <w:rsid w:val="00FA25A2"/>
    <w:rsid w:val="00FA25A5"/>
    <w:rsid w:val="00FA2677"/>
    <w:rsid w:val="00FA27DE"/>
    <w:rsid w:val="00FA2A15"/>
    <w:rsid w:val="00FA2A36"/>
    <w:rsid w:val="00FA3143"/>
    <w:rsid w:val="00FA32F0"/>
    <w:rsid w:val="00FA34A9"/>
    <w:rsid w:val="00FA3509"/>
    <w:rsid w:val="00FA368B"/>
    <w:rsid w:val="00FA3706"/>
    <w:rsid w:val="00FA374F"/>
    <w:rsid w:val="00FA3A6D"/>
    <w:rsid w:val="00FA3A98"/>
    <w:rsid w:val="00FA3D50"/>
    <w:rsid w:val="00FA3DE6"/>
    <w:rsid w:val="00FA45E1"/>
    <w:rsid w:val="00FA46CB"/>
    <w:rsid w:val="00FA473F"/>
    <w:rsid w:val="00FA4855"/>
    <w:rsid w:val="00FA49A7"/>
    <w:rsid w:val="00FA50EB"/>
    <w:rsid w:val="00FA519F"/>
    <w:rsid w:val="00FA51FB"/>
    <w:rsid w:val="00FA5341"/>
    <w:rsid w:val="00FA5466"/>
    <w:rsid w:val="00FA5544"/>
    <w:rsid w:val="00FA561E"/>
    <w:rsid w:val="00FA563D"/>
    <w:rsid w:val="00FA58B2"/>
    <w:rsid w:val="00FA5B1B"/>
    <w:rsid w:val="00FA5C2A"/>
    <w:rsid w:val="00FA5EEC"/>
    <w:rsid w:val="00FA62AB"/>
    <w:rsid w:val="00FA652E"/>
    <w:rsid w:val="00FA65A0"/>
    <w:rsid w:val="00FA6601"/>
    <w:rsid w:val="00FA695B"/>
    <w:rsid w:val="00FA6AE6"/>
    <w:rsid w:val="00FA6BCA"/>
    <w:rsid w:val="00FA6BF1"/>
    <w:rsid w:val="00FA6E43"/>
    <w:rsid w:val="00FA720A"/>
    <w:rsid w:val="00FA7291"/>
    <w:rsid w:val="00FA7470"/>
    <w:rsid w:val="00FA76CF"/>
    <w:rsid w:val="00FA7D1A"/>
    <w:rsid w:val="00FA7D8F"/>
    <w:rsid w:val="00FA7DE9"/>
    <w:rsid w:val="00FA7E0C"/>
    <w:rsid w:val="00FA7E2C"/>
    <w:rsid w:val="00FB03CC"/>
    <w:rsid w:val="00FB040A"/>
    <w:rsid w:val="00FB07D2"/>
    <w:rsid w:val="00FB08C2"/>
    <w:rsid w:val="00FB0B05"/>
    <w:rsid w:val="00FB0D94"/>
    <w:rsid w:val="00FB0FE0"/>
    <w:rsid w:val="00FB0FE7"/>
    <w:rsid w:val="00FB1053"/>
    <w:rsid w:val="00FB1059"/>
    <w:rsid w:val="00FB10A9"/>
    <w:rsid w:val="00FB10F2"/>
    <w:rsid w:val="00FB147D"/>
    <w:rsid w:val="00FB153E"/>
    <w:rsid w:val="00FB1551"/>
    <w:rsid w:val="00FB17F9"/>
    <w:rsid w:val="00FB1906"/>
    <w:rsid w:val="00FB1A84"/>
    <w:rsid w:val="00FB1C62"/>
    <w:rsid w:val="00FB1ED6"/>
    <w:rsid w:val="00FB1F40"/>
    <w:rsid w:val="00FB1F84"/>
    <w:rsid w:val="00FB205E"/>
    <w:rsid w:val="00FB2221"/>
    <w:rsid w:val="00FB22D8"/>
    <w:rsid w:val="00FB2630"/>
    <w:rsid w:val="00FB269B"/>
    <w:rsid w:val="00FB2A78"/>
    <w:rsid w:val="00FB2B6C"/>
    <w:rsid w:val="00FB2B7B"/>
    <w:rsid w:val="00FB2E01"/>
    <w:rsid w:val="00FB2E52"/>
    <w:rsid w:val="00FB2EE9"/>
    <w:rsid w:val="00FB334B"/>
    <w:rsid w:val="00FB3408"/>
    <w:rsid w:val="00FB3562"/>
    <w:rsid w:val="00FB35CD"/>
    <w:rsid w:val="00FB35ED"/>
    <w:rsid w:val="00FB36DD"/>
    <w:rsid w:val="00FB37EA"/>
    <w:rsid w:val="00FB3A85"/>
    <w:rsid w:val="00FB3BC4"/>
    <w:rsid w:val="00FB3CA3"/>
    <w:rsid w:val="00FB3DE4"/>
    <w:rsid w:val="00FB40B3"/>
    <w:rsid w:val="00FB410D"/>
    <w:rsid w:val="00FB42DB"/>
    <w:rsid w:val="00FB4313"/>
    <w:rsid w:val="00FB43EB"/>
    <w:rsid w:val="00FB4A0C"/>
    <w:rsid w:val="00FB4B8F"/>
    <w:rsid w:val="00FB4D37"/>
    <w:rsid w:val="00FB4D89"/>
    <w:rsid w:val="00FB5162"/>
    <w:rsid w:val="00FB5241"/>
    <w:rsid w:val="00FB52B2"/>
    <w:rsid w:val="00FB56C2"/>
    <w:rsid w:val="00FB5808"/>
    <w:rsid w:val="00FB5CCD"/>
    <w:rsid w:val="00FB5E9D"/>
    <w:rsid w:val="00FB5EE4"/>
    <w:rsid w:val="00FB6015"/>
    <w:rsid w:val="00FB6460"/>
    <w:rsid w:val="00FB6563"/>
    <w:rsid w:val="00FB6736"/>
    <w:rsid w:val="00FB6A02"/>
    <w:rsid w:val="00FB6BDE"/>
    <w:rsid w:val="00FB6D4D"/>
    <w:rsid w:val="00FB6E07"/>
    <w:rsid w:val="00FB6EF7"/>
    <w:rsid w:val="00FB6F82"/>
    <w:rsid w:val="00FB6FD2"/>
    <w:rsid w:val="00FB720F"/>
    <w:rsid w:val="00FB7271"/>
    <w:rsid w:val="00FB72A8"/>
    <w:rsid w:val="00FB73B5"/>
    <w:rsid w:val="00FB757B"/>
    <w:rsid w:val="00FB76DD"/>
    <w:rsid w:val="00FB77C7"/>
    <w:rsid w:val="00FB78FE"/>
    <w:rsid w:val="00FB796F"/>
    <w:rsid w:val="00FB7B24"/>
    <w:rsid w:val="00FB7C38"/>
    <w:rsid w:val="00FB7D30"/>
    <w:rsid w:val="00FB7D87"/>
    <w:rsid w:val="00FB7EE7"/>
    <w:rsid w:val="00FC005C"/>
    <w:rsid w:val="00FC00A6"/>
    <w:rsid w:val="00FC01C9"/>
    <w:rsid w:val="00FC045C"/>
    <w:rsid w:val="00FC0713"/>
    <w:rsid w:val="00FC0765"/>
    <w:rsid w:val="00FC0830"/>
    <w:rsid w:val="00FC0B1C"/>
    <w:rsid w:val="00FC0F61"/>
    <w:rsid w:val="00FC0FBF"/>
    <w:rsid w:val="00FC10ED"/>
    <w:rsid w:val="00FC122E"/>
    <w:rsid w:val="00FC1460"/>
    <w:rsid w:val="00FC1525"/>
    <w:rsid w:val="00FC1589"/>
    <w:rsid w:val="00FC1925"/>
    <w:rsid w:val="00FC193C"/>
    <w:rsid w:val="00FC1A76"/>
    <w:rsid w:val="00FC1EA6"/>
    <w:rsid w:val="00FC22A6"/>
    <w:rsid w:val="00FC2534"/>
    <w:rsid w:val="00FC2561"/>
    <w:rsid w:val="00FC2693"/>
    <w:rsid w:val="00FC2DCE"/>
    <w:rsid w:val="00FC2E94"/>
    <w:rsid w:val="00FC2F33"/>
    <w:rsid w:val="00FC316C"/>
    <w:rsid w:val="00FC31C2"/>
    <w:rsid w:val="00FC3544"/>
    <w:rsid w:val="00FC3C38"/>
    <w:rsid w:val="00FC3DE5"/>
    <w:rsid w:val="00FC41F8"/>
    <w:rsid w:val="00FC432A"/>
    <w:rsid w:val="00FC4425"/>
    <w:rsid w:val="00FC4785"/>
    <w:rsid w:val="00FC487B"/>
    <w:rsid w:val="00FC48F0"/>
    <w:rsid w:val="00FC4AE4"/>
    <w:rsid w:val="00FC4B92"/>
    <w:rsid w:val="00FC4C81"/>
    <w:rsid w:val="00FC4CFC"/>
    <w:rsid w:val="00FC4E0F"/>
    <w:rsid w:val="00FC4E90"/>
    <w:rsid w:val="00FC4F36"/>
    <w:rsid w:val="00FC501C"/>
    <w:rsid w:val="00FC50B1"/>
    <w:rsid w:val="00FC528F"/>
    <w:rsid w:val="00FC532E"/>
    <w:rsid w:val="00FC5395"/>
    <w:rsid w:val="00FC5418"/>
    <w:rsid w:val="00FC584E"/>
    <w:rsid w:val="00FC595B"/>
    <w:rsid w:val="00FC5A7D"/>
    <w:rsid w:val="00FC5B63"/>
    <w:rsid w:val="00FC5BCE"/>
    <w:rsid w:val="00FC5CFF"/>
    <w:rsid w:val="00FC5D4E"/>
    <w:rsid w:val="00FC60DD"/>
    <w:rsid w:val="00FC622E"/>
    <w:rsid w:val="00FC6250"/>
    <w:rsid w:val="00FC6420"/>
    <w:rsid w:val="00FC6468"/>
    <w:rsid w:val="00FC6602"/>
    <w:rsid w:val="00FC6729"/>
    <w:rsid w:val="00FC676A"/>
    <w:rsid w:val="00FC68CB"/>
    <w:rsid w:val="00FC6997"/>
    <w:rsid w:val="00FC69CB"/>
    <w:rsid w:val="00FC6AC9"/>
    <w:rsid w:val="00FC6F6D"/>
    <w:rsid w:val="00FC701C"/>
    <w:rsid w:val="00FC7126"/>
    <w:rsid w:val="00FC7160"/>
    <w:rsid w:val="00FC7169"/>
    <w:rsid w:val="00FC7181"/>
    <w:rsid w:val="00FC757F"/>
    <w:rsid w:val="00FC7653"/>
    <w:rsid w:val="00FC796D"/>
    <w:rsid w:val="00FC7AAA"/>
    <w:rsid w:val="00FC7B3F"/>
    <w:rsid w:val="00FC7D49"/>
    <w:rsid w:val="00FC7E1B"/>
    <w:rsid w:val="00FD00A4"/>
    <w:rsid w:val="00FD00F2"/>
    <w:rsid w:val="00FD0147"/>
    <w:rsid w:val="00FD01A9"/>
    <w:rsid w:val="00FD046F"/>
    <w:rsid w:val="00FD0474"/>
    <w:rsid w:val="00FD087B"/>
    <w:rsid w:val="00FD0A03"/>
    <w:rsid w:val="00FD0CE2"/>
    <w:rsid w:val="00FD0DB6"/>
    <w:rsid w:val="00FD0EDC"/>
    <w:rsid w:val="00FD0F95"/>
    <w:rsid w:val="00FD10A4"/>
    <w:rsid w:val="00FD10BB"/>
    <w:rsid w:val="00FD11C5"/>
    <w:rsid w:val="00FD120B"/>
    <w:rsid w:val="00FD1360"/>
    <w:rsid w:val="00FD148E"/>
    <w:rsid w:val="00FD191A"/>
    <w:rsid w:val="00FD195E"/>
    <w:rsid w:val="00FD19EE"/>
    <w:rsid w:val="00FD1B1B"/>
    <w:rsid w:val="00FD1FF2"/>
    <w:rsid w:val="00FD1FF7"/>
    <w:rsid w:val="00FD2294"/>
    <w:rsid w:val="00FD257E"/>
    <w:rsid w:val="00FD2655"/>
    <w:rsid w:val="00FD2876"/>
    <w:rsid w:val="00FD2BA5"/>
    <w:rsid w:val="00FD2C17"/>
    <w:rsid w:val="00FD2D2A"/>
    <w:rsid w:val="00FD2FFC"/>
    <w:rsid w:val="00FD326C"/>
    <w:rsid w:val="00FD32FA"/>
    <w:rsid w:val="00FD354D"/>
    <w:rsid w:val="00FD35F5"/>
    <w:rsid w:val="00FD36D6"/>
    <w:rsid w:val="00FD3838"/>
    <w:rsid w:val="00FD3853"/>
    <w:rsid w:val="00FD3AC6"/>
    <w:rsid w:val="00FD3C49"/>
    <w:rsid w:val="00FD3DD0"/>
    <w:rsid w:val="00FD3EDE"/>
    <w:rsid w:val="00FD3F1F"/>
    <w:rsid w:val="00FD4098"/>
    <w:rsid w:val="00FD40A1"/>
    <w:rsid w:val="00FD4141"/>
    <w:rsid w:val="00FD44A0"/>
    <w:rsid w:val="00FD45CE"/>
    <w:rsid w:val="00FD47CD"/>
    <w:rsid w:val="00FD48B8"/>
    <w:rsid w:val="00FD4AC9"/>
    <w:rsid w:val="00FD4CBA"/>
    <w:rsid w:val="00FD4CFD"/>
    <w:rsid w:val="00FD4D06"/>
    <w:rsid w:val="00FD5008"/>
    <w:rsid w:val="00FD507E"/>
    <w:rsid w:val="00FD5104"/>
    <w:rsid w:val="00FD516F"/>
    <w:rsid w:val="00FD530E"/>
    <w:rsid w:val="00FD554E"/>
    <w:rsid w:val="00FD56F4"/>
    <w:rsid w:val="00FD57C8"/>
    <w:rsid w:val="00FD59AD"/>
    <w:rsid w:val="00FD59F5"/>
    <w:rsid w:val="00FD5ABF"/>
    <w:rsid w:val="00FD5B63"/>
    <w:rsid w:val="00FD5C07"/>
    <w:rsid w:val="00FD5D09"/>
    <w:rsid w:val="00FD5E51"/>
    <w:rsid w:val="00FD6017"/>
    <w:rsid w:val="00FD6158"/>
    <w:rsid w:val="00FD61A4"/>
    <w:rsid w:val="00FD6399"/>
    <w:rsid w:val="00FD6729"/>
    <w:rsid w:val="00FD6768"/>
    <w:rsid w:val="00FD6899"/>
    <w:rsid w:val="00FD6AF9"/>
    <w:rsid w:val="00FD6B73"/>
    <w:rsid w:val="00FD6EF0"/>
    <w:rsid w:val="00FD6F42"/>
    <w:rsid w:val="00FD6FEE"/>
    <w:rsid w:val="00FD71B5"/>
    <w:rsid w:val="00FD71CB"/>
    <w:rsid w:val="00FD7210"/>
    <w:rsid w:val="00FD740A"/>
    <w:rsid w:val="00FD740D"/>
    <w:rsid w:val="00FD747A"/>
    <w:rsid w:val="00FD7866"/>
    <w:rsid w:val="00FD7A9A"/>
    <w:rsid w:val="00FD7AA0"/>
    <w:rsid w:val="00FD7CCD"/>
    <w:rsid w:val="00FD7F10"/>
    <w:rsid w:val="00FE08DD"/>
    <w:rsid w:val="00FE0B17"/>
    <w:rsid w:val="00FE0DE8"/>
    <w:rsid w:val="00FE0FEA"/>
    <w:rsid w:val="00FE1103"/>
    <w:rsid w:val="00FE1199"/>
    <w:rsid w:val="00FE12D0"/>
    <w:rsid w:val="00FE133F"/>
    <w:rsid w:val="00FE13AB"/>
    <w:rsid w:val="00FE14E9"/>
    <w:rsid w:val="00FE1517"/>
    <w:rsid w:val="00FE1554"/>
    <w:rsid w:val="00FE190E"/>
    <w:rsid w:val="00FE1B80"/>
    <w:rsid w:val="00FE1B92"/>
    <w:rsid w:val="00FE1CC9"/>
    <w:rsid w:val="00FE1D18"/>
    <w:rsid w:val="00FE1F5C"/>
    <w:rsid w:val="00FE208B"/>
    <w:rsid w:val="00FE2198"/>
    <w:rsid w:val="00FE2235"/>
    <w:rsid w:val="00FE2306"/>
    <w:rsid w:val="00FE23BF"/>
    <w:rsid w:val="00FE23E6"/>
    <w:rsid w:val="00FE28A6"/>
    <w:rsid w:val="00FE291B"/>
    <w:rsid w:val="00FE2A9E"/>
    <w:rsid w:val="00FE2F46"/>
    <w:rsid w:val="00FE2F52"/>
    <w:rsid w:val="00FE2FB1"/>
    <w:rsid w:val="00FE316C"/>
    <w:rsid w:val="00FE3213"/>
    <w:rsid w:val="00FE322D"/>
    <w:rsid w:val="00FE3464"/>
    <w:rsid w:val="00FE34C6"/>
    <w:rsid w:val="00FE35CC"/>
    <w:rsid w:val="00FE3626"/>
    <w:rsid w:val="00FE391B"/>
    <w:rsid w:val="00FE3A23"/>
    <w:rsid w:val="00FE3B12"/>
    <w:rsid w:val="00FE3D0A"/>
    <w:rsid w:val="00FE3D8A"/>
    <w:rsid w:val="00FE3F85"/>
    <w:rsid w:val="00FE402F"/>
    <w:rsid w:val="00FE4261"/>
    <w:rsid w:val="00FE42B7"/>
    <w:rsid w:val="00FE42BB"/>
    <w:rsid w:val="00FE437B"/>
    <w:rsid w:val="00FE453E"/>
    <w:rsid w:val="00FE4540"/>
    <w:rsid w:val="00FE462D"/>
    <w:rsid w:val="00FE469C"/>
    <w:rsid w:val="00FE484C"/>
    <w:rsid w:val="00FE486F"/>
    <w:rsid w:val="00FE48C8"/>
    <w:rsid w:val="00FE4C49"/>
    <w:rsid w:val="00FE4CCB"/>
    <w:rsid w:val="00FE4CFA"/>
    <w:rsid w:val="00FE531B"/>
    <w:rsid w:val="00FE5510"/>
    <w:rsid w:val="00FE5801"/>
    <w:rsid w:val="00FE58AF"/>
    <w:rsid w:val="00FE5A57"/>
    <w:rsid w:val="00FE5C88"/>
    <w:rsid w:val="00FE5D0E"/>
    <w:rsid w:val="00FE5D19"/>
    <w:rsid w:val="00FE5D9A"/>
    <w:rsid w:val="00FE5E03"/>
    <w:rsid w:val="00FE5E5C"/>
    <w:rsid w:val="00FE60B7"/>
    <w:rsid w:val="00FE6150"/>
    <w:rsid w:val="00FE6372"/>
    <w:rsid w:val="00FE6548"/>
    <w:rsid w:val="00FE6674"/>
    <w:rsid w:val="00FE6783"/>
    <w:rsid w:val="00FE6ECF"/>
    <w:rsid w:val="00FE7019"/>
    <w:rsid w:val="00FE71E3"/>
    <w:rsid w:val="00FE72B1"/>
    <w:rsid w:val="00FE744A"/>
    <w:rsid w:val="00FE76CE"/>
    <w:rsid w:val="00FE7C58"/>
    <w:rsid w:val="00FE7DDC"/>
    <w:rsid w:val="00FE7E76"/>
    <w:rsid w:val="00FF04D1"/>
    <w:rsid w:val="00FF059B"/>
    <w:rsid w:val="00FF0A3A"/>
    <w:rsid w:val="00FF0ECA"/>
    <w:rsid w:val="00FF0EE5"/>
    <w:rsid w:val="00FF0FF3"/>
    <w:rsid w:val="00FF1061"/>
    <w:rsid w:val="00FF1395"/>
    <w:rsid w:val="00FF15A2"/>
    <w:rsid w:val="00FF173B"/>
    <w:rsid w:val="00FF1920"/>
    <w:rsid w:val="00FF1959"/>
    <w:rsid w:val="00FF1C32"/>
    <w:rsid w:val="00FF1CAC"/>
    <w:rsid w:val="00FF1CE3"/>
    <w:rsid w:val="00FF20ED"/>
    <w:rsid w:val="00FF211A"/>
    <w:rsid w:val="00FF23E3"/>
    <w:rsid w:val="00FF2563"/>
    <w:rsid w:val="00FF261D"/>
    <w:rsid w:val="00FF2693"/>
    <w:rsid w:val="00FF2A26"/>
    <w:rsid w:val="00FF2B87"/>
    <w:rsid w:val="00FF2E04"/>
    <w:rsid w:val="00FF2E90"/>
    <w:rsid w:val="00FF2EDF"/>
    <w:rsid w:val="00FF2F94"/>
    <w:rsid w:val="00FF2FBE"/>
    <w:rsid w:val="00FF30EF"/>
    <w:rsid w:val="00FF3387"/>
    <w:rsid w:val="00FF33C3"/>
    <w:rsid w:val="00FF342C"/>
    <w:rsid w:val="00FF36EE"/>
    <w:rsid w:val="00FF36F2"/>
    <w:rsid w:val="00FF38A3"/>
    <w:rsid w:val="00FF3946"/>
    <w:rsid w:val="00FF3B67"/>
    <w:rsid w:val="00FF3BAE"/>
    <w:rsid w:val="00FF3E41"/>
    <w:rsid w:val="00FF4132"/>
    <w:rsid w:val="00FF427E"/>
    <w:rsid w:val="00FF44DC"/>
    <w:rsid w:val="00FF4575"/>
    <w:rsid w:val="00FF462A"/>
    <w:rsid w:val="00FF469E"/>
    <w:rsid w:val="00FF485C"/>
    <w:rsid w:val="00FF4B11"/>
    <w:rsid w:val="00FF4DA9"/>
    <w:rsid w:val="00FF4DD6"/>
    <w:rsid w:val="00FF4EE2"/>
    <w:rsid w:val="00FF50E2"/>
    <w:rsid w:val="00FF53EF"/>
    <w:rsid w:val="00FF5488"/>
    <w:rsid w:val="00FF5721"/>
    <w:rsid w:val="00FF5A19"/>
    <w:rsid w:val="00FF5C71"/>
    <w:rsid w:val="00FF5E5A"/>
    <w:rsid w:val="00FF5F6C"/>
    <w:rsid w:val="00FF64B9"/>
    <w:rsid w:val="00FF64BB"/>
    <w:rsid w:val="00FF6621"/>
    <w:rsid w:val="00FF687A"/>
    <w:rsid w:val="00FF68A5"/>
    <w:rsid w:val="00FF68BC"/>
    <w:rsid w:val="00FF6C7A"/>
    <w:rsid w:val="00FF6FD4"/>
    <w:rsid w:val="00FF70B9"/>
    <w:rsid w:val="00FF70CE"/>
    <w:rsid w:val="00FF712C"/>
    <w:rsid w:val="00FF7691"/>
    <w:rsid w:val="00FF78CE"/>
    <w:rsid w:val="00FF7B4A"/>
    <w:rsid w:val="00FF7CEF"/>
    <w:rsid w:val="00FF7DD0"/>
    <w:rsid w:val="00FF7F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1BED5"/>
  <w15:docId w15:val="{C92A3FB9-011D-4953-AEC1-8723BAE1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AD0"/>
  </w:style>
  <w:style w:type="paragraph" w:styleId="Heading1">
    <w:name w:val="heading 1"/>
    <w:basedOn w:val="Normal"/>
    <w:next w:val="Normal"/>
    <w:link w:val="Heading1Char"/>
    <w:uiPriority w:val="9"/>
    <w:qFormat/>
    <w:rsid w:val="00D934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934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83F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F075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934B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934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934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934B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934B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A30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30FB9"/>
    <w:rPr>
      <w:rFonts w:ascii="Tahoma" w:hAnsi="Tahoma" w:cs="Tahoma"/>
      <w:sz w:val="16"/>
      <w:szCs w:val="16"/>
    </w:rPr>
  </w:style>
  <w:style w:type="paragraph" w:styleId="ListParagraph">
    <w:name w:val="List Paragraph"/>
    <w:aliases w:val="Bullets_size 10,List Paragraph1,Bullet Number,lp1,lp11,List Paragraph11,Use Case List Paragraph,Num Bullet 1,Steps,Medium Grid 1 - Accent 21"/>
    <w:basedOn w:val="Normal"/>
    <w:link w:val="ListParagraphChar"/>
    <w:uiPriority w:val="34"/>
    <w:qFormat/>
    <w:rsid w:val="00DF022B"/>
    <w:pPr>
      <w:spacing w:after="0" w:line="240" w:lineRule="auto"/>
      <w:ind w:left="720"/>
    </w:pPr>
    <w:rPr>
      <w:rFonts w:ascii="Times New Roman" w:eastAsia="Times New Roman" w:hAnsi="Times New Roman" w:cs="Times New Roman"/>
      <w:sz w:val="24"/>
      <w:szCs w:val="24"/>
    </w:rPr>
  </w:style>
  <w:style w:type="paragraph" w:styleId="BodyText3">
    <w:name w:val="Body Text 3"/>
    <w:basedOn w:val="Normal"/>
    <w:link w:val="BodyText3Char"/>
    <w:rsid w:val="00DF022B"/>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pPr>
    <w:rPr>
      <w:rFonts w:ascii="Times New Roman" w:eastAsia="Times New Roman" w:hAnsi="Times New Roman" w:cs="Times New Roman"/>
      <w:szCs w:val="20"/>
      <w:lang w:eastAsia="el-GR"/>
    </w:rPr>
  </w:style>
  <w:style w:type="character" w:customStyle="1" w:styleId="BodyText3Char">
    <w:name w:val="Body Text 3 Char"/>
    <w:basedOn w:val="DefaultParagraphFont"/>
    <w:link w:val="BodyText3"/>
    <w:rsid w:val="00DF022B"/>
    <w:rPr>
      <w:rFonts w:ascii="Times New Roman" w:eastAsia="Times New Roman" w:hAnsi="Times New Roman" w:cs="Times New Roman"/>
      <w:szCs w:val="20"/>
      <w:lang w:eastAsia="el-GR"/>
    </w:rPr>
  </w:style>
  <w:style w:type="paragraph" w:styleId="FootnoteText">
    <w:name w:val="footnote text"/>
    <w:aliases w:val="Fußnotentext Char,Fußnotentext Char1 Char,Fußnotentext Char Char Char,Fußnotentext Char1 Char Char Char Char,Fußnotentext Char Char Char Char Char Char,Fußnotentext Char1 Char Char Char Char Char Char,Fußnotentext Char2,Fußnotentext Char1"/>
    <w:basedOn w:val="Normal"/>
    <w:link w:val="FootnoteTextChar"/>
    <w:uiPriority w:val="99"/>
    <w:rsid w:val="005C0A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ußnotentext Char Char,Fußnotentext Char1 Char Char,Fußnotentext Char Char Char Char,Fußnotentext Char1 Char Char Char Char Char,Fußnotentext Char Char Char Char Char Char Char,Fußnotentext Char1 Char Char Char Char Char Char Char"/>
    <w:basedOn w:val="DefaultParagraphFont"/>
    <w:link w:val="FootnoteText"/>
    <w:uiPriority w:val="99"/>
    <w:rsid w:val="005C0A4E"/>
    <w:rPr>
      <w:rFonts w:ascii="Times New Roman" w:eastAsia="Times New Roman" w:hAnsi="Times New Roman" w:cs="Times New Roman"/>
      <w:sz w:val="20"/>
      <w:szCs w:val="20"/>
      <w:lang w:val="en-GB"/>
    </w:rPr>
  </w:style>
  <w:style w:type="character" w:styleId="FootnoteReference">
    <w:name w:val="footnote reference"/>
    <w:uiPriority w:val="99"/>
    <w:rsid w:val="005C0A4E"/>
    <w:rPr>
      <w:vertAlign w:val="superscript"/>
    </w:rPr>
  </w:style>
  <w:style w:type="paragraph" w:styleId="Footer">
    <w:name w:val="footer"/>
    <w:basedOn w:val="Normal"/>
    <w:link w:val="FooterChar"/>
    <w:uiPriority w:val="99"/>
    <w:rsid w:val="005C0A4E"/>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5C0A4E"/>
    <w:rPr>
      <w:rFonts w:ascii="Times New Roman" w:eastAsia="Times New Roman" w:hAnsi="Times New Roman" w:cs="Times New Roman"/>
      <w:sz w:val="24"/>
      <w:szCs w:val="20"/>
      <w:lang w:val="en-GB"/>
    </w:rPr>
  </w:style>
  <w:style w:type="paragraph" w:customStyle="1" w:styleId="irnormaltext">
    <w:name w:val="irnormaltext"/>
    <w:basedOn w:val="Normal"/>
    <w:uiPriority w:val="99"/>
    <w:rsid w:val="005C0A4E"/>
    <w:pPr>
      <w:spacing w:before="100" w:beforeAutospacing="1" w:after="100" w:afterAutospacing="1" w:line="240" w:lineRule="auto"/>
    </w:pPr>
    <w:rPr>
      <w:rFonts w:ascii="Arial" w:eastAsia="Times New Roman" w:hAnsi="Arial" w:cs="Arial"/>
      <w:color w:val="231F20"/>
      <w:sz w:val="16"/>
      <w:szCs w:val="16"/>
      <w:lang w:val="en-US"/>
    </w:rPr>
  </w:style>
  <w:style w:type="paragraph" w:customStyle="1" w:styleId="Default">
    <w:name w:val="Default"/>
    <w:rsid w:val="005C75B1"/>
    <w:pPr>
      <w:autoSpaceDE w:val="0"/>
      <w:autoSpaceDN w:val="0"/>
      <w:adjustRightInd w:val="0"/>
      <w:spacing w:after="0" w:line="240" w:lineRule="auto"/>
    </w:pPr>
    <w:rPr>
      <w:rFonts w:ascii="Arial" w:hAnsi="Arial" w:cs="Arial"/>
      <w:color w:val="000000"/>
      <w:sz w:val="24"/>
      <w:szCs w:val="24"/>
    </w:rPr>
  </w:style>
  <w:style w:type="character" w:styleId="Hyperlink">
    <w:name w:val="Hyperlink"/>
    <w:rsid w:val="00196C15"/>
    <w:rPr>
      <w:color w:val="0000FF"/>
      <w:u w:val="single"/>
    </w:rPr>
  </w:style>
  <w:style w:type="paragraph" w:styleId="EndnoteText">
    <w:name w:val="endnote text"/>
    <w:basedOn w:val="Normal"/>
    <w:link w:val="EndnoteTextChar"/>
    <w:uiPriority w:val="99"/>
    <w:unhideWhenUsed/>
    <w:rsid w:val="00191BFC"/>
    <w:pPr>
      <w:spacing w:after="0" w:line="240" w:lineRule="auto"/>
    </w:pPr>
    <w:rPr>
      <w:sz w:val="20"/>
      <w:szCs w:val="20"/>
    </w:rPr>
  </w:style>
  <w:style w:type="character" w:customStyle="1" w:styleId="EndnoteTextChar">
    <w:name w:val="Endnote Text Char"/>
    <w:basedOn w:val="DefaultParagraphFont"/>
    <w:link w:val="EndnoteText"/>
    <w:uiPriority w:val="99"/>
    <w:rsid w:val="00191BFC"/>
    <w:rPr>
      <w:sz w:val="20"/>
      <w:szCs w:val="20"/>
    </w:rPr>
  </w:style>
  <w:style w:type="character" w:styleId="EndnoteReference">
    <w:name w:val="endnote reference"/>
    <w:basedOn w:val="DefaultParagraphFont"/>
    <w:uiPriority w:val="99"/>
    <w:unhideWhenUsed/>
    <w:rsid w:val="00191BFC"/>
    <w:rPr>
      <w:vertAlign w:val="superscript"/>
    </w:rPr>
  </w:style>
  <w:style w:type="paragraph" w:styleId="BodyText2">
    <w:name w:val="Body Text 2"/>
    <w:basedOn w:val="Normal"/>
    <w:link w:val="BodyText2Char"/>
    <w:rsid w:val="0077594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775948"/>
    <w:rPr>
      <w:rFonts w:ascii="Times New Roman" w:eastAsia="Times New Roman" w:hAnsi="Times New Roman" w:cs="Times New Roman"/>
      <w:sz w:val="24"/>
      <w:szCs w:val="24"/>
      <w:lang w:val="en-GB"/>
    </w:rPr>
  </w:style>
  <w:style w:type="paragraph" w:styleId="ListBullet">
    <w:name w:val="List Bullet"/>
    <w:basedOn w:val="Normal"/>
    <w:autoRedefine/>
    <w:rsid w:val="00B74263"/>
    <w:pPr>
      <w:framePr w:hSpace="180" w:wrap="around" w:vAnchor="text" w:hAnchor="text" w:x="-527" w:y="1"/>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suppressOverlap/>
    </w:pPr>
    <w:rPr>
      <w:rFonts w:ascii="Arial" w:eastAsia="Times New Roman" w:hAnsi="Arial" w:cs="Arial"/>
      <w:sz w:val="16"/>
      <w:szCs w:val="16"/>
      <w:lang w:val="el-GR" w:eastAsia="el-GR"/>
    </w:rPr>
  </w:style>
  <w:style w:type="paragraph" w:styleId="Title">
    <w:name w:val="Title"/>
    <w:basedOn w:val="Normal"/>
    <w:link w:val="TitleChar"/>
    <w:qFormat/>
    <w:rsid w:val="00F34F66"/>
    <w:pPr>
      <w:tabs>
        <w:tab w:val="left" w:pos="0"/>
        <w:tab w:val="left" w:pos="282"/>
        <w:tab w:val="left" w:pos="720"/>
      </w:tabs>
      <w:suppressAutoHyphens/>
      <w:spacing w:after="0" w:line="240" w:lineRule="auto"/>
      <w:jc w:val="center"/>
    </w:pPr>
    <w:rPr>
      <w:rFonts w:ascii="Times New Roman" w:eastAsia="Times New Roman" w:hAnsi="Times New Roman" w:cs="Times New Roman"/>
      <w:b/>
      <w:color w:val="FF6600"/>
      <w:sz w:val="24"/>
      <w:szCs w:val="20"/>
      <w:lang w:val="en-US"/>
    </w:rPr>
  </w:style>
  <w:style w:type="character" w:customStyle="1" w:styleId="TitleChar">
    <w:name w:val="Title Char"/>
    <w:basedOn w:val="DefaultParagraphFont"/>
    <w:link w:val="Title"/>
    <w:rsid w:val="00F34F66"/>
    <w:rPr>
      <w:rFonts w:ascii="Times New Roman" w:eastAsia="Times New Roman" w:hAnsi="Times New Roman" w:cs="Times New Roman"/>
      <w:b/>
      <w:color w:val="FF6600"/>
      <w:sz w:val="24"/>
      <w:szCs w:val="20"/>
      <w:lang w:val="en-US"/>
    </w:rPr>
  </w:style>
  <w:style w:type="character" w:styleId="CommentReference">
    <w:name w:val="annotation reference"/>
    <w:basedOn w:val="DefaultParagraphFont"/>
    <w:uiPriority w:val="99"/>
    <w:unhideWhenUsed/>
    <w:rsid w:val="00B55D5C"/>
    <w:rPr>
      <w:sz w:val="16"/>
      <w:szCs w:val="16"/>
    </w:rPr>
  </w:style>
  <w:style w:type="paragraph" w:styleId="CommentText">
    <w:name w:val="annotation text"/>
    <w:basedOn w:val="Normal"/>
    <w:link w:val="CommentTextChar"/>
    <w:uiPriority w:val="99"/>
    <w:unhideWhenUsed/>
    <w:rsid w:val="00B55D5C"/>
    <w:pPr>
      <w:spacing w:line="240" w:lineRule="auto"/>
    </w:pPr>
    <w:rPr>
      <w:sz w:val="20"/>
      <w:szCs w:val="20"/>
    </w:rPr>
  </w:style>
  <w:style w:type="character" w:customStyle="1" w:styleId="CommentTextChar">
    <w:name w:val="Comment Text Char"/>
    <w:basedOn w:val="DefaultParagraphFont"/>
    <w:link w:val="CommentText"/>
    <w:uiPriority w:val="99"/>
    <w:rsid w:val="00B55D5C"/>
    <w:rPr>
      <w:sz w:val="20"/>
      <w:szCs w:val="20"/>
    </w:rPr>
  </w:style>
  <w:style w:type="paragraph" w:styleId="CommentSubject">
    <w:name w:val="annotation subject"/>
    <w:basedOn w:val="CommentText"/>
    <w:next w:val="CommentText"/>
    <w:link w:val="CommentSubjectChar"/>
    <w:unhideWhenUsed/>
    <w:rsid w:val="00B55D5C"/>
    <w:rPr>
      <w:b/>
      <w:bCs/>
    </w:rPr>
  </w:style>
  <w:style w:type="character" w:customStyle="1" w:styleId="CommentSubjectChar">
    <w:name w:val="Comment Subject Char"/>
    <w:basedOn w:val="CommentTextChar"/>
    <w:link w:val="CommentSubject"/>
    <w:rsid w:val="00B55D5C"/>
    <w:rPr>
      <w:b/>
      <w:bCs/>
      <w:sz w:val="20"/>
      <w:szCs w:val="20"/>
    </w:rPr>
  </w:style>
  <w:style w:type="paragraph" w:styleId="Revision">
    <w:name w:val="Revision"/>
    <w:hidden/>
    <w:uiPriority w:val="99"/>
    <w:semiHidden/>
    <w:rsid w:val="00A44892"/>
    <w:pPr>
      <w:spacing w:after="0" w:line="240" w:lineRule="auto"/>
    </w:pPr>
  </w:style>
  <w:style w:type="paragraph" w:styleId="Header">
    <w:name w:val="header"/>
    <w:basedOn w:val="Normal"/>
    <w:link w:val="HeaderChar"/>
    <w:uiPriority w:val="99"/>
    <w:unhideWhenUsed/>
    <w:rsid w:val="00DB0D64"/>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0D64"/>
  </w:style>
  <w:style w:type="paragraph" w:customStyle="1" w:styleId="01squarebullet">
    <w:name w:val="01 square bullet"/>
    <w:basedOn w:val="Normal"/>
    <w:uiPriority w:val="3"/>
    <w:qFormat/>
    <w:rsid w:val="005C6467"/>
    <w:pPr>
      <w:numPr>
        <w:numId w:val="1"/>
      </w:numPr>
      <w:spacing w:before="120" w:after="120" w:line="264" w:lineRule="auto"/>
      <w:ind w:right="142"/>
      <w:jc w:val="both"/>
    </w:pPr>
    <w:rPr>
      <w:rFonts w:ascii="Arial" w:eastAsia="Times New Roman" w:hAnsi="Arial" w:cs="Times New Roman"/>
      <w:sz w:val="24"/>
      <w:szCs w:val="20"/>
      <w:lang w:val="en-US" w:eastAsia="en-US"/>
    </w:rPr>
  </w:style>
  <w:style w:type="paragraph" w:customStyle="1" w:styleId="list0020bullet1">
    <w:name w:val="list_0020bullet1"/>
    <w:basedOn w:val="Normal"/>
    <w:rsid w:val="002516DF"/>
    <w:pPr>
      <w:spacing w:after="240" w:line="260" w:lineRule="atLeast"/>
    </w:pPr>
    <w:rPr>
      <w:rFonts w:ascii="Times New Roman" w:eastAsia="Times New Roman" w:hAnsi="Times New Roman" w:cs="Times New Roman"/>
      <w:sz w:val="24"/>
      <w:szCs w:val="24"/>
      <w:lang w:val="en-US" w:eastAsia="en-US"/>
    </w:rPr>
  </w:style>
  <w:style w:type="character" w:customStyle="1" w:styleId="list0020bulletchar1">
    <w:name w:val="list_0020bullet__char1"/>
    <w:basedOn w:val="DefaultParagraphFont"/>
    <w:rsid w:val="002516DF"/>
    <w:rPr>
      <w:rFonts w:ascii="Times New Roman" w:hAnsi="Times New Roman" w:cs="Times New Roman" w:hint="default"/>
      <w:sz w:val="24"/>
      <w:szCs w:val="24"/>
    </w:rPr>
  </w:style>
  <w:style w:type="table" w:styleId="TableGrid">
    <w:name w:val="Table Grid"/>
    <w:basedOn w:val="TableNormal"/>
    <w:uiPriority w:val="59"/>
    <w:rsid w:val="00552FD4"/>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2CEA"/>
    <w:pPr>
      <w:spacing w:before="100" w:beforeAutospacing="1" w:after="100" w:afterAutospacing="1" w:line="240" w:lineRule="auto"/>
    </w:pPr>
    <w:rPr>
      <w:rFonts w:ascii="Times New Roman" w:eastAsia="Times New Roman" w:hAnsi="Times New Roman" w:cs="Times New Roman"/>
      <w:sz w:val="19"/>
      <w:szCs w:val="19"/>
    </w:rPr>
  </w:style>
  <w:style w:type="paragraph" w:styleId="PlainText">
    <w:name w:val="Plain Text"/>
    <w:basedOn w:val="Normal"/>
    <w:link w:val="PlainTextChar"/>
    <w:uiPriority w:val="99"/>
    <w:unhideWhenUsed/>
    <w:rsid w:val="00DC01CF"/>
    <w:pPr>
      <w:spacing w:after="0" w:line="240" w:lineRule="auto"/>
    </w:pPr>
    <w:rPr>
      <w:rFonts w:ascii="Calibri" w:eastAsiaTheme="minorHAnsi" w:hAnsi="Calibri" w:cs="Calibri"/>
    </w:rPr>
  </w:style>
  <w:style w:type="character" w:customStyle="1" w:styleId="PlainTextChar">
    <w:name w:val="Plain Text Char"/>
    <w:basedOn w:val="DefaultParagraphFont"/>
    <w:link w:val="PlainText"/>
    <w:uiPriority w:val="99"/>
    <w:rsid w:val="00DC01CF"/>
    <w:rPr>
      <w:rFonts w:ascii="Calibri" w:eastAsiaTheme="minorHAnsi" w:hAnsi="Calibri" w:cs="Calibri"/>
    </w:rPr>
  </w:style>
  <w:style w:type="paragraph" w:styleId="TOC3">
    <w:name w:val="toc 3"/>
    <w:basedOn w:val="Normal"/>
    <w:next w:val="Normal"/>
    <w:autoRedefine/>
    <w:rsid w:val="005A7B82"/>
    <w:pPr>
      <w:tabs>
        <w:tab w:val="left" w:leader="dot" w:pos="9000"/>
        <w:tab w:val="right" w:pos="9360"/>
      </w:tabs>
      <w:suppressAutoHyphens/>
      <w:spacing w:after="0" w:line="240" w:lineRule="auto"/>
      <w:ind w:left="2160" w:right="720" w:hanging="720"/>
    </w:pPr>
    <w:rPr>
      <w:rFonts w:ascii="Times New Roman" w:eastAsia="Times New Roman" w:hAnsi="Times New Roman" w:cs="Times New Roman"/>
      <w:sz w:val="20"/>
      <w:szCs w:val="20"/>
      <w:lang w:eastAsia="en-US"/>
    </w:rPr>
  </w:style>
  <w:style w:type="paragraph" w:customStyle="1" w:styleId="xmsonormal">
    <w:name w:val="x_msonormal"/>
    <w:basedOn w:val="Normal"/>
    <w:rsid w:val="0032084E"/>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msolistparagraph">
    <w:name w:val="x_msolistparagraph"/>
    <w:basedOn w:val="Normal"/>
    <w:rsid w:val="0032084E"/>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02dash">
    <w:name w:val="02 dash"/>
    <w:basedOn w:val="01squarebullet"/>
    <w:uiPriority w:val="4"/>
    <w:qFormat/>
    <w:rsid w:val="005D0916"/>
    <w:pPr>
      <w:numPr>
        <w:numId w:val="2"/>
      </w:numPr>
      <w:tabs>
        <w:tab w:val="left" w:pos="646"/>
      </w:tabs>
    </w:pPr>
  </w:style>
  <w:style w:type="paragraph" w:customStyle="1" w:styleId="03opensquarebullet">
    <w:name w:val="03 open square bullet"/>
    <w:basedOn w:val="02dash"/>
    <w:uiPriority w:val="5"/>
    <w:qFormat/>
    <w:rsid w:val="005D0916"/>
    <w:pPr>
      <w:numPr>
        <w:numId w:val="3"/>
      </w:numPr>
      <w:tabs>
        <w:tab w:val="clear" w:pos="646"/>
        <w:tab w:val="left" w:pos="924"/>
      </w:tabs>
    </w:pPr>
  </w:style>
  <w:style w:type="character" w:customStyle="1" w:styleId="Heading3Char">
    <w:name w:val="Heading 3 Char"/>
    <w:basedOn w:val="DefaultParagraphFont"/>
    <w:link w:val="Heading3"/>
    <w:uiPriority w:val="9"/>
    <w:rsid w:val="00383F9A"/>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unhideWhenUsed/>
    <w:rsid w:val="00793124"/>
    <w:rPr>
      <w:color w:val="800080" w:themeColor="followedHyperlink"/>
      <w:u w:val="single"/>
    </w:rPr>
  </w:style>
  <w:style w:type="paragraph" w:customStyle="1" w:styleId="Normal0">
    <w:name w:val="[Normal]"/>
    <w:rsid w:val="003A371C"/>
    <w:pPr>
      <w:widowControl w:val="0"/>
      <w:autoSpaceDE w:val="0"/>
      <w:autoSpaceDN w:val="0"/>
      <w:adjustRightInd w:val="0"/>
      <w:spacing w:after="0" w:line="240" w:lineRule="auto"/>
    </w:pPr>
    <w:rPr>
      <w:rFonts w:ascii="Arial" w:eastAsiaTheme="minorHAnsi" w:hAnsi="Arial" w:cs="Arial"/>
      <w:sz w:val="24"/>
      <w:szCs w:val="24"/>
      <w:lang w:val="en-US" w:eastAsia="en-US"/>
    </w:rPr>
  </w:style>
  <w:style w:type="paragraph" w:customStyle="1" w:styleId="UKBodyText">
    <w:name w:val="UK Body Text"/>
    <w:basedOn w:val="Normal"/>
    <w:rsid w:val="00503553"/>
    <w:pPr>
      <w:spacing w:after="120" w:line="240" w:lineRule="auto"/>
      <w:jc w:val="both"/>
    </w:pPr>
    <w:rPr>
      <w:rFonts w:ascii="Times New Roman" w:eastAsia="Times New Roman" w:hAnsi="Times New Roman" w:cs="Times New Roman"/>
      <w:sz w:val="21"/>
      <w:szCs w:val="20"/>
      <w:lang w:eastAsia="en-US"/>
    </w:rPr>
  </w:style>
  <w:style w:type="paragraph" w:customStyle="1" w:styleId="astandard3520normal">
    <w:name w:val="a_standard__35__20_normal"/>
    <w:basedOn w:val="Normal"/>
    <w:rsid w:val="005F1C63"/>
    <w:pPr>
      <w:spacing w:after="120" w:line="240" w:lineRule="auto"/>
      <w:ind w:right="57"/>
      <w:jc w:val="both"/>
    </w:pPr>
    <w:rPr>
      <w:rFonts w:ascii="Times New Roman" w:eastAsia="Times New Roman" w:hAnsi="Times New Roman" w:cs="Times New Roman"/>
      <w:sz w:val="24"/>
      <w:szCs w:val="24"/>
      <w:lang w:val="en-US" w:eastAsia="en-US"/>
    </w:rPr>
  </w:style>
  <w:style w:type="paragraph" w:customStyle="1" w:styleId="e6f5ed41-1005-4925-af08-f2ff1cbb9fd2">
    <w:name w:val="e6f5ed41-1005-4925-af08-f2ff1cbb9fd2"/>
    <w:basedOn w:val="Normal"/>
    <w:rsid w:val="00EE513A"/>
    <w:pPr>
      <w:spacing w:after="0" w:line="240" w:lineRule="auto"/>
    </w:pPr>
    <w:rPr>
      <w:rFonts w:ascii="Times New Roman" w:eastAsiaTheme="minorHAnsi" w:hAnsi="Times New Roman" w:cs="Times New Roman"/>
      <w:sz w:val="24"/>
      <w:szCs w:val="24"/>
    </w:rPr>
  </w:style>
  <w:style w:type="character" w:customStyle="1" w:styleId="text6">
    <w:name w:val="text6"/>
    <w:basedOn w:val="DefaultParagraphFont"/>
    <w:rsid w:val="00AB4B4A"/>
    <w:rPr>
      <w:rFonts w:ascii="Verdana" w:hAnsi="Verdana" w:hint="default"/>
      <w:b w:val="0"/>
      <w:bCs w:val="0"/>
      <w:color w:val="333333"/>
      <w:sz w:val="17"/>
      <w:szCs w:val="17"/>
    </w:rPr>
  </w:style>
  <w:style w:type="character" w:customStyle="1" w:styleId="Heading1Char">
    <w:name w:val="Heading 1 Char"/>
    <w:basedOn w:val="DefaultParagraphFont"/>
    <w:link w:val="Heading1"/>
    <w:uiPriority w:val="9"/>
    <w:rsid w:val="00D934B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934B4"/>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rsid w:val="00D934B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934B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D934B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D934B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934B4"/>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99"/>
    <w:unhideWhenUsed/>
    <w:rsid w:val="00D934B4"/>
    <w:pPr>
      <w:spacing w:after="120"/>
    </w:pPr>
  </w:style>
  <w:style w:type="character" w:customStyle="1" w:styleId="BodyTextChar">
    <w:name w:val="Body Text Char"/>
    <w:basedOn w:val="DefaultParagraphFont"/>
    <w:link w:val="BodyText"/>
    <w:uiPriority w:val="99"/>
    <w:rsid w:val="00D934B4"/>
  </w:style>
  <w:style w:type="paragraph" w:styleId="NoSpacing">
    <w:name w:val="No Spacing"/>
    <w:uiPriority w:val="1"/>
    <w:qFormat/>
    <w:rsid w:val="000136A2"/>
    <w:pPr>
      <w:spacing w:after="0" w:line="240" w:lineRule="auto"/>
    </w:pPr>
  </w:style>
  <w:style w:type="character" w:customStyle="1" w:styleId="Heading4Char">
    <w:name w:val="Heading 4 Char"/>
    <w:basedOn w:val="DefaultParagraphFont"/>
    <w:link w:val="Heading4"/>
    <w:uiPriority w:val="9"/>
    <w:rsid w:val="003F0752"/>
    <w:rPr>
      <w:rFonts w:asciiTheme="majorHAnsi" w:eastAsiaTheme="majorEastAsia" w:hAnsiTheme="majorHAnsi" w:cstheme="majorBidi"/>
      <w:b/>
      <w:bCs/>
      <w:i/>
      <w:iCs/>
      <w:color w:val="4F81BD" w:themeColor="accent1"/>
    </w:rPr>
  </w:style>
  <w:style w:type="paragraph" w:styleId="BodyTextIndent">
    <w:name w:val="Body Text Indent"/>
    <w:basedOn w:val="Normal"/>
    <w:link w:val="BodyTextIndentChar"/>
    <w:uiPriority w:val="99"/>
    <w:unhideWhenUsed/>
    <w:rsid w:val="005972E0"/>
    <w:pPr>
      <w:spacing w:after="120"/>
      <w:ind w:left="283"/>
    </w:pPr>
  </w:style>
  <w:style w:type="character" w:customStyle="1" w:styleId="BodyTextIndentChar">
    <w:name w:val="Body Text Indent Char"/>
    <w:basedOn w:val="DefaultParagraphFont"/>
    <w:link w:val="BodyTextIndent"/>
    <w:uiPriority w:val="99"/>
    <w:rsid w:val="005972E0"/>
  </w:style>
  <w:style w:type="character" w:styleId="PageNumber">
    <w:name w:val="page number"/>
    <w:basedOn w:val="DefaultParagraphFont"/>
    <w:unhideWhenUsed/>
    <w:rsid w:val="00716823"/>
  </w:style>
  <w:style w:type="paragraph" w:customStyle="1" w:styleId="ColorfulList-Accent11">
    <w:name w:val="Colorful List - Accent 11"/>
    <w:basedOn w:val="Normal"/>
    <w:uiPriority w:val="34"/>
    <w:qFormat/>
    <w:rsid w:val="00716823"/>
    <w:pPr>
      <w:spacing w:after="0" w:line="240" w:lineRule="auto"/>
      <w:ind w:left="720"/>
      <w:contextualSpacing/>
    </w:pPr>
    <w:rPr>
      <w:rFonts w:ascii="Times New Roman" w:eastAsia="Batang" w:hAnsi="Times New Roman" w:cs="Times New Roman"/>
      <w:sz w:val="24"/>
      <w:szCs w:val="24"/>
      <w:lang w:val="en-US" w:eastAsia="en-US"/>
    </w:rPr>
  </w:style>
  <w:style w:type="paragraph" w:styleId="TOAHeading">
    <w:name w:val="toa heading"/>
    <w:basedOn w:val="Normal"/>
    <w:next w:val="Normal"/>
    <w:rsid w:val="00716823"/>
    <w:pPr>
      <w:tabs>
        <w:tab w:val="left" w:pos="9000"/>
        <w:tab w:val="right" w:pos="9360"/>
      </w:tabs>
      <w:suppressAutoHyphens/>
      <w:spacing w:after="0" w:line="240" w:lineRule="auto"/>
    </w:pPr>
    <w:rPr>
      <w:rFonts w:ascii="Times New Roman" w:eastAsia="Batang" w:hAnsi="Times New Roman" w:cs="Times New Roman"/>
      <w:sz w:val="20"/>
      <w:szCs w:val="20"/>
      <w:lang w:val="en-US" w:eastAsia="en-US"/>
    </w:rPr>
  </w:style>
  <w:style w:type="paragraph" w:styleId="Caption">
    <w:name w:val="caption"/>
    <w:aliases w:val="Accounts bold"/>
    <w:basedOn w:val="Normal"/>
    <w:next w:val="Normal"/>
    <w:qFormat/>
    <w:rsid w:val="00716823"/>
    <w:pPr>
      <w:tabs>
        <w:tab w:val="left" w:pos="0"/>
        <w:tab w:val="left" w:pos="1416"/>
        <w:tab w:val="decimal" w:pos="4962"/>
        <w:tab w:val="decimal" w:pos="6521"/>
        <w:tab w:val="right" w:pos="7560"/>
        <w:tab w:val="decimal" w:pos="8220"/>
        <w:tab w:val="left" w:pos="8640"/>
        <w:tab w:val="right" w:pos="9000"/>
      </w:tabs>
      <w:suppressAutoHyphens/>
      <w:spacing w:after="0" w:line="240" w:lineRule="auto"/>
    </w:pPr>
    <w:rPr>
      <w:rFonts w:ascii="Times New Roman" w:eastAsia="Batang" w:hAnsi="Times New Roman" w:cs="Times New Roman"/>
      <w:b/>
      <w:sz w:val="20"/>
      <w:szCs w:val="20"/>
      <w:lang w:val="el-GR" w:eastAsia="el-GR"/>
    </w:rPr>
  </w:style>
  <w:style w:type="paragraph" w:styleId="BodyTextIndent2">
    <w:name w:val="Body Text Indent 2"/>
    <w:basedOn w:val="Normal"/>
    <w:link w:val="BodyTextIndent2Char"/>
    <w:rsid w:val="00716823"/>
    <w:pPr>
      <w:tabs>
        <w:tab w:val="left" w:pos="360"/>
      </w:tabs>
      <w:suppressAutoHyphens/>
      <w:spacing w:after="0" w:line="240" w:lineRule="auto"/>
      <w:ind w:left="360"/>
      <w:jc w:val="both"/>
    </w:pPr>
    <w:rPr>
      <w:rFonts w:ascii="Times New Roman" w:eastAsia="Batang" w:hAnsi="Times New Roman" w:cs="Times New Roman"/>
      <w:iCs/>
      <w:szCs w:val="24"/>
      <w:lang w:val="en-US" w:eastAsia="en-US"/>
    </w:rPr>
  </w:style>
  <w:style w:type="character" w:customStyle="1" w:styleId="BodyTextIndent2Char">
    <w:name w:val="Body Text Indent 2 Char"/>
    <w:basedOn w:val="DefaultParagraphFont"/>
    <w:link w:val="BodyTextIndent2"/>
    <w:rsid w:val="00716823"/>
    <w:rPr>
      <w:rFonts w:ascii="Times New Roman" w:eastAsia="Batang" w:hAnsi="Times New Roman" w:cs="Times New Roman"/>
      <w:iCs/>
      <w:szCs w:val="24"/>
      <w:lang w:val="en-US" w:eastAsia="en-US"/>
    </w:rPr>
  </w:style>
  <w:style w:type="paragraph" w:styleId="BodyTextIndent3">
    <w:name w:val="Body Text Indent 3"/>
    <w:basedOn w:val="Normal"/>
    <w:link w:val="BodyTextIndent3Char"/>
    <w:rsid w:val="00716823"/>
    <w:pPr>
      <w:tabs>
        <w:tab w:val="left" w:pos="360"/>
      </w:tabs>
      <w:suppressAutoHyphens/>
      <w:spacing w:after="0" w:line="240" w:lineRule="auto"/>
      <w:ind w:left="284"/>
      <w:jc w:val="both"/>
    </w:pPr>
    <w:rPr>
      <w:rFonts w:ascii="Times New Roman" w:eastAsia="Batang" w:hAnsi="Times New Roman" w:cs="Times New Roman"/>
      <w:iCs/>
      <w:szCs w:val="24"/>
      <w:lang w:val="en-US" w:eastAsia="en-US"/>
    </w:rPr>
  </w:style>
  <w:style w:type="character" w:customStyle="1" w:styleId="BodyTextIndent3Char">
    <w:name w:val="Body Text Indent 3 Char"/>
    <w:basedOn w:val="DefaultParagraphFont"/>
    <w:link w:val="BodyTextIndent3"/>
    <w:rsid w:val="00716823"/>
    <w:rPr>
      <w:rFonts w:ascii="Times New Roman" w:eastAsia="Batang" w:hAnsi="Times New Roman" w:cs="Times New Roman"/>
      <w:iCs/>
      <w:szCs w:val="24"/>
      <w:lang w:val="en-US" w:eastAsia="en-US"/>
    </w:rPr>
  </w:style>
  <w:style w:type="paragraph" w:styleId="BlockText">
    <w:name w:val="Block Text"/>
    <w:basedOn w:val="Normal"/>
    <w:rsid w:val="00716823"/>
    <w:pPr>
      <w:tabs>
        <w:tab w:val="left" w:pos="426"/>
        <w:tab w:val="left" w:pos="720"/>
      </w:tabs>
      <w:suppressAutoHyphens/>
      <w:spacing w:after="0" w:line="240" w:lineRule="auto"/>
      <w:ind w:left="426" w:right="-185"/>
      <w:jc w:val="both"/>
    </w:pPr>
    <w:rPr>
      <w:rFonts w:ascii="Times New Roman" w:eastAsia="Batang" w:hAnsi="Times New Roman" w:cs="Times New Roman"/>
      <w:bCs/>
      <w:szCs w:val="20"/>
      <w:lang w:val="el-GR" w:eastAsia="en-US"/>
    </w:rPr>
  </w:style>
  <w:style w:type="paragraph" w:customStyle="1" w:styleId="Subject">
    <w:name w:val="Subject"/>
    <w:basedOn w:val="Normal"/>
    <w:rsid w:val="00716823"/>
    <w:pPr>
      <w:keepNext/>
      <w:keepLines/>
      <w:spacing w:after="0" w:line="290" w:lineRule="atLeast"/>
    </w:pPr>
    <w:rPr>
      <w:rFonts w:ascii="Times New Roman" w:eastAsia="Batang" w:hAnsi="Times New Roman" w:cs="Times New Roman"/>
      <w:b/>
      <w:sz w:val="24"/>
      <w:szCs w:val="20"/>
      <w:lang w:eastAsia="en-US"/>
    </w:rPr>
  </w:style>
  <w:style w:type="paragraph" w:styleId="TOC1">
    <w:name w:val="toc 1"/>
    <w:basedOn w:val="Heading1"/>
    <w:next w:val="Heading1"/>
    <w:autoRedefine/>
    <w:rsid w:val="00716823"/>
    <w:pPr>
      <w:keepLines w:val="0"/>
      <w:tabs>
        <w:tab w:val="left" w:pos="0"/>
        <w:tab w:val="left" w:pos="426"/>
        <w:tab w:val="right" w:pos="8640"/>
      </w:tabs>
      <w:suppressAutoHyphens/>
      <w:spacing w:before="0" w:line="240" w:lineRule="auto"/>
      <w:ind w:left="426" w:hanging="426"/>
    </w:pPr>
    <w:rPr>
      <w:rFonts w:ascii="Times New Roman" w:eastAsia="Batang" w:hAnsi="Times New Roman" w:cs="Times New Roman"/>
      <w:b w:val="0"/>
      <w:bCs w:val="0"/>
      <w:i/>
      <w:color w:val="auto"/>
      <w:sz w:val="24"/>
      <w:szCs w:val="20"/>
      <w:lang w:val="el-GR" w:eastAsia="el-GR"/>
    </w:rPr>
  </w:style>
  <w:style w:type="paragraph" w:styleId="TOC2">
    <w:name w:val="toc 2"/>
    <w:basedOn w:val="Normal"/>
    <w:next w:val="Normal"/>
    <w:autoRedefine/>
    <w:rsid w:val="00716823"/>
    <w:pPr>
      <w:spacing w:after="0" w:line="240" w:lineRule="auto"/>
    </w:pPr>
    <w:rPr>
      <w:rFonts w:ascii="Verdana" w:eastAsia="Batang" w:hAnsi="Verdana" w:cs="Times New Roman"/>
      <w:b/>
      <w:color w:val="262626"/>
      <w:sz w:val="18"/>
      <w:szCs w:val="18"/>
      <w:lang w:eastAsia="en-US"/>
    </w:rPr>
  </w:style>
  <w:style w:type="paragraph" w:styleId="TOC4">
    <w:name w:val="toc 4"/>
    <w:basedOn w:val="Normal"/>
    <w:next w:val="Normal"/>
    <w:autoRedefine/>
    <w:rsid w:val="00716823"/>
    <w:pPr>
      <w:spacing w:after="0" w:line="240" w:lineRule="auto"/>
      <w:ind w:left="720"/>
    </w:pPr>
    <w:rPr>
      <w:rFonts w:ascii="Times New Roman" w:eastAsia="Batang" w:hAnsi="Times New Roman" w:cs="Times New Roman"/>
      <w:sz w:val="24"/>
      <w:szCs w:val="24"/>
      <w:lang w:eastAsia="en-US"/>
    </w:rPr>
  </w:style>
  <w:style w:type="paragraph" w:styleId="TOC5">
    <w:name w:val="toc 5"/>
    <w:basedOn w:val="Normal"/>
    <w:next w:val="Normal"/>
    <w:autoRedefine/>
    <w:rsid w:val="00716823"/>
    <w:pPr>
      <w:spacing w:after="0" w:line="240" w:lineRule="auto"/>
    </w:pPr>
    <w:rPr>
      <w:rFonts w:ascii="Arial" w:eastAsia="Batang" w:hAnsi="Arial" w:cs="Times New Roman"/>
      <w:sz w:val="16"/>
      <w:szCs w:val="16"/>
      <w:lang w:val="el-GR" w:eastAsia="en-US"/>
    </w:rPr>
  </w:style>
  <w:style w:type="paragraph" w:styleId="TOC6">
    <w:name w:val="toc 6"/>
    <w:basedOn w:val="Normal"/>
    <w:next w:val="Normal"/>
    <w:autoRedefine/>
    <w:rsid w:val="00716823"/>
    <w:pPr>
      <w:spacing w:after="0" w:line="240" w:lineRule="auto"/>
      <w:ind w:left="1200"/>
    </w:pPr>
    <w:rPr>
      <w:rFonts w:ascii="Times New Roman" w:eastAsia="Batang" w:hAnsi="Times New Roman" w:cs="Times New Roman"/>
      <w:sz w:val="24"/>
      <w:szCs w:val="24"/>
      <w:lang w:eastAsia="en-US"/>
    </w:rPr>
  </w:style>
  <w:style w:type="paragraph" w:styleId="TOC7">
    <w:name w:val="toc 7"/>
    <w:basedOn w:val="Normal"/>
    <w:next w:val="Normal"/>
    <w:autoRedefine/>
    <w:rsid w:val="00716823"/>
    <w:pPr>
      <w:spacing w:after="0" w:line="240" w:lineRule="auto"/>
      <w:ind w:left="1440"/>
    </w:pPr>
    <w:rPr>
      <w:rFonts w:ascii="Times New Roman" w:eastAsia="Batang" w:hAnsi="Times New Roman" w:cs="Times New Roman"/>
      <w:sz w:val="24"/>
      <w:szCs w:val="24"/>
      <w:lang w:eastAsia="en-US"/>
    </w:rPr>
  </w:style>
  <w:style w:type="paragraph" w:styleId="TOC8">
    <w:name w:val="toc 8"/>
    <w:basedOn w:val="Normal"/>
    <w:next w:val="Normal"/>
    <w:autoRedefine/>
    <w:rsid w:val="00716823"/>
    <w:pPr>
      <w:spacing w:after="0" w:line="240" w:lineRule="auto"/>
      <w:ind w:left="1680"/>
    </w:pPr>
    <w:rPr>
      <w:rFonts w:ascii="Times New Roman" w:eastAsia="Batang" w:hAnsi="Times New Roman" w:cs="Times New Roman"/>
      <w:sz w:val="24"/>
      <w:szCs w:val="24"/>
      <w:lang w:eastAsia="en-US"/>
    </w:rPr>
  </w:style>
  <w:style w:type="paragraph" w:styleId="TOC9">
    <w:name w:val="toc 9"/>
    <w:basedOn w:val="Normal"/>
    <w:next w:val="Normal"/>
    <w:autoRedefine/>
    <w:rsid w:val="00716823"/>
    <w:pPr>
      <w:spacing w:after="0" w:line="240" w:lineRule="auto"/>
      <w:ind w:left="1920"/>
    </w:pPr>
    <w:rPr>
      <w:rFonts w:ascii="Times New Roman" w:eastAsia="Batang" w:hAnsi="Times New Roman" w:cs="Times New Roman"/>
      <w:sz w:val="24"/>
      <w:szCs w:val="24"/>
      <w:lang w:eastAsia="en-US"/>
    </w:rPr>
  </w:style>
  <w:style w:type="character" w:customStyle="1" w:styleId="CommentTextChar2">
    <w:name w:val="Comment Text Char2"/>
    <w:rsid w:val="00716823"/>
    <w:rPr>
      <w:rFonts w:ascii="Times New Roman" w:eastAsia="Batang" w:hAnsi="Times New Roman"/>
    </w:rPr>
  </w:style>
  <w:style w:type="paragraph" w:customStyle="1" w:styleId="Headingline1">
    <w:name w:val="Heading line 1"/>
    <w:rsid w:val="00716823"/>
    <w:pPr>
      <w:widowControl w:val="0"/>
      <w:autoSpaceDE w:val="0"/>
      <w:autoSpaceDN w:val="0"/>
      <w:adjustRightInd w:val="0"/>
      <w:spacing w:after="0" w:line="240" w:lineRule="auto"/>
    </w:pPr>
    <w:rPr>
      <w:rFonts w:ascii="Tahoma" w:eastAsia="Malgun Gothic" w:hAnsi="Tahoma" w:cs="Tahoma"/>
      <w:b/>
      <w:bCs/>
      <w:color w:val="000000"/>
      <w:sz w:val="28"/>
      <w:szCs w:val="28"/>
      <w:lang w:val="el-GR" w:eastAsia="el-GR"/>
    </w:rPr>
  </w:style>
  <w:style w:type="paragraph" w:styleId="DocumentMap">
    <w:name w:val="Document Map"/>
    <w:basedOn w:val="Normal"/>
    <w:link w:val="DocumentMapChar"/>
    <w:rsid w:val="00716823"/>
    <w:pPr>
      <w:spacing w:after="0" w:line="240" w:lineRule="auto"/>
    </w:pPr>
    <w:rPr>
      <w:rFonts w:ascii="Lucida Grande" w:eastAsia="Batang" w:hAnsi="Lucida Grande" w:cs="Times New Roman"/>
      <w:sz w:val="24"/>
      <w:szCs w:val="24"/>
      <w:lang w:val="en-US" w:eastAsia="en-US"/>
    </w:rPr>
  </w:style>
  <w:style w:type="character" w:customStyle="1" w:styleId="DocumentMapChar">
    <w:name w:val="Document Map Char"/>
    <w:basedOn w:val="DefaultParagraphFont"/>
    <w:link w:val="DocumentMap"/>
    <w:rsid w:val="00716823"/>
    <w:rPr>
      <w:rFonts w:ascii="Lucida Grande" w:eastAsia="Batang" w:hAnsi="Lucida Grande" w:cs="Times New Roman"/>
      <w:sz w:val="24"/>
      <w:szCs w:val="24"/>
      <w:lang w:val="en-US" w:eastAsia="en-US"/>
    </w:rPr>
  </w:style>
  <w:style w:type="paragraph" w:styleId="Date">
    <w:name w:val="Date"/>
    <w:basedOn w:val="Normal"/>
    <w:next w:val="Normal"/>
    <w:link w:val="DateChar"/>
    <w:rsid w:val="00716823"/>
    <w:pPr>
      <w:spacing w:after="0" w:line="240" w:lineRule="auto"/>
    </w:pPr>
    <w:rPr>
      <w:rFonts w:ascii="Times New Roman" w:eastAsia="Batang" w:hAnsi="Times New Roman" w:cs="Times New Roman"/>
      <w:sz w:val="24"/>
      <w:szCs w:val="24"/>
      <w:lang w:val="en-US" w:eastAsia="en-US"/>
    </w:rPr>
  </w:style>
  <w:style w:type="character" w:customStyle="1" w:styleId="DateChar">
    <w:name w:val="Date Char"/>
    <w:basedOn w:val="DefaultParagraphFont"/>
    <w:link w:val="Date"/>
    <w:rsid w:val="00716823"/>
    <w:rPr>
      <w:rFonts w:ascii="Times New Roman" w:eastAsia="Batang" w:hAnsi="Times New Roman" w:cs="Times New Roman"/>
      <w:sz w:val="24"/>
      <w:szCs w:val="24"/>
      <w:lang w:val="en-US" w:eastAsia="en-US"/>
    </w:rPr>
  </w:style>
  <w:style w:type="character" w:customStyle="1" w:styleId="CommentTextChar1">
    <w:name w:val="Comment Text Char1"/>
    <w:uiPriority w:val="99"/>
    <w:rsid w:val="00716823"/>
    <w:rPr>
      <w:rFonts w:eastAsia="Batang"/>
      <w:lang w:val="en-GB" w:eastAsia="en-US" w:bidi="ar-SA"/>
    </w:rPr>
  </w:style>
  <w:style w:type="paragraph" w:customStyle="1" w:styleId="Notesbodytext">
    <w:name w:val="Notes body text"/>
    <w:basedOn w:val="Normal"/>
    <w:link w:val="NotesbodytextChar"/>
    <w:rsid w:val="00716823"/>
    <w:pPr>
      <w:overflowPunct w:val="0"/>
      <w:autoSpaceDE w:val="0"/>
      <w:autoSpaceDN w:val="0"/>
      <w:adjustRightInd w:val="0"/>
      <w:spacing w:after="120" w:line="240" w:lineRule="exact"/>
      <w:textAlignment w:val="baseline"/>
    </w:pPr>
    <w:rPr>
      <w:rFonts w:ascii="EYInterstate Light" w:eastAsia="Calibri" w:hAnsi="EYInterstate Light" w:cs="Arial"/>
      <w:color w:val="000000"/>
      <w:sz w:val="18"/>
      <w:szCs w:val="20"/>
      <w:lang w:eastAsia="en-US"/>
    </w:rPr>
  </w:style>
  <w:style w:type="character" w:customStyle="1" w:styleId="NotesbodytextChar">
    <w:name w:val="Notes body text Char"/>
    <w:link w:val="Notesbodytext"/>
    <w:locked/>
    <w:rsid w:val="00716823"/>
    <w:rPr>
      <w:rFonts w:ascii="EYInterstate Light" w:eastAsia="Calibri" w:hAnsi="EYInterstate Light" w:cs="Arial"/>
      <w:color w:val="000000"/>
      <w:sz w:val="18"/>
      <w:szCs w:val="20"/>
      <w:lang w:eastAsia="en-US"/>
    </w:rPr>
  </w:style>
  <w:style w:type="character" w:styleId="Emphasis">
    <w:name w:val="Emphasis"/>
    <w:uiPriority w:val="20"/>
    <w:qFormat/>
    <w:rsid w:val="00716823"/>
    <w:rPr>
      <w:i/>
      <w:iCs/>
    </w:rPr>
  </w:style>
  <w:style w:type="paragraph" w:customStyle="1" w:styleId="Pa02">
    <w:name w:val="Pa0+2"/>
    <w:basedOn w:val="Default"/>
    <w:next w:val="Default"/>
    <w:uiPriority w:val="99"/>
    <w:rsid w:val="00716823"/>
    <w:pPr>
      <w:widowControl w:val="0"/>
      <w:spacing w:line="241" w:lineRule="atLeast"/>
    </w:pPr>
    <w:rPr>
      <w:rFonts w:ascii="PF BeauSans Pro" w:eastAsia="Cambria" w:hAnsi="PF BeauSans Pro" w:cs="Times New Roman"/>
      <w:color w:val="auto"/>
      <w:lang w:val="en-US" w:eastAsia="en-US"/>
    </w:rPr>
  </w:style>
  <w:style w:type="character" w:customStyle="1" w:styleId="A51">
    <w:name w:val="A5+1"/>
    <w:uiPriority w:val="99"/>
    <w:rsid w:val="00716823"/>
    <w:rPr>
      <w:rFonts w:cs="PF BeauSans Pro"/>
      <w:color w:val="905521"/>
      <w:sz w:val="30"/>
      <w:szCs w:val="30"/>
    </w:rPr>
  </w:style>
  <w:style w:type="paragraph" w:customStyle="1" w:styleId="ColorfulList-Accent12">
    <w:name w:val="Colorful List - Accent 12"/>
    <w:basedOn w:val="Normal"/>
    <w:uiPriority w:val="34"/>
    <w:qFormat/>
    <w:rsid w:val="00716823"/>
    <w:pPr>
      <w:ind w:left="720"/>
      <w:contextualSpacing/>
    </w:pPr>
    <w:rPr>
      <w:rFonts w:ascii="EYInterstate Light" w:eastAsia="Times New Roman" w:hAnsi="EYInterstate Light" w:cs="Times New Roman"/>
      <w:sz w:val="24"/>
      <w:lang w:val="el-GR" w:eastAsia="en-US"/>
    </w:rPr>
  </w:style>
  <w:style w:type="character" w:customStyle="1" w:styleId="BodyText3Char1">
    <w:name w:val="Body Text 3 Char1"/>
    <w:rsid w:val="00716823"/>
    <w:rPr>
      <w:rFonts w:ascii="Times New Roman" w:eastAsia="Batang" w:hAnsi="Times New Roman"/>
      <w:sz w:val="16"/>
      <w:szCs w:val="16"/>
      <w:lang w:val="en-US"/>
    </w:rPr>
  </w:style>
  <w:style w:type="character" w:customStyle="1" w:styleId="BodyTextChar1">
    <w:name w:val="Body Text Char1"/>
    <w:rsid w:val="00716823"/>
    <w:rPr>
      <w:rFonts w:ascii="Verdana" w:eastAsia="Batang" w:hAnsi="Verdana"/>
      <w:sz w:val="16"/>
      <w:szCs w:val="24"/>
      <w:lang w:val="en-US"/>
    </w:rPr>
  </w:style>
  <w:style w:type="paragraph" w:customStyle="1" w:styleId="Accounts">
    <w:name w:val="Accounts"/>
    <w:basedOn w:val="Normal"/>
    <w:qFormat/>
    <w:rsid w:val="00716823"/>
    <w:pPr>
      <w:spacing w:after="0" w:line="240" w:lineRule="auto"/>
      <w:jc w:val="both"/>
    </w:pPr>
    <w:rPr>
      <w:rFonts w:ascii="Verdana" w:eastAsia="Batang" w:hAnsi="Verdana" w:cs="Times New Roman"/>
      <w:sz w:val="18"/>
      <w:szCs w:val="24"/>
      <w:lang w:val="el-GR" w:eastAsia="en-US"/>
    </w:rPr>
  </w:style>
  <w:style w:type="paragraph" w:customStyle="1" w:styleId="ColorfulShading-Accent11">
    <w:name w:val="Colorful Shading - Accent 11"/>
    <w:hidden/>
    <w:uiPriority w:val="99"/>
    <w:semiHidden/>
    <w:rsid w:val="00716823"/>
    <w:pPr>
      <w:spacing w:after="0" w:line="240" w:lineRule="auto"/>
    </w:pPr>
    <w:rPr>
      <w:rFonts w:ascii="Times New Roman" w:eastAsia="Batang" w:hAnsi="Times New Roman" w:cs="Times New Roman"/>
      <w:sz w:val="24"/>
      <w:szCs w:val="24"/>
      <w:lang w:val="en-US" w:eastAsia="en-US"/>
    </w:rPr>
  </w:style>
  <w:style w:type="character" w:customStyle="1" w:styleId="longtext">
    <w:name w:val="long_text"/>
    <w:basedOn w:val="DefaultParagraphFont"/>
    <w:rsid w:val="00716823"/>
  </w:style>
  <w:style w:type="character" w:customStyle="1" w:styleId="PlaceholderText1">
    <w:name w:val="Placeholder Text1"/>
    <w:uiPriority w:val="99"/>
    <w:rsid w:val="00716823"/>
    <w:rPr>
      <w:color w:val="808080"/>
    </w:rPr>
  </w:style>
  <w:style w:type="paragraph" w:customStyle="1" w:styleId="04shortdash">
    <w:name w:val="04 short dash"/>
    <w:basedOn w:val="03opensquarebullet"/>
    <w:uiPriority w:val="6"/>
    <w:qFormat/>
    <w:rsid w:val="00716823"/>
    <w:pPr>
      <w:numPr>
        <w:numId w:val="0"/>
      </w:numPr>
      <w:tabs>
        <w:tab w:val="clear" w:pos="924"/>
        <w:tab w:val="num" w:pos="1213"/>
      </w:tabs>
      <w:spacing w:after="60" w:line="240" w:lineRule="auto"/>
      <w:ind w:left="1211" w:hanging="284"/>
      <w:jc w:val="left"/>
    </w:pPr>
    <w:rPr>
      <w:rFonts w:ascii="Times New Roman" w:hAnsi="Times New Roman"/>
      <w:sz w:val="26"/>
    </w:rPr>
  </w:style>
  <w:style w:type="paragraph" w:customStyle="1" w:styleId="Normal39">
    <w:name w:val="Normal_39"/>
    <w:uiPriority w:val="99"/>
    <w:rsid w:val="00716823"/>
    <w:pPr>
      <w:widowControl w:val="0"/>
      <w:autoSpaceDE w:val="0"/>
      <w:autoSpaceDN w:val="0"/>
      <w:adjustRightInd w:val="0"/>
      <w:spacing w:after="0" w:line="240" w:lineRule="auto"/>
    </w:pPr>
    <w:rPr>
      <w:rFonts w:ascii="Times New Roman" w:eastAsia="Times New Roman" w:hAnsi="Times New Roman" w:cs="Times New Roman"/>
      <w:sz w:val="20"/>
      <w:lang w:val="en-US" w:eastAsia="en-US"/>
    </w:rPr>
  </w:style>
  <w:style w:type="paragraph" w:customStyle="1" w:styleId="AUKFirstLine5">
    <w:name w:val="A UK First Line .5&quot;"/>
    <w:basedOn w:val="Normal"/>
    <w:rsid w:val="00716823"/>
    <w:pPr>
      <w:spacing w:after="240" w:line="240" w:lineRule="auto"/>
      <w:ind w:firstLine="720"/>
      <w:jc w:val="both"/>
    </w:pPr>
    <w:rPr>
      <w:rFonts w:ascii="Times New Roman" w:eastAsia="Times New Roman" w:hAnsi="Times New Roman" w:cs="Times New Roman"/>
      <w:sz w:val="21"/>
      <w:szCs w:val="20"/>
      <w:lang w:eastAsia="en-US"/>
    </w:rPr>
  </w:style>
  <w:style w:type="paragraph" w:styleId="BodyTextFirstIndent2">
    <w:name w:val="Body Text First Indent 2"/>
    <w:basedOn w:val="BodyTextIndent"/>
    <w:link w:val="BodyTextFirstIndent2Char"/>
    <w:rsid w:val="00716823"/>
    <w:pPr>
      <w:spacing w:line="240" w:lineRule="auto"/>
      <w:ind w:firstLine="210"/>
    </w:pPr>
    <w:rPr>
      <w:rFonts w:ascii="Times New Roman" w:eastAsia="Times New Roman" w:hAnsi="Times New Roman" w:cs="Times New Roman"/>
      <w:sz w:val="24"/>
      <w:szCs w:val="24"/>
      <w:lang w:val="en-US" w:eastAsia="en-US"/>
    </w:rPr>
  </w:style>
  <w:style w:type="character" w:customStyle="1" w:styleId="BodyTextFirstIndent2Char">
    <w:name w:val="Body Text First Indent 2 Char"/>
    <w:basedOn w:val="BodyTextIndentChar"/>
    <w:link w:val="BodyTextFirstIndent2"/>
    <w:rsid w:val="00716823"/>
    <w:rPr>
      <w:rFonts w:ascii="Times New Roman" w:eastAsia="Times New Roman" w:hAnsi="Times New Roman" w:cs="Times New Roman"/>
      <w:sz w:val="24"/>
      <w:szCs w:val="24"/>
      <w:lang w:val="en-US" w:eastAsia="en-US"/>
    </w:rPr>
  </w:style>
  <w:style w:type="paragraph" w:customStyle="1" w:styleId="body0020text00203">
    <w:name w:val="body_0020text_00203"/>
    <w:basedOn w:val="Normal"/>
    <w:rsid w:val="00716823"/>
    <w:pPr>
      <w:spacing w:after="0" w:line="240" w:lineRule="auto"/>
      <w:jc w:val="right"/>
    </w:pPr>
    <w:rPr>
      <w:rFonts w:ascii="Times New Roman" w:eastAsia="Times New Roman" w:hAnsi="Times New Roman" w:cs="Times New Roman"/>
      <w:lang w:val="en-US" w:eastAsia="en-US"/>
    </w:rPr>
  </w:style>
  <w:style w:type="paragraph" w:customStyle="1" w:styleId="default0">
    <w:name w:val="default"/>
    <w:basedOn w:val="Normal"/>
    <w:uiPriority w:val="99"/>
    <w:rsid w:val="00716823"/>
    <w:pPr>
      <w:spacing w:after="0" w:line="240" w:lineRule="auto"/>
    </w:pPr>
    <w:rPr>
      <w:rFonts w:ascii="Arial" w:eastAsia="Times New Roman" w:hAnsi="Arial" w:cs="Arial"/>
      <w:sz w:val="24"/>
      <w:szCs w:val="24"/>
      <w:lang w:val="en-US" w:eastAsia="en-US"/>
    </w:rPr>
  </w:style>
  <w:style w:type="character" w:customStyle="1" w:styleId="body0020text00203char1">
    <w:name w:val="body_0020text_00203__char1"/>
    <w:rsid w:val="00716823"/>
    <w:rPr>
      <w:rFonts w:ascii="Times New Roman" w:hAnsi="Times New Roman" w:cs="Times New Roman" w:hint="default"/>
      <w:sz w:val="22"/>
      <w:szCs w:val="22"/>
    </w:rPr>
  </w:style>
  <w:style w:type="character" w:customStyle="1" w:styleId="defaultchar1">
    <w:name w:val="default__char1"/>
    <w:rsid w:val="00716823"/>
    <w:rPr>
      <w:rFonts w:ascii="Arial" w:hAnsi="Arial" w:cs="Arial" w:hint="default"/>
      <w:sz w:val="24"/>
      <w:szCs w:val="24"/>
    </w:rPr>
  </w:style>
  <w:style w:type="paragraph" w:customStyle="1" w:styleId="EYBusinessaddress">
    <w:name w:val="EY Business address"/>
    <w:basedOn w:val="Normal"/>
    <w:rsid w:val="00716823"/>
    <w:pPr>
      <w:suppressAutoHyphens/>
      <w:spacing w:after="0" w:line="170" w:lineRule="atLeast"/>
    </w:pPr>
    <w:rPr>
      <w:rFonts w:ascii="Arial" w:eastAsia="Times New Roman" w:hAnsi="Arial" w:cs="Times New Roman"/>
      <w:color w:val="666666"/>
      <w:kern w:val="12"/>
      <w:sz w:val="15"/>
      <w:szCs w:val="24"/>
      <w:lang w:eastAsia="en-US"/>
    </w:rPr>
  </w:style>
  <w:style w:type="paragraph" w:customStyle="1" w:styleId="EYBusinessaddressbold">
    <w:name w:val="EY Business address (bold)"/>
    <w:basedOn w:val="EYBusinessaddress"/>
    <w:next w:val="EYBusinessaddress"/>
    <w:rsid w:val="00716823"/>
    <w:rPr>
      <w:rFonts w:ascii="Arial Bold" w:hAnsi="Arial Bold"/>
      <w:b/>
    </w:rPr>
  </w:style>
  <w:style w:type="paragraph" w:customStyle="1" w:styleId="EYFooterinfo">
    <w:name w:val="EY Footer info"/>
    <w:basedOn w:val="Normal"/>
    <w:rsid w:val="00716823"/>
    <w:pPr>
      <w:suppressAutoHyphens/>
      <w:spacing w:after="0" w:line="240" w:lineRule="auto"/>
    </w:pPr>
    <w:rPr>
      <w:rFonts w:ascii="Arial" w:eastAsia="Times New Roman" w:hAnsi="Arial" w:cs="Times New Roman"/>
      <w:color w:val="666666"/>
      <w:kern w:val="12"/>
      <w:sz w:val="11"/>
      <w:szCs w:val="24"/>
      <w:lang w:eastAsia="en-US"/>
    </w:rPr>
  </w:style>
  <w:style w:type="character" w:customStyle="1" w:styleId="HeaderChar1">
    <w:name w:val="Header Char1"/>
    <w:rsid w:val="00716823"/>
    <w:rPr>
      <w:sz w:val="24"/>
      <w:lang w:val="en-GB"/>
    </w:rPr>
  </w:style>
  <w:style w:type="table" w:customStyle="1" w:styleId="TableGrid1">
    <w:name w:val="Table Grid1"/>
    <w:basedOn w:val="TableNormal"/>
    <w:next w:val="TableGrid"/>
    <w:uiPriority w:val="59"/>
    <w:rsid w:val="00716823"/>
    <w:pPr>
      <w:spacing w:after="0" w:line="240" w:lineRule="auto"/>
    </w:pPr>
    <w:rPr>
      <w:rFonts w:ascii="Times New Roman" w:eastAsia="Batang"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16823"/>
    <w:pPr>
      <w:spacing w:after="0" w:line="240" w:lineRule="auto"/>
    </w:pPr>
    <w:rPr>
      <w:rFonts w:ascii="Times New Roman" w:eastAsia="Batang"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6">
    <w:name w:val="index 6"/>
    <w:basedOn w:val="Normal"/>
    <w:next w:val="Normal"/>
    <w:autoRedefine/>
    <w:uiPriority w:val="99"/>
    <w:unhideWhenUsed/>
    <w:rsid w:val="00716823"/>
    <w:pPr>
      <w:spacing w:after="0" w:line="240" w:lineRule="auto"/>
      <w:ind w:left="1440" w:hanging="240"/>
      <w:jc w:val="both"/>
    </w:pPr>
    <w:rPr>
      <w:rFonts w:ascii="Times New Roman" w:eastAsia="Times New Roman" w:hAnsi="Times New Roman" w:cs="Times New Roman"/>
      <w:sz w:val="24"/>
      <w:szCs w:val="24"/>
      <w:lang w:eastAsia="en-US"/>
    </w:rPr>
  </w:style>
  <w:style w:type="paragraph" w:customStyle="1" w:styleId="5Normal">
    <w:name w:val="5 Normal"/>
    <w:basedOn w:val="Normal"/>
    <w:link w:val="5NormalChar"/>
    <w:rsid w:val="00716823"/>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cs="Times New Roman"/>
      <w:spacing w:val="-2"/>
      <w:sz w:val="20"/>
      <w:szCs w:val="24"/>
    </w:rPr>
  </w:style>
  <w:style w:type="character" w:customStyle="1" w:styleId="5NormalChar">
    <w:name w:val="5 Normal Char"/>
    <w:link w:val="5Normal"/>
    <w:locked/>
    <w:rsid w:val="00716823"/>
    <w:rPr>
      <w:rFonts w:ascii="Verdana" w:eastAsia="Times New Roman" w:hAnsi="Verdana" w:cs="Times New Roman"/>
      <w:spacing w:val="-2"/>
      <w:sz w:val="20"/>
      <w:szCs w:val="24"/>
    </w:rPr>
  </w:style>
  <w:style w:type="character" w:customStyle="1" w:styleId="st1">
    <w:name w:val="st1"/>
    <w:basedOn w:val="DefaultParagraphFont"/>
    <w:rsid w:val="00716823"/>
  </w:style>
  <w:style w:type="character" w:customStyle="1" w:styleId="ListParagraphChar">
    <w:name w:val="List Paragraph Char"/>
    <w:aliases w:val="Bullets_size 10 Char,List Paragraph1 Char,Bullet Number Char,lp1 Char,lp11 Char,List Paragraph11 Char,Use Case List Paragraph Char,Num Bullet 1 Char,Steps Char,Medium Grid 1 - Accent 21 Char"/>
    <w:link w:val="ListParagraph"/>
    <w:uiPriority w:val="34"/>
    <w:locked/>
    <w:rsid w:val="00716823"/>
    <w:rPr>
      <w:rFonts w:ascii="Times New Roman" w:eastAsia="Times New Roman" w:hAnsi="Times New Roman" w:cs="Times New Roman"/>
      <w:sz w:val="24"/>
      <w:szCs w:val="24"/>
    </w:rPr>
  </w:style>
  <w:style w:type="paragraph" w:styleId="ListNumber">
    <w:name w:val="List Number"/>
    <w:basedOn w:val="Normal"/>
    <w:qFormat/>
    <w:rsid w:val="008B21D6"/>
    <w:pPr>
      <w:numPr>
        <w:numId w:val="5"/>
      </w:numPr>
      <w:spacing w:after="240" w:line="240" w:lineRule="auto"/>
      <w:contextualSpacing/>
    </w:pPr>
    <w:rPr>
      <w:rFonts w:ascii="Times New Roman" w:eastAsiaTheme="minorHAnsi" w:hAnsi="Times New Roman"/>
      <w:sz w:val="24"/>
      <w:szCs w:val="24"/>
      <w:lang w:eastAsia="en-US"/>
    </w:rPr>
  </w:style>
  <w:style w:type="paragraph" w:customStyle="1" w:styleId="56208c2a-a4c3-421e-ac31-9fb12a4345aa">
    <w:name w:val="56208c2a-a4c3-421e-ac31-9fb12a4345aa"/>
    <w:basedOn w:val="Normal"/>
    <w:uiPriority w:val="99"/>
    <w:rsid w:val="000641D6"/>
    <w:pPr>
      <w:spacing w:after="0" w:line="240" w:lineRule="auto"/>
    </w:pPr>
    <w:rPr>
      <w:rFonts w:ascii="Times New Roman" w:eastAsiaTheme="minorHAnsi" w:hAnsi="Times New Roman" w:cs="Times New Roman"/>
      <w:sz w:val="24"/>
      <w:szCs w:val="24"/>
    </w:rPr>
  </w:style>
  <w:style w:type="paragraph" w:customStyle="1" w:styleId="Bodytxt2">
    <w:name w:val="Body txt2"/>
    <w:basedOn w:val="Normal"/>
    <w:uiPriority w:val="99"/>
    <w:rsid w:val="00D86678"/>
    <w:pPr>
      <w:autoSpaceDE w:val="0"/>
      <w:autoSpaceDN w:val="0"/>
      <w:spacing w:before="215" w:after="0" w:line="240" w:lineRule="auto"/>
      <w:jc w:val="both"/>
    </w:pPr>
    <w:rPr>
      <w:rFonts w:ascii="Verdana" w:eastAsiaTheme="minorHAnsi" w:hAnsi="Verdana" w:cs="Times New Roman"/>
      <w:color w:val="000000"/>
      <w:sz w:val="18"/>
      <w:szCs w:val="18"/>
    </w:rPr>
  </w:style>
  <w:style w:type="paragraph" w:customStyle="1" w:styleId="e97625f8-6b2e-41df-91a7-71350c791624">
    <w:name w:val="e97625f8-6b2e-41df-91a7-71350c791624"/>
    <w:basedOn w:val="Normal"/>
    <w:rsid w:val="00C21EE4"/>
    <w:pPr>
      <w:spacing w:after="0" w:line="240" w:lineRule="auto"/>
    </w:pPr>
    <w:rPr>
      <w:rFonts w:ascii="Times New Roman" w:eastAsiaTheme="minorHAnsi" w:hAnsi="Times New Roman" w:cs="Times New Roman"/>
      <w:sz w:val="24"/>
      <w:szCs w:val="24"/>
      <w:lang w:val="en-US" w:eastAsia="en-US"/>
    </w:rPr>
  </w:style>
  <w:style w:type="table" w:customStyle="1" w:styleId="TableGrid21">
    <w:name w:val="Table Grid21"/>
    <w:basedOn w:val="TableNormal"/>
    <w:next w:val="TableGrid"/>
    <w:uiPriority w:val="59"/>
    <w:rsid w:val="00C21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21EE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Numbersyr0">
    <w:name w:val="8 Numbers yr0"/>
    <w:uiPriority w:val="99"/>
    <w:rsid w:val="00C21EE4"/>
    <w:pPr>
      <w:widowControl w:val="0"/>
      <w:autoSpaceDE w:val="0"/>
      <w:autoSpaceDN w:val="0"/>
      <w:adjustRightInd w:val="0"/>
      <w:spacing w:before="28" w:after="28" w:line="240" w:lineRule="auto"/>
      <w:ind w:right="56"/>
      <w:jc w:val="right"/>
    </w:pPr>
    <w:rPr>
      <w:rFonts w:ascii="Verdana" w:hAnsi="Verdana" w:cs="Verdana"/>
      <w:b/>
      <w:bCs/>
      <w:color w:val="000000"/>
      <w:sz w:val="16"/>
      <w:szCs w:val="16"/>
    </w:rPr>
  </w:style>
  <w:style w:type="paragraph" w:customStyle="1" w:styleId="Headingyearbold">
    <w:name w:val="Heading year bold"/>
    <w:uiPriority w:val="99"/>
    <w:rsid w:val="008A2699"/>
    <w:pPr>
      <w:widowControl w:val="0"/>
      <w:autoSpaceDE w:val="0"/>
      <w:autoSpaceDN w:val="0"/>
      <w:adjustRightInd w:val="0"/>
      <w:spacing w:after="0" w:line="240" w:lineRule="auto"/>
      <w:jc w:val="center"/>
    </w:pPr>
    <w:rPr>
      <w:rFonts w:ascii="Verdana" w:hAnsi="Verdana" w:cs="Verdana"/>
      <w:b/>
      <w:bCs/>
      <w:color w:val="000000"/>
      <w:sz w:val="18"/>
      <w:szCs w:val="18"/>
    </w:rPr>
  </w:style>
  <w:style w:type="paragraph" w:customStyle="1" w:styleId="Bullet4">
    <w:name w:val="Bullet 4"/>
    <w:uiPriority w:val="99"/>
    <w:rsid w:val="008A2699"/>
    <w:pPr>
      <w:widowControl w:val="0"/>
      <w:autoSpaceDE w:val="0"/>
      <w:autoSpaceDN w:val="0"/>
      <w:adjustRightInd w:val="0"/>
      <w:spacing w:after="0" w:line="240" w:lineRule="auto"/>
      <w:ind w:left="283"/>
      <w:jc w:val="both"/>
    </w:pPr>
    <w:rPr>
      <w:rFonts w:ascii="Verdana" w:hAnsi="Verdana" w:cs="Verdana"/>
      <w:color w:val="000000"/>
      <w:sz w:val="18"/>
      <w:szCs w:val="18"/>
    </w:rPr>
  </w:style>
  <w:style w:type="paragraph" w:customStyle="1" w:styleId="Headingpolicyi">
    <w:name w:val="Heading policy (i)"/>
    <w:uiPriority w:val="99"/>
    <w:rsid w:val="008A2699"/>
    <w:pPr>
      <w:keepNext/>
      <w:widowControl w:val="0"/>
      <w:autoSpaceDE w:val="0"/>
      <w:autoSpaceDN w:val="0"/>
      <w:adjustRightInd w:val="0"/>
      <w:spacing w:before="215" w:after="0" w:line="240" w:lineRule="auto"/>
    </w:pPr>
    <w:rPr>
      <w:rFonts w:ascii="Verdana" w:hAnsi="Verdana" w:cs="Verdana"/>
      <w:i/>
      <w:iCs/>
      <w:color w:val="000000"/>
      <w:sz w:val="18"/>
      <w:szCs w:val="18"/>
    </w:rPr>
  </w:style>
  <w:style w:type="paragraph" w:customStyle="1" w:styleId="Headingyear">
    <w:name w:val="Heading year"/>
    <w:uiPriority w:val="99"/>
    <w:rsid w:val="008A2699"/>
    <w:pPr>
      <w:widowControl w:val="0"/>
      <w:autoSpaceDE w:val="0"/>
      <w:autoSpaceDN w:val="0"/>
      <w:adjustRightInd w:val="0"/>
      <w:spacing w:after="0" w:line="240" w:lineRule="auto"/>
      <w:jc w:val="center"/>
    </w:pPr>
    <w:rPr>
      <w:rFonts w:ascii="Verdana" w:hAnsi="Verdana" w:cs="Verdana"/>
      <w:color w:val="000000"/>
      <w:sz w:val="18"/>
      <w:szCs w:val="18"/>
    </w:rPr>
  </w:style>
  <w:style w:type="paragraph" w:customStyle="1" w:styleId="TableHdgNoBorder">
    <w:name w:val="Table Hdg No Border"/>
    <w:uiPriority w:val="99"/>
    <w:rsid w:val="008A2699"/>
    <w:pPr>
      <w:widowControl w:val="0"/>
      <w:autoSpaceDE w:val="0"/>
      <w:autoSpaceDN w:val="0"/>
      <w:adjustRightInd w:val="0"/>
      <w:spacing w:after="0" w:line="240" w:lineRule="auto"/>
      <w:ind w:left="56"/>
    </w:pPr>
    <w:rPr>
      <w:rFonts w:ascii="Verdana" w:hAnsi="Verdana" w:cs="Verdana"/>
      <w:b/>
      <w:bCs/>
      <w:color w:val="000000"/>
      <w:sz w:val="18"/>
      <w:szCs w:val="18"/>
    </w:rPr>
  </w:style>
  <w:style w:type="paragraph" w:customStyle="1" w:styleId="Tablecolumn1">
    <w:name w:val="Table column 1"/>
    <w:uiPriority w:val="99"/>
    <w:rsid w:val="008A2699"/>
    <w:pPr>
      <w:widowControl w:val="0"/>
      <w:tabs>
        <w:tab w:val="left" w:pos="4592"/>
      </w:tabs>
      <w:autoSpaceDE w:val="0"/>
      <w:autoSpaceDN w:val="0"/>
      <w:adjustRightInd w:val="0"/>
      <w:spacing w:after="0" w:line="240" w:lineRule="auto"/>
      <w:ind w:left="56"/>
    </w:pPr>
    <w:rPr>
      <w:rFonts w:ascii="Verdana" w:hAnsi="Verdana" w:cs="Verdana"/>
      <w:color w:val="000000"/>
      <w:sz w:val="18"/>
      <w:szCs w:val="18"/>
    </w:rPr>
  </w:style>
  <w:style w:type="paragraph" w:customStyle="1" w:styleId="Numbertotalyr0">
    <w:name w:val="Number total yr0"/>
    <w:uiPriority w:val="99"/>
    <w:rsid w:val="008A2699"/>
    <w:pPr>
      <w:widowControl w:val="0"/>
      <w:tabs>
        <w:tab w:val="left" w:pos="963"/>
      </w:tabs>
      <w:autoSpaceDE w:val="0"/>
      <w:autoSpaceDN w:val="0"/>
      <w:adjustRightInd w:val="0"/>
      <w:spacing w:before="28" w:after="28" w:line="240" w:lineRule="auto"/>
      <w:ind w:right="56"/>
      <w:jc w:val="right"/>
    </w:pPr>
    <w:rPr>
      <w:rFonts w:ascii="Verdana" w:hAnsi="Verdana" w:cs="Verdana"/>
      <w:b/>
      <w:bCs/>
      <w:color w:val="000000"/>
      <w:sz w:val="18"/>
      <w:szCs w:val="18"/>
    </w:rPr>
  </w:style>
  <w:style w:type="paragraph" w:customStyle="1" w:styleId="Numbersyr1">
    <w:name w:val="Numbers yr1"/>
    <w:uiPriority w:val="99"/>
    <w:rsid w:val="008A2699"/>
    <w:pPr>
      <w:widowControl w:val="0"/>
      <w:autoSpaceDE w:val="0"/>
      <w:autoSpaceDN w:val="0"/>
      <w:adjustRightInd w:val="0"/>
      <w:spacing w:before="28" w:after="28" w:line="240" w:lineRule="auto"/>
      <w:ind w:right="56"/>
      <w:jc w:val="right"/>
    </w:pPr>
    <w:rPr>
      <w:rFonts w:ascii="Verdana" w:hAnsi="Verdana" w:cs="Verdana"/>
      <w:color w:val="000000"/>
      <w:sz w:val="18"/>
      <w:szCs w:val="18"/>
    </w:rPr>
  </w:style>
  <w:style w:type="table" w:customStyle="1" w:styleId="TableGrid4">
    <w:name w:val="Table Grid4"/>
    <w:basedOn w:val="TableNormal"/>
    <w:next w:val="TableGrid"/>
    <w:uiPriority w:val="59"/>
    <w:rsid w:val="008A2699"/>
    <w:pPr>
      <w:spacing w:after="0" w:line="240" w:lineRule="auto"/>
    </w:pPr>
    <w:rPr>
      <w:rFonts w:ascii="Times New Roman" w:eastAsia="Batang"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A2699"/>
    <w:pPr>
      <w:spacing w:after="0" w:line="240" w:lineRule="auto"/>
    </w:pPr>
    <w:rPr>
      <w:rFonts w:ascii="Times New Roman" w:eastAsia="Batang"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13BE1"/>
    <w:pPr>
      <w:spacing w:after="0" w:line="240" w:lineRule="auto"/>
    </w:pPr>
    <w:rPr>
      <w:rFonts w:ascii="Times New Roman" w:eastAsia="Batang"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13BE1"/>
    <w:pPr>
      <w:spacing w:after="0" w:line="240" w:lineRule="auto"/>
    </w:pPr>
    <w:rPr>
      <w:rFonts w:ascii="Times New Roman" w:eastAsia="Batang"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13BE1"/>
    <w:pPr>
      <w:spacing w:after="0" w:line="240" w:lineRule="auto"/>
    </w:pPr>
    <w:rPr>
      <w:rFonts w:ascii="Times New Roman" w:eastAsia="Batang"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213BE1"/>
    <w:pPr>
      <w:spacing w:after="0" w:line="240" w:lineRule="auto"/>
    </w:pPr>
    <w:rPr>
      <w:rFonts w:ascii="Times New Roman" w:eastAsia="Batang"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Numbersyr1">
    <w:name w:val="7 Numbers yr1"/>
    <w:uiPriority w:val="99"/>
    <w:rsid w:val="000538CA"/>
    <w:pPr>
      <w:widowControl w:val="0"/>
      <w:autoSpaceDE w:val="0"/>
      <w:autoSpaceDN w:val="0"/>
      <w:adjustRightInd w:val="0"/>
      <w:spacing w:before="28" w:after="28" w:line="240" w:lineRule="auto"/>
      <w:ind w:right="56"/>
      <w:jc w:val="right"/>
    </w:pPr>
    <w:rPr>
      <w:rFonts w:ascii="Verdana" w:hAnsi="Verdana" w:cs="Verdana"/>
      <w:color w:val="000000"/>
      <w:sz w:val="14"/>
      <w:szCs w:val="14"/>
    </w:rPr>
  </w:style>
  <w:style w:type="paragraph" w:customStyle="1" w:styleId="BodyTxt1">
    <w:name w:val="Body Txt1"/>
    <w:basedOn w:val="Normal"/>
    <w:uiPriority w:val="99"/>
    <w:rsid w:val="000538CA"/>
    <w:pPr>
      <w:autoSpaceDE w:val="0"/>
      <w:autoSpaceDN w:val="0"/>
      <w:spacing w:after="0" w:line="240" w:lineRule="auto"/>
      <w:jc w:val="both"/>
    </w:pPr>
    <w:rPr>
      <w:rFonts w:ascii="Verdana" w:eastAsia="Times New Roman" w:hAnsi="Verdana" w:cs="Calibri"/>
      <w:color w:val="000000"/>
      <w:sz w:val="18"/>
      <w:szCs w:val="18"/>
    </w:rPr>
  </w:style>
  <w:style w:type="paragraph" w:customStyle="1" w:styleId="8Headingsign">
    <w:name w:val="8 Heading sign"/>
    <w:uiPriority w:val="99"/>
    <w:rsid w:val="000538CA"/>
    <w:pPr>
      <w:widowControl w:val="0"/>
      <w:autoSpaceDE w:val="0"/>
      <w:autoSpaceDN w:val="0"/>
      <w:adjustRightInd w:val="0"/>
      <w:spacing w:after="0" w:line="240" w:lineRule="auto"/>
      <w:jc w:val="center"/>
    </w:pPr>
    <w:rPr>
      <w:rFonts w:ascii="Verdana" w:hAnsi="Verdana" w:cs="Verdana"/>
      <w:color w:val="000000"/>
      <w:sz w:val="16"/>
      <w:szCs w:val="16"/>
    </w:rPr>
  </w:style>
  <w:style w:type="paragraph" w:customStyle="1" w:styleId="7Numbersyr0">
    <w:name w:val="7 Numbers yr0"/>
    <w:uiPriority w:val="99"/>
    <w:rsid w:val="000538CA"/>
    <w:pPr>
      <w:widowControl w:val="0"/>
      <w:autoSpaceDE w:val="0"/>
      <w:autoSpaceDN w:val="0"/>
      <w:adjustRightInd w:val="0"/>
      <w:spacing w:before="28" w:after="28" w:line="240" w:lineRule="auto"/>
      <w:ind w:right="56"/>
      <w:jc w:val="right"/>
    </w:pPr>
    <w:rPr>
      <w:rFonts w:ascii="Verdana" w:hAnsi="Verdana" w:cs="Verdana"/>
      <w:b/>
      <w:bCs/>
      <w:color w:val="000000"/>
      <w:sz w:val="14"/>
      <w:szCs w:val="14"/>
    </w:rPr>
  </w:style>
  <w:style w:type="paragraph" w:customStyle="1" w:styleId="Numbersyr0">
    <w:name w:val="Numbers yr0"/>
    <w:uiPriority w:val="99"/>
    <w:rsid w:val="000538CA"/>
    <w:pPr>
      <w:widowControl w:val="0"/>
      <w:autoSpaceDE w:val="0"/>
      <w:autoSpaceDN w:val="0"/>
      <w:adjustRightInd w:val="0"/>
      <w:spacing w:before="28" w:after="28" w:line="240" w:lineRule="auto"/>
      <w:ind w:right="56"/>
      <w:jc w:val="right"/>
    </w:pPr>
    <w:rPr>
      <w:rFonts w:ascii="Verdana" w:hAnsi="Verdana" w:cs="Verdana"/>
      <w:b/>
      <w:bCs/>
      <w:color w:val="000000"/>
      <w:sz w:val="18"/>
      <w:szCs w:val="18"/>
    </w:rPr>
  </w:style>
  <w:style w:type="paragraph" w:customStyle="1" w:styleId="Headingpolicynotes">
    <w:name w:val="Heading policy notes"/>
    <w:basedOn w:val="Normal"/>
    <w:uiPriority w:val="99"/>
    <w:rsid w:val="000538CA"/>
    <w:pPr>
      <w:keepNext/>
      <w:autoSpaceDE w:val="0"/>
      <w:autoSpaceDN w:val="0"/>
      <w:spacing w:before="215" w:after="0" w:line="240" w:lineRule="auto"/>
      <w:jc w:val="both"/>
    </w:pPr>
    <w:rPr>
      <w:rFonts w:ascii="Verdana" w:eastAsia="Times New Roman" w:hAnsi="Verdana" w:cs="Calibri"/>
      <w:b/>
      <w:bCs/>
      <w:color w:val="000000"/>
      <w:sz w:val="18"/>
      <w:szCs w:val="18"/>
    </w:rPr>
  </w:style>
  <w:style w:type="character" w:customStyle="1" w:styleId="UnresolvedMention1">
    <w:name w:val="Unresolved Mention1"/>
    <w:basedOn w:val="DefaultParagraphFont"/>
    <w:uiPriority w:val="99"/>
    <w:semiHidden/>
    <w:unhideWhenUsed/>
    <w:rsid w:val="000538CA"/>
    <w:rPr>
      <w:color w:val="605E5C"/>
      <w:shd w:val="clear" w:color="auto" w:fill="E1DFDD"/>
    </w:rPr>
  </w:style>
  <w:style w:type="table" w:customStyle="1" w:styleId="TableGrid10">
    <w:name w:val="Table Grid10"/>
    <w:basedOn w:val="TableNormal"/>
    <w:next w:val="TableGrid"/>
    <w:uiPriority w:val="59"/>
    <w:rsid w:val="00375A05"/>
    <w:pPr>
      <w:spacing w:after="0" w:line="240" w:lineRule="auto"/>
    </w:pPr>
    <w:rPr>
      <w:rFonts w:ascii="Times New Roman" w:eastAsia="Batang"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2C7B88"/>
    <w:rPr>
      <w:color w:val="2B579A"/>
      <w:shd w:val="clear" w:color="auto" w:fill="E1DFDD"/>
    </w:rPr>
  </w:style>
  <w:style w:type="character" w:customStyle="1" w:styleId="hps">
    <w:name w:val="hps"/>
    <w:basedOn w:val="DefaultParagraphFont"/>
    <w:rsid w:val="00B60E0B"/>
  </w:style>
  <w:style w:type="character" w:customStyle="1" w:styleId="shorttext">
    <w:name w:val="short_text"/>
    <w:basedOn w:val="DefaultParagraphFont"/>
    <w:rsid w:val="00B60E0B"/>
  </w:style>
  <w:style w:type="paragraph" w:styleId="HTMLPreformatted">
    <w:name w:val="HTML Preformatted"/>
    <w:basedOn w:val="Normal"/>
    <w:link w:val="HTMLPreformattedChar"/>
    <w:uiPriority w:val="99"/>
    <w:unhideWhenUsed/>
    <w:rsid w:val="00B60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B60E0B"/>
    <w:rPr>
      <w:rFonts w:ascii="Courier New" w:eastAsia="Times New Roman" w:hAnsi="Courier New" w:cs="Courier New"/>
      <w:sz w:val="20"/>
      <w:szCs w:val="20"/>
      <w:lang w:val="en-US" w:eastAsia="en-US"/>
    </w:rPr>
  </w:style>
  <w:style w:type="paragraph" w:styleId="TOCHeading">
    <w:name w:val="TOC Heading"/>
    <w:basedOn w:val="Heading1"/>
    <w:next w:val="Normal"/>
    <w:uiPriority w:val="39"/>
    <w:unhideWhenUsed/>
    <w:qFormat/>
    <w:rsid w:val="00954FFE"/>
    <w:pPr>
      <w:spacing w:before="240" w:line="259" w:lineRule="auto"/>
      <w:outlineLvl w:val="9"/>
    </w:pPr>
    <w:rPr>
      <w:b w:val="0"/>
      <w:bCs w:val="0"/>
      <w:sz w:val="32"/>
      <w:szCs w:val="32"/>
      <w:lang w:val="en-US" w:eastAsia="en-US"/>
    </w:rPr>
  </w:style>
  <w:style w:type="paragraph" w:customStyle="1" w:styleId="Bulletnumber">
    <w:name w:val="Bullet number"/>
    <w:uiPriority w:val="99"/>
    <w:rsid w:val="004C0196"/>
    <w:pPr>
      <w:widowControl w:val="0"/>
      <w:autoSpaceDE w:val="0"/>
      <w:autoSpaceDN w:val="0"/>
      <w:adjustRightInd w:val="0"/>
      <w:spacing w:after="0" w:line="240" w:lineRule="auto"/>
      <w:ind w:left="680" w:hanging="396"/>
      <w:jc w:val="both"/>
    </w:pPr>
    <w:rPr>
      <w:rFonts w:ascii="Verdana" w:hAnsi="Verdana" w:cs="Verdana"/>
      <w:color w:val="000000"/>
      <w:sz w:val="18"/>
      <w:szCs w:val="18"/>
    </w:rPr>
  </w:style>
  <w:style w:type="character" w:styleId="UnresolvedMention">
    <w:name w:val="Unresolved Mention"/>
    <w:basedOn w:val="DefaultParagraphFont"/>
    <w:uiPriority w:val="99"/>
    <w:semiHidden/>
    <w:unhideWhenUsed/>
    <w:rsid w:val="00D142F6"/>
    <w:rPr>
      <w:color w:val="605E5C"/>
      <w:shd w:val="clear" w:color="auto" w:fill="E1DFDD"/>
    </w:rPr>
  </w:style>
  <w:style w:type="table" w:customStyle="1" w:styleId="GridTable5Dark-Accent51">
    <w:name w:val="Grid Table 5 Dark - Accent 51"/>
    <w:basedOn w:val="TableNormal"/>
    <w:uiPriority w:val="50"/>
    <w:rsid w:val="00597DDB"/>
    <w:pPr>
      <w:spacing w:after="0" w:line="240" w:lineRule="auto"/>
    </w:pPr>
    <w:rPr>
      <w:rFonts w:ascii="Cambria" w:eastAsia="Cambria" w:hAnsi="Cambria" w:cs="Times New Roman"/>
      <w:sz w:val="20"/>
      <w:szCs w:val="20"/>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eGrid13">
    <w:name w:val="Table Grid13"/>
    <w:basedOn w:val="TableNormal"/>
    <w:next w:val="TableGrid"/>
    <w:uiPriority w:val="59"/>
    <w:rsid w:val="00412673"/>
    <w:pPr>
      <w:spacing w:after="0" w:line="240" w:lineRule="auto"/>
    </w:pPr>
    <w:rPr>
      <w:rFonts w:ascii="Times New Roman" w:eastAsia="Batang"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412673"/>
    <w:pPr>
      <w:spacing w:after="0" w:line="240" w:lineRule="auto"/>
    </w:pPr>
    <w:rPr>
      <w:rFonts w:ascii="Times New Roman" w:eastAsia="Batang"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352599"/>
  </w:style>
  <w:style w:type="table" w:customStyle="1" w:styleId="TableGrid17">
    <w:name w:val="Table Grid17"/>
    <w:basedOn w:val="TableNormal"/>
    <w:next w:val="TableGrid"/>
    <w:uiPriority w:val="59"/>
    <w:rsid w:val="004953BA"/>
    <w:pPr>
      <w:spacing w:after="0" w:line="240" w:lineRule="auto"/>
    </w:pPr>
    <w:rPr>
      <w:rFonts w:ascii="Times New Roman" w:eastAsia="Batang"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4953BA"/>
    <w:pPr>
      <w:spacing w:after="0" w:line="240" w:lineRule="auto"/>
    </w:pPr>
    <w:rPr>
      <w:rFonts w:ascii="Times New Roman" w:eastAsia="Batang"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D10DD"/>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8D10DD"/>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0238">
      <w:bodyDiv w:val="1"/>
      <w:marLeft w:val="0"/>
      <w:marRight w:val="0"/>
      <w:marTop w:val="0"/>
      <w:marBottom w:val="0"/>
      <w:divBdr>
        <w:top w:val="none" w:sz="0" w:space="0" w:color="auto"/>
        <w:left w:val="none" w:sz="0" w:space="0" w:color="auto"/>
        <w:bottom w:val="none" w:sz="0" w:space="0" w:color="auto"/>
        <w:right w:val="none" w:sz="0" w:space="0" w:color="auto"/>
      </w:divBdr>
    </w:div>
    <w:div w:id="9331935">
      <w:bodyDiv w:val="1"/>
      <w:marLeft w:val="0"/>
      <w:marRight w:val="0"/>
      <w:marTop w:val="0"/>
      <w:marBottom w:val="0"/>
      <w:divBdr>
        <w:top w:val="none" w:sz="0" w:space="0" w:color="auto"/>
        <w:left w:val="none" w:sz="0" w:space="0" w:color="auto"/>
        <w:bottom w:val="none" w:sz="0" w:space="0" w:color="auto"/>
        <w:right w:val="none" w:sz="0" w:space="0" w:color="auto"/>
      </w:divBdr>
    </w:div>
    <w:div w:id="10962232">
      <w:bodyDiv w:val="1"/>
      <w:marLeft w:val="0"/>
      <w:marRight w:val="0"/>
      <w:marTop w:val="0"/>
      <w:marBottom w:val="0"/>
      <w:divBdr>
        <w:top w:val="none" w:sz="0" w:space="0" w:color="auto"/>
        <w:left w:val="none" w:sz="0" w:space="0" w:color="auto"/>
        <w:bottom w:val="none" w:sz="0" w:space="0" w:color="auto"/>
        <w:right w:val="none" w:sz="0" w:space="0" w:color="auto"/>
      </w:divBdr>
    </w:div>
    <w:div w:id="17700036">
      <w:bodyDiv w:val="1"/>
      <w:marLeft w:val="0"/>
      <w:marRight w:val="0"/>
      <w:marTop w:val="0"/>
      <w:marBottom w:val="0"/>
      <w:divBdr>
        <w:top w:val="none" w:sz="0" w:space="0" w:color="auto"/>
        <w:left w:val="none" w:sz="0" w:space="0" w:color="auto"/>
        <w:bottom w:val="none" w:sz="0" w:space="0" w:color="auto"/>
        <w:right w:val="none" w:sz="0" w:space="0" w:color="auto"/>
      </w:divBdr>
    </w:div>
    <w:div w:id="18437645">
      <w:bodyDiv w:val="1"/>
      <w:marLeft w:val="0"/>
      <w:marRight w:val="0"/>
      <w:marTop w:val="0"/>
      <w:marBottom w:val="0"/>
      <w:divBdr>
        <w:top w:val="none" w:sz="0" w:space="0" w:color="auto"/>
        <w:left w:val="none" w:sz="0" w:space="0" w:color="auto"/>
        <w:bottom w:val="none" w:sz="0" w:space="0" w:color="auto"/>
        <w:right w:val="none" w:sz="0" w:space="0" w:color="auto"/>
      </w:divBdr>
    </w:div>
    <w:div w:id="18899379">
      <w:bodyDiv w:val="1"/>
      <w:marLeft w:val="0"/>
      <w:marRight w:val="0"/>
      <w:marTop w:val="0"/>
      <w:marBottom w:val="0"/>
      <w:divBdr>
        <w:top w:val="none" w:sz="0" w:space="0" w:color="auto"/>
        <w:left w:val="none" w:sz="0" w:space="0" w:color="auto"/>
        <w:bottom w:val="none" w:sz="0" w:space="0" w:color="auto"/>
        <w:right w:val="none" w:sz="0" w:space="0" w:color="auto"/>
      </w:divBdr>
    </w:div>
    <w:div w:id="30426407">
      <w:bodyDiv w:val="1"/>
      <w:marLeft w:val="0"/>
      <w:marRight w:val="0"/>
      <w:marTop w:val="0"/>
      <w:marBottom w:val="0"/>
      <w:divBdr>
        <w:top w:val="none" w:sz="0" w:space="0" w:color="auto"/>
        <w:left w:val="none" w:sz="0" w:space="0" w:color="auto"/>
        <w:bottom w:val="none" w:sz="0" w:space="0" w:color="auto"/>
        <w:right w:val="none" w:sz="0" w:space="0" w:color="auto"/>
      </w:divBdr>
    </w:div>
    <w:div w:id="33039746">
      <w:bodyDiv w:val="1"/>
      <w:marLeft w:val="0"/>
      <w:marRight w:val="0"/>
      <w:marTop w:val="0"/>
      <w:marBottom w:val="0"/>
      <w:divBdr>
        <w:top w:val="none" w:sz="0" w:space="0" w:color="auto"/>
        <w:left w:val="none" w:sz="0" w:space="0" w:color="auto"/>
        <w:bottom w:val="none" w:sz="0" w:space="0" w:color="auto"/>
        <w:right w:val="none" w:sz="0" w:space="0" w:color="auto"/>
      </w:divBdr>
    </w:div>
    <w:div w:id="42877538">
      <w:bodyDiv w:val="1"/>
      <w:marLeft w:val="0"/>
      <w:marRight w:val="0"/>
      <w:marTop w:val="0"/>
      <w:marBottom w:val="0"/>
      <w:divBdr>
        <w:top w:val="none" w:sz="0" w:space="0" w:color="auto"/>
        <w:left w:val="none" w:sz="0" w:space="0" w:color="auto"/>
        <w:bottom w:val="none" w:sz="0" w:space="0" w:color="auto"/>
        <w:right w:val="none" w:sz="0" w:space="0" w:color="auto"/>
      </w:divBdr>
    </w:div>
    <w:div w:id="52429481">
      <w:bodyDiv w:val="1"/>
      <w:marLeft w:val="0"/>
      <w:marRight w:val="0"/>
      <w:marTop w:val="0"/>
      <w:marBottom w:val="0"/>
      <w:divBdr>
        <w:top w:val="none" w:sz="0" w:space="0" w:color="auto"/>
        <w:left w:val="none" w:sz="0" w:space="0" w:color="auto"/>
        <w:bottom w:val="none" w:sz="0" w:space="0" w:color="auto"/>
        <w:right w:val="none" w:sz="0" w:space="0" w:color="auto"/>
      </w:divBdr>
    </w:div>
    <w:div w:id="58023309">
      <w:bodyDiv w:val="1"/>
      <w:marLeft w:val="0"/>
      <w:marRight w:val="0"/>
      <w:marTop w:val="0"/>
      <w:marBottom w:val="0"/>
      <w:divBdr>
        <w:top w:val="none" w:sz="0" w:space="0" w:color="auto"/>
        <w:left w:val="none" w:sz="0" w:space="0" w:color="auto"/>
        <w:bottom w:val="none" w:sz="0" w:space="0" w:color="auto"/>
        <w:right w:val="none" w:sz="0" w:space="0" w:color="auto"/>
      </w:divBdr>
    </w:div>
    <w:div w:id="73359757">
      <w:bodyDiv w:val="1"/>
      <w:marLeft w:val="0"/>
      <w:marRight w:val="0"/>
      <w:marTop w:val="0"/>
      <w:marBottom w:val="0"/>
      <w:divBdr>
        <w:top w:val="none" w:sz="0" w:space="0" w:color="auto"/>
        <w:left w:val="none" w:sz="0" w:space="0" w:color="auto"/>
        <w:bottom w:val="none" w:sz="0" w:space="0" w:color="auto"/>
        <w:right w:val="none" w:sz="0" w:space="0" w:color="auto"/>
      </w:divBdr>
      <w:divsChild>
        <w:div w:id="743181690">
          <w:marLeft w:val="274"/>
          <w:marRight w:val="0"/>
          <w:marTop w:val="40"/>
          <w:marBottom w:val="40"/>
          <w:divBdr>
            <w:top w:val="none" w:sz="0" w:space="0" w:color="auto"/>
            <w:left w:val="none" w:sz="0" w:space="0" w:color="auto"/>
            <w:bottom w:val="none" w:sz="0" w:space="0" w:color="auto"/>
            <w:right w:val="none" w:sz="0" w:space="0" w:color="auto"/>
          </w:divBdr>
        </w:div>
      </w:divsChild>
    </w:div>
    <w:div w:id="73624567">
      <w:bodyDiv w:val="1"/>
      <w:marLeft w:val="0"/>
      <w:marRight w:val="0"/>
      <w:marTop w:val="0"/>
      <w:marBottom w:val="0"/>
      <w:divBdr>
        <w:top w:val="none" w:sz="0" w:space="0" w:color="auto"/>
        <w:left w:val="none" w:sz="0" w:space="0" w:color="auto"/>
        <w:bottom w:val="none" w:sz="0" w:space="0" w:color="auto"/>
        <w:right w:val="none" w:sz="0" w:space="0" w:color="auto"/>
      </w:divBdr>
    </w:div>
    <w:div w:id="77748743">
      <w:bodyDiv w:val="1"/>
      <w:marLeft w:val="0"/>
      <w:marRight w:val="0"/>
      <w:marTop w:val="0"/>
      <w:marBottom w:val="0"/>
      <w:divBdr>
        <w:top w:val="none" w:sz="0" w:space="0" w:color="auto"/>
        <w:left w:val="none" w:sz="0" w:space="0" w:color="auto"/>
        <w:bottom w:val="none" w:sz="0" w:space="0" w:color="auto"/>
        <w:right w:val="none" w:sz="0" w:space="0" w:color="auto"/>
      </w:divBdr>
    </w:div>
    <w:div w:id="77798311">
      <w:bodyDiv w:val="1"/>
      <w:marLeft w:val="0"/>
      <w:marRight w:val="0"/>
      <w:marTop w:val="0"/>
      <w:marBottom w:val="0"/>
      <w:divBdr>
        <w:top w:val="none" w:sz="0" w:space="0" w:color="auto"/>
        <w:left w:val="none" w:sz="0" w:space="0" w:color="auto"/>
        <w:bottom w:val="none" w:sz="0" w:space="0" w:color="auto"/>
        <w:right w:val="none" w:sz="0" w:space="0" w:color="auto"/>
      </w:divBdr>
    </w:div>
    <w:div w:id="78599477">
      <w:bodyDiv w:val="1"/>
      <w:marLeft w:val="0"/>
      <w:marRight w:val="0"/>
      <w:marTop w:val="0"/>
      <w:marBottom w:val="0"/>
      <w:divBdr>
        <w:top w:val="none" w:sz="0" w:space="0" w:color="auto"/>
        <w:left w:val="none" w:sz="0" w:space="0" w:color="auto"/>
        <w:bottom w:val="none" w:sz="0" w:space="0" w:color="auto"/>
        <w:right w:val="none" w:sz="0" w:space="0" w:color="auto"/>
      </w:divBdr>
      <w:divsChild>
        <w:div w:id="71977425">
          <w:marLeft w:val="274"/>
          <w:marRight w:val="0"/>
          <w:marTop w:val="40"/>
          <w:marBottom w:val="40"/>
          <w:divBdr>
            <w:top w:val="none" w:sz="0" w:space="0" w:color="auto"/>
            <w:left w:val="none" w:sz="0" w:space="0" w:color="auto"/>
            <w:bottom w:val="none" w:sz="0" w:space="0" w:color="auto"/>
            <w:right w:val="none" w:sz="0" w:space="0" w:color="auto"/>
          </w:divBdr>
        </w:div>
        <w:div w:id="303314918">
          <w:marLeft w:val="274"/>
          <w:marRight w:val="0"/>
          <w:marTop w:val="40"/>
          <w:marBottom w:val="40"/>
          <w:divBdr>
            <w:top w:val="none" w:sz="0" w:space="0" w:color="auto"/>
            <w:left w:val="none" w:sz="0" w:space="0" w:color="auto"/>
            <w:bottom w:val="none" w:sz="0" w:space="0" w:color="auto"/>
            <w:right w:val="none" w:sz="0" w:space="0" w:color="auto"/>
          </w:divBdr>
        </w:div>
        <w:div w:id="1339425878">
          <w:marLeft w:val="274"/>
          <w:marRight w:val="0"/>
          <w:marTop w:val="40"/>
          <w:marBottom w:val="40"/>
          <w:divBdr>
            <w:top w:val="none" w:sz="0" w:space="0" w:color="auto"/>
            <w:left w:val="none" w:sz="0" w:space="0" w:color="auto"/>
            <w:bottom w:val="none" w:sz="0" w:space="0" w:color="auto"/>
            <w:right w:val="none" w:sz="0" w:space="0" w:color="auto"/>
          </w:divBdr>
        </w:div>
        <w:div w:id="1517385616">
          <w:marLeft w:val="274"/>
          <w:marRight w:val="0"/>
          <w:marTop w:val="40"/>
          <w:marBottom w:val="40"/>
          <w:divBdr>
            <w:top w:val="none" w:sz="0" w:space="0" w:color="auto"/>
            <w:left w:val="none" w:sz="0" w:space="0" w:color="auto"/>
            <w:bottom w:val="none" w:sz="0" w:space="0" w:color="auto"/>
            <w:right w:val="none" w:sz="0" w:space="0" w:color="auto"/>
          </w:divBdr>
        </w:div>
      </w:divsChild>
    </w:div>
    <w:div w:id="81264837">
      <w:bodyDiv w:val="1"/>
      <w:marLeft w:val="0"/>
      <w:marRight w:val="0"/>
      <w:marTop w:val="0"/>
      <w:marBottom w:val="0"/>
      <w:divBdr>
        <w:top w:val="none" w:sz="0" w:space="0" w:color="auto"/>
        <w:left w:val="none" w:sz="0" w:space="0" w:color="auto"/>
        <w:bottom w:val="none" w:sz="0" w:space="0" w:color="auto"/>
        <w:right w:val="none" w:sz="0" w:space="0" w:color="auto"/>
      </w:divBdr>
    </w:div>
    <w:div w:id="81950372">
      <w:bodyDiv w:val="1"/>
      <w:marLeft w:val="0"/>
      <w:marRight w:val="0"/>
      <w:marTop w:val="0"/>
      <w:marBottom w:val="0"/>
      <w:divBdr>
        <w:top w:val="none" w:sz="0" w:space="0" w:color="auto"/>
        <w:left w:val="none" w:sz="0" w:space="0" w:color="auto"/>
        <w:bottom w:val="none" w:sz="0" w:space="0" w:color="auto"/>
        <w:right w:val="none" w:sz="0" w:space="0" w:color="auto"/>
      </w:divBdr>
    </w:div>
    <w:div w:id="83649669">
      <w:bodyDiv w:val="1"/>
      <w:marLeft w:val="0"/>
      <w:marRight w:val="0"/>
      <w:marTop w:val="0"/>
      <w:marBottom w:val="0"/>
      <w:divBdr>
        <w:top w:val="none" w:sz="0" w:space="0" w:color="auto"/>
        <w:left w:val="none" w:sz="0" w:space="0" w:color="auto"/>
        <w:bottom w:val="none" w:sz="0" w:space="0" w:color="auto"/>
        <w:right w:val="none" w:sz="0" w:space="0" w:color="auto"/>
      </w:divBdr>
    </w:div>
    <w:div w:id="89859907">
      <w:bodyDiv w:val="1"/>
      <w:marLeft w:val="0"/>
      <w:marRight w:val="0"/>
      <w:marTop w:val="0"/>
      <w:marBottom w:val="0"/>
      <w:divBdr>
        <w:top w:val="none" w:sz="0" w:space="0" w:color="auto"/>
        <w:left w:val="none" w:sz="0" w:space="0" w:color="auto"/>
        <w:bottom w:val="none" w:sz="0" w:space="0" w:color="auto"/>
        <w:right w:val="none" w:sz="0" w:space="0" w:color="auto"/>
      </w:divBdr>
    </w:div>
    <w:div w:id="94253003">
      <w:bodyDiv w:val="1"/>
      <w:marLeft w:val="0"/>
      <w:marRight w:val="0"/>
      <w:marTop w:val="0"/>
      <w:marBottom w:val="0"/>
      <w:divBdr>
        <w:top w:val="none" w:sz="0" w:space="0" w:color="auto"/>
        <w:left w:val="none" w:sz="0" w:space="0" w:color="auto"/>
        <w:bottom w:val="none" w:sz="0" w:space="0" w:color="auto"/>
        <w:right w:val="none" w:sz="0" w:space="0" w:color="auto"/>
      </w:divBdr>
    </w:div>
    <w:div w:id="94834578">
      <w:bodyDiv w:val="1"/>
      <w:marLeft w:val="0"/>
      <w:marRight w:val="0"/>
      <w:marTop w:val="0"/>
      <w:marBottom w:val="0"/>
      <w:divBdr>
        <w:top w:val="none" w:sz="0" w:space="0" w:color="auto"/>
        <w:left w:val="none" w:sz="0" w:space="0" w:color="auto"/>
        <w:bottom w:val="none" w:sz="0" w:space="0" w:color="auto"/>
        <w:right w:val="none" w:sz="0" w:space="0" w:color="auto"/>
      </w:divBdr>
    </w:div>
    <w:div w:id="96413871">
      <w:bodyDiv w:val="1"/>
      <w:marLeft w:val="0"/>
      <w:marRight w:val="0"/>
      <w:marTop w:val="0"/>
      <w:marBottom w:val="0"/>
      <w:divBdr>
        <w:top w:val="none" w:sz="0" w:space="0" w:color="auto"/>
        <w:left w:val="none" w:sz="0" w:space="0" w:color="auto"/>
        <w:bottom w:val="none" w:sz="0" w:space="0" w:color="auto"/>
        <w:right w:val="none" w:sz="0" w:space="0" w:color="auto"/>
      </w:divBdr>
    </w:div>
    <w:div w:id="99495298">
      <w:bodyDiv w:val="1"/>
      <w:marLeft w:val="0"/>
      <w:marRight w:val="0"/>
      <w:marTop w:val="0"/>
      <w:marBottom w:val="0"/>
      <w:divBdr>
        <w:top w:val="none" w:sz="0" w:space="0" w:color="auto"/>
        <w:left w:val="none" w:sz="0" w:space="0" w:color="auto"/>
        <w:bottom w:val="none" w:sz="0" w:space="0" w:color="auto"/>
        <w:right w:val="none" w:sz="0" w:space="0" w:color="auto"/>
      </w:divBdr>
    </w:div>
    <w:div w:id="100541477">
      <w:bodyDiv w:val="1"/>
      <w:marLeft w:val="0"/>
      <w:marRight w:val="0"/>
      <w:marTop w:val="0"/>
      <w:marBottom w:val="0"/>
      <w:divBdr>
        <w:top w:val="none" w:sz="0" w:space="0" w:color="auto"/>
        <w:left w:val="none" w:sz="0" w:space="0" w:color="auto"/>
        <w:bottom w:val="none" w:sz="0" w:space="0" w:color="auto"/>
        <w:right w:val="none" w:sz="0" w:space="0" w:color="auto"/>
      </w:divBdr>
    </w:div>
    <w:div w:id="112752072">
      <w:bodyDiv w:val="1"/>
      <w:marLeft w:val="0"/>
      <w:marRight w:val="0"/>
      <w:marTop w:val="0"/>
      <w:marBottom w:val="0"/>
      <w:divBdr>
        <w:top w:val="none" w:sz="0" w:space="0" w:color="auto"/>
        <w:left w:val="none" w:sz="0" w:space="0" w:color="auto"/>
        <w:bottom w:val="none" w:sz="0" w:space="0" w:color="auto"/>
        <w:right w:val="none" w:sz="0" w:space="0" w:color="auto"/>
      </w:divBdr>
    </w:div>
    <w:div w:id="115834438">
      <w:bodyDiv w:val="1"/>
      <w:marLeft w:val="0"/>
      <w:marRight w:val="0"/>
      <w:marTop w:val="0"/>
      <w:marBottom w:val="0"/>
      <w:divBdr>
        <w:top w:val="none" w:sz="0" w:space="0" w:color="auto"/>
        <w:left w:val="none" w:sz="0" w:space="0" w:color="auto"/>
        <w:bottom w:val="none" w:sz="0" w:space="0" w:color="auto"/>
        <w:right w:val="none" w:sz="0" w:space="0" w:color="auto"/>
      </w:divBdr>
    </w:div>
    <w:div w:id="127865065">
      <w:bodyDiv w:val="1"/>
      <w:marLeft w:val="0"/>
      <w:marRight w:val="0"/>
      <w:marTop w:val="0"/>
      <w:marBottom w:val="0"/>
      <w:divBdr>
        <w:top w:val="none" w:sz="0" w:space="0" w:color="auto"/>
        <w:left w:val="none" w:sz="0" w:space="0" w:color="auto"/>
        <w:bottom w:val="none" w:sz="0" w:space="0" w:color="auto"/>
        <w:right w:val="none" w:sz="0" w:space="0" w:color="auto"/>
      </w:divBdr>
    </w:div>
    <w:div w:id="130371305">
      <w:bodyDiv w:val="1"/>
      <w:marLeft w:val="0"/>
      <w:marRight w:val="0"/>
      <w:marTop w:val="0"/>
      <w:marBottom w:val="0"/>
      <w:divBdr>
        <w:top w:val="none" w:sz="0" w:space="0" w:color="auto"/>
        <w:left w:val="none" w:sz="0" w:space="0" w:color="auto"/>
        <w:bottom w:val="none" w:sz="0" w:space="0" w:color="auto"/>
        <w:right w:val="none" w:sz="0" w:space="0" w:color="auto"/>
      </w:divBdr>
      <w:divsChild>
        <w:div w:id="85544698">
          <w:marLeft w:val="274"/>
          <w:marRight w:val="0"/>
          <w:marTop w:val="40"/>
          <w:marBottom w:val="40"/>
          <w:divBdr>
            <w:top w:val="none" w:sz="0" w:space="0" w:color="auto"/>
            <w:left w:val="none" w:sz="0" w:space="0" w:color="auto"/>
            <w:bottom w:val="none" w:sz="0" w:space="0" w:color="auto"/>
            <w:right w:val="none" w:sz="0" w:space="0" w:color="auto"/>
          </w:divBdr>
        </w:div>
        <w:div w:id="249851940">
          <w:marLeft w:val="274"/>
          <w:marRight w:val="0"/>
          <w:marTop w:val="40"/>
          <w:marBottom w:val="40"/>
          <w:divBdr>
            <w:top w:val="none" w:sz="0" w:space="0" w:color="auto"/>
            <w:left w:val="none" w:sz="0" w:space="0" w:color="auto"/>
            <w:bottom w:val="none" w:sz="0" w:space="0" w:color="auto"/>
            <w:right w:val="none" w:sz="0" w:space="0" w:color="auto"/>
          </w:divBdr>
        </w:div>
        <w:div w:id="566381336">
          <w:marLeft w:val="274"/>
          <w:marRight w:val="0"/>
          <w:marTop w:val="40"/>
          <w:marBottom w:val="40"/>
          <w:divBdr>
            <w:top w:val="none" w:sz="0" w:space="0" w:color="auto"/>
            <w:left w:val="none" w:sz="0" w:space="0" w:color="auto"/>
            <w:bottom w:val="none" w:sz="0" w:space="0" w:color="auto"/>
            <w:right w:val="none" w:sz="0" w:space="0" w:color="auto"/>
          </w:divBdr>
        </w:div>
        <w:div w:id="920482048">
          <w:marLeft w:val="274"/>
          <w:marRight w:val="0"/>
          <w:marTop w:val="40"/>
          <w:marBottom w:val="40"/>
          <w:divBdr>
            <w:top w:val="none" w:sz="0" w:space="0" w:color="auto"/>
            <w:left w:val="none" w:sz="0" w:space="0" w:color="auto"/>
            <w:bottom w:val="none" w:sz="0" w:space="0" w:color="auto"/>
            <w:right w:val="none" w:sz="0" w:space="0" w:color="auto"/>
          </w:divBdr>
        </w:div>
        <w:div w:id="1131243640">
          <w:marLeft w:val="274"/>
          <w:marRight w:val="0"/>
          <w:marTop w:val="40"/>
          <w:marBottom w:val="40"/>
          <w:divBdr>
            <w:top w:val="none" w:sz="0" w:space="0" w:color="auto"/>
            <w:left w:val="none" w:sz="0" w:space="0" w:color="auto"/>
            <w:bottom w:val="none" w:sz="0" w:space="0" w:color="auto"/>
            <w:right w:val="none" w:sz="0" w:space="0" w:color="auto"/>
          </w:divBdr>
        </w:div>
      </w:divsChild>
    </w:div>
    <w:div w:id="132068189">
      <w:bodyDiv w:val="1"/>
      <w:marLeft w:val="0"/>
      <w:marRight w:val="0"/>
      <w:marTop w:val="0"/>
      <w:marBottom w:val="0"/>
      <w:divBdr>
        <w:top w:val="none" w:sz="0" w:space="0" w:color="auto"/>
        <w:left w:val="none" w:sz="0" w:space="0" w:color="auto"/>
        <w:bottom w:val="none" w:sz="0" w:space="0" w:color="auto"/>
        <w:right w:val="none" w:sz="0" w:space="0" w:color="auto"/>
      </w:divBdr>
    </w:div>
    <w:div w:id="135489551">
      <w:bodyDiv w:val="1"/>
      <w:marLeft w:val="0"/>
      <w:marRight w:val="0"/>
      <w:marTop w:val="0"/>
      <w:marBottom w:val="0"/>
      <w:divBdr>
        <w:top w:val="none" w:sz="0" w:space="0" w:color="auto"/>
        <w:left w:val="none" w:sz="0" w:space="0" w:color="auto"/>
        <w:bottom w:val="none" w:sz="0" w:space="0" w:color="auto"/>
        <w:right w:val="none" w:sz="0" w:space="0" w:color="auto"/>
      </w:divBdr>
      <w:divsChild>
        <w:div w:id="228924368">
          <w:marLeft w:val="288"/>
          <w:marRight w:val="0"/>
          <w:marTop w:val="0"/>
          <w:marBottom w:val="0"/>
          <w:divBdr>
            <w:top w:val="none" w:sz="0" w:space="0" w:color="auto"/>
            <w:left w:val="none" w:sz="0" w:space="0" w:color="auto"/>
            <w:bottom w:val="none" w:sz="0" w:space="0" w:color="auto"/>
            <w:right w:val="none" w:sz="0" w:space="0" w:color="auto"/>
          </w:divBdr>
        </w:div>
        <w:div w:id="801462979">
          <w:marLeft w:val="288"/>
          <w:marRight w:val="0"/>
          <w:marTop w:val="0"/>
          <w:marBottom w:val="0"/>
          <w:divBdr>
            <w:top w:val="none" w:sz="0" w:space="0" w:color="auto"/>
            <w:left w:val="none" w:sz="0" w:space="0" w:color="auto"/>
            <w:bottom w:val="none" w:sz="0" w:space="0" w:color="auto"/>
            <w:right w:val="none" w:sz="0" w:space="0" w:color="auto"/>
          </w:divBdr>
        </w:div>
        <w:div w:id="914900493">
          <w:marLeft w:val="288"/>
          <w:marRight w:val="0"/>
          <w:marTop w:val="0"/>
          <w:marBottom w:val="0"/>
          <w:divBdr>
            <w:top w:val="none" w:sz="0" w:space="0" w:color="auto"/>
            <w:left w:val="none" w:sz="0" w:space="0" w:color="auto"/>
            <w:bottom w:val="none" w:sz="0" w:space="0" w:color="auto"/>
            <w:right w:val="none" w:sz="0" w:space="0" w:color="auto"/>
          </w:divBdr>
        </w:div>
        <w:div w:id="1973948220">
          <w:marLeft w:val="288"/>
          <w:marRight w:val="0"/>
          <w:marTop w:val="0"/>
          <w:marBottom w:val="0"/>
          <w:divBdr>
            <w:top w:val="none" w:sz="0" w:space="0" w:color="auto"/>
            <w:left w:val="none" w:sz="0" w:space="0" w:color="auto"/>
            <w:bottom w:val="none" w:sz="0" w:space="0" w:color="auto"/>
            <w:right w:val="none" w:sz="0" w:space="0" w:color="auto"/>
          </w:divBdr>
        </w:div>
        <w:div w:id="2095783149">
          <w:marLeft w:val="288"/>
          <w:marRight w:val="0"/>
          <w:marTop w:val="0"/>
          <w:marBottom w:val="0"/>
          <w:divBdr>
            <w:top w:val="none" w:sz="0" w:space="0" w:color="auto"/>
            <w:left w:val="none" w:sz="0" w:space="0" w:color="auto"/>
            <w:bottom w:val="none" w:sz="0" w:space="0" w:color="auto"/>
            <w:right w:val="none" w:sz="0" w:space="0" w:color="auto"/>
          </w:divBdr>
        </w:div>
      </w:divsChild>
    </w:div>
    <w:div w:id="137963882">
      <w:bodyDiv w:val="1"/>
      <w:marLeft w:val="0"/>
      <w:marRight w:val="0"/>
      <w:marTop w:val="0"/>
      <w:marBottom w:val="0"/>
      <w:divBdr>
        <w:top w:val="none" w:sz="0" w:space="0" w:color="auto"/>
        <w:left w:val="none" w:sz="0" w:space="0" w:color="auto"/>
        <w:bottom w:val="none" w:sz="0" w:space="0" w:color="auto"/>
        <w:right w:val="none" w:sz="0" w:space="0" w:color="auto"/>
      </w:divBdr>
    </w:div>
    <w:div w:id="138769763">
      <w:bodyDiv w:val="1"/>
      <w:marLeft w:val="0"/>
      <w:marRight w:val="0"/>
      <w:marTop w:val="0"/>
      <w:marBottom w:val="0"/>
      <w:divBdr>
        <w:top w:val="none" w:sz="0" w:space="0" w:color="auto"/>
        <w:left w:val="none" w:sz="0" w:space="0" w:color="auto"/>
        <w:bottom w:val="none" w:sz="0" w:space="0" w:color="auto"/>
        <w:right w:val="none" w:sz="0" w:space="0" w:color="auto"/>
      </w:divBdr>
    </w:div>
    <w:div w:id="138808361">
      <w:bodyDiv w:val="1"/>
      <w:marLeft w:val="0"/>
      <w:marRight w:val="0"/>
      <w:marTop w:val="0"/>
      <w:marBottom w:val="0"/>
      <w:divBdr>
        <w:top w:val="none" w:sz="0" w:space="0" w:color="auto"/>
        <w:left w:val="none" w:sz="0" w:space="0" w:color="auto"/>
        <w:bottom w:val="none" w:sz="0" w:space="0" w:color="auto"/>
        <w:right w:val="none" w:sz="0" w:space="0" w:color="auto"/>
      </w:divBdr>
      <w:divsChild>
        <w:div w:id="1312753891">
          <w:marLeft w:val="274"/>
          <w:marRight w:val="0"/>
          <w:marTop w:val="120"/>
          <w:marBottom w:val="120"/>
          <w:divBdr>
            <w:top w:val="none" w:sz="0" w:space="0" w:color="auto"/>
            <w:left w:val="none" w:sz="0" w:space="0" w:color="auto"/>
            <w:bottom w:val="none" w:sz="0" w:space="0" w:color="auto"/>
            <w:right w:val="none" w:sz="0" w:space="0" w:color="auto"/>
          </w:divBdr>
        </w:div>
      </w:divsChild>
    </w:div>
    <w:div w:id="139199611">
      <w:bodyDiv w:val="1"/>
      <w:marLeft w:val="0"/>
      <w:marRight w:val="0"/>
      <w:marTop w:val="0"/>
      <w:marBottom w:val="0"/>
      <w:divBdr>
        <w:top w:val="none" w:sz="0" w:space="0" w:color="auto"/>
        <w:left w:val="none" w:sz="0" w:space="0" w:color="auto"/>
        <w:bottom w:val="none" w:sz="0" w:space="0" w:color="auto"/>
        <w:right w:val="none" w:sz="0" w:space="0" w:color="auto"/>
      </w:divBdr>
    </w:div>
    <w:div w:id="139420143">
      <w:bodyDiv w:val="1"/>
      <w:marLeft w:val="0"/>
      <w:marRight w:val="0"/>
      <w:marTop w:val="0"/>
      <w:marBottom w:val="0"/>
      <w:divBdr>
        <w:top w:val="none" w:sz="0" w:space="0" w:color="auto"/>
        <w:left w:val="none" w:sz="0" w:space="0" w:color="auto"/>
        <w:bottom w:val="none" w:sz="0" w:space="0" w:color="auto"/>
        <w:right w:val="none" w:sz="0" w:space="0" w:color="auto"/>
      </w:divBdr>
    </w:div>
    <w:div w:id="142476524">
      <w:bodyDiv w:val="1"/>
      <w:marLeft w:val="0"/>
      <w:marRight w:val="0"/>
      <w:marTop w:val="0"/>
      <w:marBottom w:val="0"/>
      <w:divBdr>
        <w:top w:val="none" w:sz="0" w:space="0" w:color="auto"/>
        <w:left w:val="none" w:sz="0" w:space="0" w:color="auto"/>
        <w:bottom w:val="none" w:sz="0" w:space="0" w:color="auto"/>
        <w:right w:val="none" w:sz="0" w:space="0" w:color="auto"/>
      </w:divBdr>
    </w:div>
    <w:div w:id="150372053">
      <w:bodyDiv w:val="1"/>
      <w:marLeft w:val="0"/>
      <w:marRight w:val="0"/>
      <w:marTop w:val="0"/>
      <w:marBottom w:val="0"/>
      <w:divBdr>
        <w:top w:val="none" w:sz="0" w:space="0" w:color="auto"/>
        <w:left w:val="none" w:sz="0" w:space="0" w:color="auto"/>
        <w:bottom w:val="none" w:sz="0" w:space="0" w:color="auto"/>
        <w:right w:val="none" w:sz="0" w:space="0" w:color="auto"/>
      </w:divBdr>
      <w:divsChild>
        <w:div w:id="1321737658">
          <w:marLeft w:val="274"/>
          <w:marRight w:val="0"/>
          <w:marTop w:val="60"/>
          <w:marBottom w:val="60"/>
          <w:divBdr>
            <w:top w:val="none" w:sz="0" w:space="0" w:color="auto"/>
            <w:left w:val="none" w:sz="0" w:space="0" w:color="auto"/>
            <w:bottom w:val="none" w:sz="0" w:space="0" w:color="auto"/>
            <w:right w:val="none" w:sz="0" w:space="0" w:color="auto"/>
          </w:divBdr>
        </w:div>
      </w:divsChild>
    </w:div>
    <w:div w:id="150567955">
      <w:bodyDiv w:val="1"/>
      <w:marLeft w:val="0"/>
      <w:marRight w:val="0"/>
      <w:marTop w:val="0"/>
      <w:marBottom w:val="0"/>
      <w:divBdr>
        <w:top w:val="none" w:sz="0" w:space="0" w:color="auto"/>
        <w:left w:val="none" w:sz="0" w:space="0" w:color="auto"/>
        <w:bottom w:val="none" w:sz="0" w:space="0" w:color="auto"/>
        <w:right w:val="none" w:sz="0" w:space="0" w:color="auto"/>
      </w:divBdr>
      <w:divsChild>
        <w:div w:id="1237397738">
          <w:marLeft w:val="274"/>
          <w:marRight w:val="0"/>
          <w:marTop w:val="40"/>
          <w:marBottom w:val="40"/>
          <w:divBdr>
            <w:top w:val="none" w:sz="0" w:space="0" w:color="auto"/>
            <w:left w:val="none" w:sz="0" w:space="0" w:color="auto"/>
            <w:bottom w:val="none" w:sz="0" w:space="0" w:color="auto"/>
            <w:right w:val="none" w:sz="0" w:space="0" w:color="auto"/>
          </w:divBdr>
        </w:div>
        <w:div w:id="1917125990">
          <w:marLeft w:val="274"/>
          <w:marRight w:val="0"/>
          <w:marTop w:val="40"/>
          <w:marBottom w:val="40"/>
          <w:divBdr>
            <w:top w:val="none" w:sz="0" w:space="0" w:color="auto"/>
            <w:left w:val="none" w:sz="0" w:space="0" w:color="auto"/>
            <w:bottom w:val="none" w:sz="0" w:space="0" w:color="auto"/>
            <w:right w:val="none" w:sz="0" w:space="0" w:color="auto"/>
          </w:divBdr>
        </w:div>
      </w:divsChild>
    </w:div>
    <w:div w:id="156461734">
      <w:bodyDiv w:val="1"/>
      <w:marLeft w:val="0"/>
      <w:marRight w:val="0"/>
      <w:marTop w:val="0"/>
      <w:marBottom w:val="0"/>
      <w:divBdr>
        <w:top w:val="none" w:sz="0" w:space="0" w:color="auto"/>
        <w:left w:val="none" w:sz="0" w:space="0" w:color="auto"/>
        <w:bottom w:val="none" w:sz="0" w:space="0" w:color="auto"/>
        <w:right w:val="none" w:sz="0" w:space="0" w:color="auto"/>
      </w:divBdr>
    </w:div>
    <w:div w:id="158543676">
      <w:bodyDiv w:val="1"/>
      <w:marLeft w:val="0"/>
      <w:marRight w:val="0"/>
      <w:marTop w:val="0"/>
      <w:marBottom w:val="0"/>
      <w:divBdr>
        <w:top w:val="none" w:sz="0" w:space="0" w:color="auto"/>
        <w:left w:val="none" w:sz="0" w:space="0" w:color="auto"/>
        <w:bottom w:val="none" w:sz="0" w:space="0" w:color="auto"/>
        <w:right w:val="none" w:sz="0" w:space="0" w:color="auto"/>
      </w:divBdr>
    </w:div>
    <w:div w:id="168450328">
      <w:bodyDiv w:val="1"/>
      <w:marLeft w:val="0"/>
      <w:marRight w:val="0"/>
      <w:marTop w:val="0"/>
      <w:marBottom w:val="0"/>
      <w:divBdr>
        <w:top w:val="none" w:sz="0" w:space="0" w:color="auto"/>
        <w:left w:val="none" w:sz="0" w:space="0" w:color="auto"/>
        <w:bottom w:val="none" w:sz="0" w:space="0" w:color="auto"/>
        <w:right w:val="none" w:sz="0" w:space="0" w:color="auto"/>
      </w:divBdr>
    </w:div>
    <w:div w:id="169685254">
      <w:bodyDiv w:val="1"/>
      <w:marLeft w:val="0"/>
      <w:marRight w:val="0"/>
      <w:marTop w:val="0"/>
      <w:marBottom w:val="0"/>
      <w:divBdr>
        <w:top w:val="none" w:sz="0" w:space="0" w:color="auto"/>
        <w:left w:val="none" w:sz="0" w:space="0" w:color="auto"/>
        <w:bottom w:val="none" w:sz="0" w:space="0" w:color="auto"/>
        <w:right w:val="none" w:sz="0" w:space="0" w:color="auto"/>
      </w:divBdr>
    </w:div>
    <w:div w:id="175466764">
      <w:bodyDiv w:val="1"/>
      <w:marLeft w:val="0"/>
      <w:marRight w:val="0"/>
      <w:marTop w:val="0"/>
      <w:marBottom w:val="0"/>
      <w:divBdr>
        <w:top w:val="none" w:sz="0" w:space="0" w:color="auto"/>
        <w:left w:val="none" w:sz="0" w:space="0" w:color="auto"/>
        <w:bottom w:val="none" w:sz="0" w:space="0" w:color="auto"/>
        <w:right w:val="none" w:sz="0" w:space="0" w:color="auto"/>
      </w:divBdr>
    </w:div>
    <w:div w:id="179517125">
      <w:bodyDiv w:val="1"/>
      <w:marLeft w:val="0"/>
      <w:marRight w:val="0"/>
      <w:marTop w:val="0"/>
      <w:marBottom w:val="0"/>
      <w:divBdr>
        <w:top w:val="none" w:sz="0" w:space="0" w:color="auto"/>
        <w:left w:val="none" w:sz="0" w:space="0" w:color="auto"/>
        <w:bottom w:val="none" w:sz="0" w:space="0" w:color="auto"/>
        <w:right w:val="none" w:sz="0" w:space="0" w:color="auto"/>
      </w:divBdr>
    </w:div>
    <w:div w:id="183402046">
      <w:bodyDiv w:val="1"/>
      <w:marLeft w:val="0"/>
      <w:marRight w:val="0"/>
      <w:marTop w:val="0"/>
      <w:marBottom w:val="0"/>
      <w:divBdr>
        <w:top w:val="none" w:sz="0" w:space="0" w:color="auto"/>
        <w:left w:val="none" w:sz="0" w:space="0" w:color="auto"/>
        <w:bottom w:val="none" w:sz="0" w:space="0" w:color="auto"/>
        <w:right w:val="none" w:sz="0" w:space="0" w:color="auto"/>
      </w:divBdr>
    </w:div>
    <w:div w:id="185368377">
      <w:bodyDiv w:val="1"/>
      <w:marLeft w:val="0"/>
      <w:marRight w:val="0"/>
      <w:marTop w:val="0"/>
      <w:marBottom w:val="0"/>
      <w:divBdr>
        <w:top w:val="none" w:sz="0" w:space="0" w:color="auto"/>
        <w:left w:val="none" w:sz="0" w:space="0" w:color="auto"/>
        <w:bottom w:val="none" w:sz="0" w:space="0" w:color="auto"/>
        <w:right w:val="none" w:sz="0" w:space="0" w:color="auto"/>
      </w:divBdr>
    </w:div>
    <w:div w:id="188952287">
      <w:bodyDiv w:val="1"/>
      <w:marLeft w:val="0"/>
      <w:marRight w:val="0"/>
      <w:marTop w:val="0"/>
      <w:marBottom w:val="0"/>
      <w:divBdr>
        <w:top w:val="none" w:sz="0" w:space="0" w:color="auto"/>
        <w:left w:val="none" w:sz="0" w:space="0" w:color="auto"/>
        <w:bottom w:val="none" w:sz="0" w:space="0" w:color="auto"/>
        <w:right w:val="none" w:sz="0" w:space="0" w:color="auto"/>
      </w:divBdr>
    </w:div>
    <w:div w:id="193269065">
      <w:bodyDiv w:val="1"/>
      <w:marLeft w:val="0"/>
      <w:marRight w:val="0"/>
      <w:marTop w:val="0"/>
      <w:marBottom w:val="0"/>
      <w:divBdr>
        <w:top w:val="none" w:sz="0" w:space="0" w:color="auto"/>
        <w:left w:val="none" w:sz="0" w:space="0" w:color="auto"/>
        <w:bottom w:val="none" w:sz="0" w:space="0" w:color="auto"/>
        <w:right w:val="none" w:sz="0" w:space="0" w:color="auto"/>
      </w:divBdr>
    </w:div>
    <w:div w:id="195892889">
      <w:bodyDiv w:val="1"/>
      <w:marLeft w:val="0"/>
      <w:marRight w:val="0"/>
      <w:marTop w:val="0"/>
      <w:marBottom w:val="0"/>
      <w:divBdr>
        <w:top w:val="none" w:sz="0" w:space="0" w:color="auto"/>
        <w:left w:val="none" w:sz="0" w:space="0" w:color="auto"/>
        <w:bottom w:val="none" w:sz="0" w:space="0" w:color="auto"/>
        <w:right w:val="none" w:sz="0" w:space="0" w:color="auto"/>
      </w:divBdr>
    </w:div>
    <w:div w:id="212162922">
      <w:bodyDiv w:val="1"/>
      <w:marLeft w:val="0"/>
      <w:marRight w:val="0"/>
      <w:marTop w:val="0"/>
      <w:marBottom w:val="0"/>
      <w:divBdr>
        <w:top w:val="none" w:sz="0" w:space="0" w:color="auto"/>
        <w:left w:val="none" w:sz="0" w:space="0" w:color="auto"/>
        <w:bottom w:val="none" w:sz="0" w:space="0" w:color="auto"/>
        <w:right w:val="none" w:sz="0" w:space="0" w:color="auto"/>
      </w:divBdr>
    </w:div>
    <w:div w:id="214437196">
      <w:bodyDiv w:val="1"/>
      <w:marLeft w:val="0"/>
      <w:marRight w:val="0"/>
      <w:marTop w:val="0"/>
      <w:marBottom w:val="0"/>
      <w:divBdr>
        <w:top w:val="none" w:sz="0" w:space="0" w:color="auto"/>
        <w:left w:val="none" w:sz="0" w:space="0" w:color="auto"/>
        <w:bottom w:val="none" w:sz="0" w:space="0" w:color="auto"/>
        <w:right w:val="none" w:sz="0" w:space="0" w:color="auto"/>
      </w:divBdr>
    </w:div>
    <w:div w:id="219556391">
      <w:bodyDiv w:val="1"/>
      <w:marLeft w:val="0"/>
      <w:marRight w:val="0"/>
      <w:marTop w:val="0"/>
      <w:marBottom w:val="0"/>
      <w:divBdr>
        <w:top w:val="none" w:sz="0" w:space="0" w:color="auto"/>
        <w:left w:val="none" w:sz="0" w:space="0" w:color="auto"/>
        <w:bottom w:val="none" w:sz="0" w:space="0" w:color="auto"/>
        <w:right w:val="none" w:sz="0" w:space="0" w:color="auto"/>
      </w:divBdr>
    </w:div>
    <w:div w:id="229315360">
      <w:bodyDiv w:val="1"/>
      <w:marLeft w:val="0"/>
      <w:marRight w:val="0"/>
      <w:marTop w:val="0"/>
      <w:marBottom w:val="0"/>
      <w:divBdr>
        <w:top w:val="none" w:sz="0" w:space="0" w:color="auto"/>
        <w:left w:val="none" w:sz="0" w:space="0" w:color="auto"/>
        <w:bottom w:val="none" w:sz="0" w:space="0" w:color="auto"/>
        <w:right w:val="none" w:sz="0" w:space="0" w:color="auto"/>
      </w:divBdr>
    </w:div>
    <w:div w:id="246307046">
      <w:bodyDiv w:val="1"/>
      <w:marLeft w:val="0"/>
      <w:marRight w:val="0"/>
      <w:marTop w:val="0"/>
      <w:marBottom w:val="0"/>
      <w:divBdr>
        <w:top w:val="none" w:sz="0" w:space="0" w:color="auto"/>
        <w:left w:val="none" w:sz="0" w:space="0" w:color="auto"/>
        <w:bottom w:val="none" w:sz="0" w:space="0" w:color="auto"/>
        <w:right w:val="none" w:sz="0" w:space="0" w:color="auto"/>
      </w:divBdr>
    </w:div>
    <w:div w:id="246576023">
      <w:bodyDiv w:val="1"/>
      <w:marLeft w:val="0"/>
      <w:marRight w:val="0"/>
      <w:marTop w:val="0"/>
      <w:marBottom w:val="0"/>
      <w:divBdr>
        <w:top w:val="none" w:sz="0" w:space="0" w:color="auto"/>
        <w:left w:val="none" w:sz="0" w:space="0" w:color="auto"/>
        <w:bottom w:val="none" w:sz="0" w:space="0" w:color="auto"/>
        <w:right w:val="none" w:sz="0" w:space="0" w:color="auto"/>
      </w:divBdr>
    </w:div>
    <w:div w:id="250048150">
      <w:bodyDiv w:val="1"/>
      <w:marLeft w:val="0"/>
      <w:marRight w:val="0"/>
      <w:marTop w:val="0"/>
      <w:marBottom w:val="0"/>
      <w:divBdr>
        <w:top w:val="none" w:sz="0" w:space="0" w:color="auto"/>
        <w:left w:val="none" w:sz="0" w:space="0" w:color="auto"/>
        <w:bottom w:val="none" w:sz="0" w:space="0" w:color="auto"/>
        <w:right w:val="none" w:sz="0" w:space="0" w:color="auto"/>
      </w:divBdr>
    </w:div>
    <w:div w:id="250243165">
      <w:bodyDiv w:val="1"/>
      <w:marLeft w:val="0"/>
      <w:marRight w:val="0"/>
      <w:marTop w:val="0"/>
      <w:marBottom w:val="0"/>
      <w:divBdr>
        <w:top w:val="none" w:sz="0" w:space="0" w:color="auto"/>
        <w:left w:val="none" w:sz="0" w:space="0" w:color="auto"/>
        <w:bottom w:val="none" w:sz="0" w:space="0" w:color="auto"/>
        <w:right w:val="none" w:sz="0" w:space="0" w:color="auto"/>
      </w:divBdr>
    </w:div>
    <w:div w:id="252325769">
      <w:bodyDiv w:val="1"/>
      <w:marLeft w:val="0"/>
      <w:marRight w:val="0"/>
      <w:marTop w:val="0"/>
      <w:marBottom w:val="0"/>
      <w:divBdr>
        <w:top w:val="none" w:sz="0" w:space="0" w:color="auto"/>
        <w:left w:val="none" w:sz="0" w:space="0" w:color="auto"/>
        <w:bottom w:val="none" w:sz="0" w:space="0" w:color="auto"/>
        <w:right w:val="none" w:sz="0" w:space="0" w:color="auto"/>
      </w:divBdr>
      <w:divsChild>
        <w:div w:id="390737180">
          <w:marLeft w:val="274"/>
          <w:marRight w:val="0"/>
          <w:marTop w:val="40"/>
          <w:marBottom w:val="40"/>
          <w:divBdr>
            <w:top w:val="none" w:sz="0" w:space="0" w:color="auto"/>
            <w:left w:val="none" w:sz="0" w:space="0" w:color="auto"/>
            <w:bottom w:val="none" w:sz="0" w:space="0" w:color="auto"/>
            <w:right w:val="none" w:sz="0" w:space="0" w:color="auto"/>
          </w:divBdr>
        </w:div>
      </w:divsChild>
    </w:div>
    <w:div w:id="261190360">
      <w:bodyDiv w:val="1"/>
      <w:marLeft w:val="0"/>
      <w:marRight w:val="0"/>
      <w:marTop w:val="0"/>
      <w:marBottom w:val="0"/>
      <w:divBdr>
        <w:top w:val="none" w:sz="0" w:space="0" w:color="auto"/>
        <w:left w:val="none" w:sz="0" w:space="0" w:color="auto"/>
        <w:bottom w:val="none" w:sz="0" w:space="0" w:color="auto"/>
        <w:right w:val="none" w:sz="0" w:space="0" w:color="auto"/>
      </w:divBdr>
    </w:div>
    <w:div w:id="267200914">
      <w:bodyDiv w:val="1"/>
      <w:marLeft w:val="0"/>
      <w:marRight w:val="0"/>
      <w:marTop w:val="0"/>
      <w:marBottom w:val="0"/>
      <w:divBdr>
        <w:top w:val="none" w:sz="0" w:space="0" w:color="auto"/>
        <w:left w:val="none" w:sz="0" w:space="0" w:color="auto"/>
        <w:bottom w:val="none" w:sz="0" w:space="0" w:color="auto"/>
        <w:right w:val="none" w:sz="0" w:space="0" w:color="auto"/>
      </w:divBdr>
    </w:div>
    <w:div w:id="268702879">
      <w:bodyDiv w:val="1"/>
      <w:marLeft w:val="0"/>
      <w:marRight w:val="0"/>
      <w:marTop w:val="0"/>
      <w:marBottom w:val="0"/>
      <w:divBdr>
        <w:top w:val="none" w:sz="0" w:space="0" w:color="auto"/>
        <w:left w:val="none" w:sz="0" w:space="0" w:color="auto"/>
        <w:bottom w:val="none" w:sz="0" w:space="0" w:color="auto"/>
        <w:right w:val="none" w:sz="0" w:space="0" w:color="auto"/>
      </w:divBdr>
    </w:div>
    <w:div w:id="275715569">
      <w:bodyDiv w:val="1"/>
      <w:marLeft w:val="0"/>
      <w:marRight w:val="0"/>
      <w:marTop w:val="0"/>
      <w:marBottom w:val="0"/>
      <w:divBdr>
        <w:top w:val="none" w:sz="0" w:space="0" w:color="auto"/>
        <w:left w:val="none" w:sz="0" w:space="0" w:color="auto"/>
        <w:bottom w:val="none" w:sz="0" w:space="0" w:color="auto"/>
        <w:right w:val="none" w:sz="0" w:space="0" w:color="auto"/>
      </w:divBdr>
      <w:divsChild>
        <w:div w:id="1056049847">
          <w:marLeft w:val="274"/>
          <w:marRight w:val="0"/>
          <w:marTop w:val="40"/>
          <w:marBottom w:val="40"/>
          <w:divBdr>
            <w:top w:val="none" w:sz="0" w:space="0" w:color="auto"/>
            <w:left w:val="none" w:sz="0" w:space="0" w:color="auto"/>
            <w:bottom w:val="none" w:sz="0" w:space="0" w:color="auto"/>
            <w:right w:val="none" w:sz="0" w:space="0" w:color="auto"/>
          </w:divBdr>
        </w:div>
      </w:divsChild>
    </w:div>
    <w:div w:id="278613453">
      <w:bodyDiv w:val="1"/>
      <w:marLeft w:val="0"/>
      <w:marRight w:val="0"/>
      <w:marTop w:val="0"/>
      <w:marBottom w:val="0"/>
      <w:divBdr>
        <w:top w:val="none" w:sz="0" w:space="0" w:color="auto"/>
        <w:left w:val="none" w:sz="0" w:space="0" w:color="auto"/>
        <w:bottom w:val="none" w:sz="0" w:space="0" w:color="auto"/>
        <w:right w:val="none" w:sz="0" w:space="0" w:color="auto"/>
      </w:divBdr>
    </w:div>
    <w:div w:id="279260489">
      <w:bodyDiv w:val="1"/>
      <w:marLeft w:val="0"/>
      <w:marRight w:val="0"/>
      <w:marTop w:val="0"/>
      <w:marBottom w:val="0"/>
      <w:divBdr>
        <w:top w:val="none" w:sz="0" w:space="0" w:color="auto"/>
        <w:left w:val="none" w:sz="0" w:space="0" w:color="auto"/>
        <w:bottom w:val="none" w:sz="0" w:space="0" w:color="auto"/>
        <w:right w:val="none" w:sz="0" w:space="0" w:color="auto"/>
      </w:divBdr>
    </w:div>
    <w:div w:id="285938230">
      <w:bodyDiv w:val="1"/>
      <w:marLeft w:val="0"/>
      <w:marRight w:val="0"/>
      <w:marTop w:val="0"/>
      <w:marBottom w:val="0"/>
      <w:divBdr>
        <w:top w:val="none" w:sz="0" w:space="0" w:color="auto"/>
        <w:left w:val="none" w:sz="0" w:space="0" w:color="auto"/>
        <w:bottom w:val="none" w:sz="0" w:space="0" w:color="auto"/>
        <w:right w:val="none" w:sz="0" w:space="0" w:color="auto"/>
      </w:divBdr>
    </w:div>
    <w:div w:id="292099394">
      <w:bodyDiv w:val="1"/>
      <w:marLeft w:val="0"/>
      <w:marRight w:val="0"/>
      <w:marTop w:val="0"/>
      <w:marBottom w:val="0"/>
      <w:divBdr>
        <w:top w:val="none" w:sz="0" w:space="0" w:color="auto"/>
        <w:left w:val="none" w:sz="0" w:space="0" w:color="auto"/>
        <w:bottom w:val="none" w:sz="0" w:space="0" w:color="auto"/>
        <w:right w:val="none" w:sz="0" w:space="0" w:color="auto"/>
      </w:divBdr>
    </w:div>
    <w:div w:id="292954347">
      <w:bodyDiv w:val="1"/>
      <w:marLeft w:val="0"/>
      <w:marRight w:val="0"/>
      <w:marTop w:val="0"/>
      <w:marBottom w:val="0"/>
      <w:divBdr>
        <w:top w:val="none" w:sz="0" w:space="0" w:color="auto"/>
        <w:left w:val="none" w:sz="0" w:space="0" w:color="auto"/>
        <w:bottom w:val="none" w:sz="0" w:space="0" w:color="auto"/>
        <w:right w:val="none" w:sz="0" w:space="0" w:color="auto"/>
      </w:divBdr>
    </w:div>
    <w:div w:id="295723603">
      <w:bodyDiv w:val="1"/>
      <w:marLeft w:val="0"/>
      <w:marRight w:val="0"/>
      <w:marTop w:val="0"/>
      <w:marBottom w:val="0"/>
      <w:divBdr>
        <w:top w:val="none" w:sz="0" w:space="0" w:color="auto"/>
        <w:left w:val="none" w:sz="0" w:space="0" w:color="auto"/>
        <w:bottom w:val="none" w:sz="0" w:space="0" w:color="auto"/>
        <w:right w:val="none" w:sz="0" w:space="0" w:color="auto"/>
      </w:divBdr>
    </w:div>
    <w:div w:id="299845912">
      <w:bodyDiv w:val="1"/>
      <w:marLeft w:val="0"/>
      <w:marRight w:val="0"/>
      <w:marTop w:val="0"/>
      <w:marBottom w:val="0"/>
      <w:divBdr>
        <w:top w:val="none" w:sz="0" w:space="0" w:color="auto"/>
        <w:left w:val="none" w:sz="0" w:space="0" w:color="auto"/>
        <w:bottom w:val="none" w:sz="0" w:space="0" w:color="auto"/>
        <w:right w:val="none" w:sz="0" w:space="0" w:color="auto"/>
      </w:divBdr>
    </w:div>
    <w:div w:id="305085863">
      <w:bodyDiv w:val="1"/>
      <w:marLeft w:val="0"/>
      <w:marRight w:val="0"/>
      <w:marTop w:val="0"/>
      <w:marBottom w:val="0"/>
      <w:divBdr>
        <w:top w:val="none" w:sz="0" w:space="0" w:color="auto"/>
        <w:left w:val="none" w:sz="0" w:space="0" w:color="auto"/>
        <w:bottom w:val="none" w:sz="0" w:space="0" w:color="auto"/>
        <w:right w:val="none" w:sz="0" w:space="0" w:color="auto"/>
      </w:divBdr>
      <w:divsChild>
        <w:div w:id="394282223">
          <w:marLeft w:val="274"/>
          <w:marRight w:val="0"/>
          <w:marTop w:val="40"/>
          <w:marBottom w:val="40"/>
          <w:divBdr>
            <w:top w:val="none" w:sz="0" w:space="0" w:color="auto"/>
            <w:left w:val="none" w:sz="0" w:space="0" w:color="auto"/>
            <w:bottom w:val="none" w:sz="0" w:space="0" w:color="auto"/>
            <w:right w:val="none" w:sz="0" w:space="0" w:color="auto"/>
          </w:divBdr>
        </w:div>
      </w:divsChild>
    </w:div>
    <w:div w:id="316806946">
      <w:bodyDiv w:val="1"/>
      <w:marLeft w:val="0"/>
      <w:marRight w:val="0"/>
      <w:marTop w:val="0"/>
      <w:marBottom w:val="0"/>
      <w:divBdr>
        <w:top w:val="none" w:sz="0" w:space="0" w:color="auto"/>
        <w:left w:val="none" w:sz="0" w:space="0" w:color="auto"/>
        <w:bottom w:val="none" w:sz="0" w:space="0" w:color="auto"/>
        <w:right w:val="none" w:sz="0" w:space="0" w:color="auto"/>
      </w:divBdr>
    </w:div>
    <w:div w:id="318003986">
      <w:bodyDiv w:val="1"/>
      <w:marLeft w:val="0"/>
      <w:marRight w:val="0"/>
      <w:marTop w:val="0"/>
      <w:marBottom w:val="0"/>
      <w:divBdr>
        <w:top w:val="none" w:sz="0" w:space="0" w:color="auto"/>
        <w:left w:val="none" w:sz="0" w:space="0" w:color="auto"/>
        <w:bottom w:val="none" w:sz="0" w:space="0" w:color="auto"/>
        <w:right w:val="none" w:sz="0" w:space="0" w:color="auto"/>
      </w:divBdr>
      <w:divsChild>
        <w:div w:id="77990114">
          <w:marLeft w:val="274"/>
          <w:marRight w:val="0"/>
          <w:marTop w:val="40"/>
          <w:marBottom w:val="40"/>
          <w:divBdr>
            <w:top w:val="none" w:sz="0" w:space="0" w:color="auto"/>
            <w:left w:val="none" w:sz="0" w:space="0" w:color="auto"/>
            <w:bottom w:val="none" w:sz="0" w:space="0" w:color="auto"/>
            <w:right w:val="none" w:sz="0" w:space="0" w:color="auto"/>
          </w:divBdr>
        </w:div>
        <w:div w:id="1012416323">
          <w:marLeft w:val="274"/>
          <w:marRight w:val="0"/>
          <w:marTop w:val="40"/>
          <w:marBottom w:val="40"/>
          <w:divBdr>
            <w:top w:val="none" w:sz="0" w:space="0" w:color="auto"/>
            <w:left w:val="none" w:sz="0" w:space="0" w:color="auto"/>
            <w:bottom w:val="none" w:sz="0" w:space="0" w:color="auto"/>
            <w:right w:val="none" w:sz="0" w:space="0" w:color="auto"/>
          </w:divBdr>
        </w:div>
        <w:div w:id="1058548656">
          <w:marLeft w:val="274"/>
          <w:marRight w:val="0"/>
          <w:marTop w:val="40"/>
          <w:marBottom w:val="40"/>
          <w:divBdr>
            <w:top w:val="none" w:sz="0" w:space="0" w:color="auto"/>
            <w:left w:val="none" w:sz="0" w:space="0" w:color="auto"/>
            <w:bottom w:val="none" w:sz="0" w:space="0" w:color="auto"/>
            <w:right w:val="none" w:sz="0" w:space="0" w:color="auto"/>
          </w:divBdr>
        </w:div>
        <w:div w:id="1812862340">
          <w:marLeft w:val="274"/>
          <w:marRight w:val="0"/>
          <w:marTop w:val="40"/>
          <w:marBottom w:val="40"/>
          <w:divBdr>
            <w:top w:val="none" w:sz="0" w:space="0" w:color="auto"/>
            <w:left w:val="none" w:sz="0" w:space="0" w:color="auto"/>
            <w:bottom w:val="none" w:sz="0" w:space="0" w:color="auto"/>
            <w:right w:val="none" w:sz="0" w:space="0" w:color="auto"/>
          </w:divBdr>
        </w:div>
      </w:divsChild>
    </w:div>
    <w:div w:id="322969734">
      <w:bodyDiv w:val="1"/>
      <w:marLeft w:val="0"/>
      <w:marRight w:val="0"/>
      <w:marTop w:val="0"/>
      <w:marBottom w:val="0"/>
      <w:divBdr>
        <w:top w:val="none" w:sz="0" w:space="0" w:color="auto"/>
        <w:left w:val="none" w:sz="0" w:space="0" w:color="auto"/>
        <w:bottom w:val="none" w:sz="0" w:space="0" w:color="auto"/>
        <w:right w:val="none" w:sz="0" w:space="0" w:color="auto"/>
      </w:divBdr>
    </w:div>
    <w:div w:id="328795282">
      <w:bodyDiv w:val="1"/>
      <w:marLeft w:val="0"/>
      <w:marRight w:val="0"/>
      <w:marTop w:val="0"/>
      <w:marBottom w:val="0"/>
      <w:divBdr>
        <w:top w:val="none" w:sz="0" w:space="0" w:color="auto"/>
        <w:left w:val="none" w:sz="0" w:space="0" w:color="auto"/>
        <w:bottom w:val="none" w:sz="0" w:space="0" w:color="auto"/>
        <w:right w:val="none" w:sz="0" w:space="0" w:color="auto"/>
      </w:divBdr>
    </w:div>
    <w:div w:id="333068225">
      <w:bodyDiv w:val="1"/>
      <w:marLeft w:val="0"/>
      <w:marRight w:val="0"/>
      <w:marTop w:val="0"/>
      <w:marBottom w:val="0"/>
      <w:divBdr>
        <w:top w:val="none" w:sz="0" w:space="0" w:color="auto"/>
        <w:left w:val="none" w:sz="0" w:space="0" w:color="auto"/>
        <w:bottom w:val="none" w:sz="0" w:space="0" w:color="auto"/>
        <w:right w:val="none" w:sz="0" w:space="0" w:color="auto"/>
      </w:divBdr>
    </w:div>
    <w:div w:id="337076998">
      <w:bodyDiv w:val="1"/>
      <w:marLeft w:val="0"/>
      <w:marRight w:val="0"/>
      <w:marTop w:val="0"/>
      <w:marBottom w:val="0"/>
      <w:divBdr>
        <w:top w:val="none" w:sz="0" w:space="0" w:color="auto"/>
        <w:left w:val="none" w:sz="0" w:space="0" w:color="auto"/>
        <w:bottom w:val="none" w:sz="0" w:space="0" w:color="auto"/>
        <w:right w:val="none" w:sz="0" w:space="0" w:color="auto"/>
      </w:divBdr>
    </w:div>
    <w:div w:id="340621930">
      <w:bodyDiv w:val="1"/>
      <w:marLeft w:val="0"/>
      <w:marRight w:val="0"/>
      <w:marTop w:val="0"/>
      <w:marBottom w:val="0"/>
      <w:divBdr>
        <w:top w:val="none" w:sz="0" w:space="0" w:color="auto"/>
        <w:left w:val="none" w:sz="0" w:space="0" w:color="auto"/>
        <w:bottom w:val="none" w:sz="0" w:space="0" w:color="auto"/>
        <w:right w:val="none" w:sz="0" w:space="0" w:color="auto"/>
      </w:divBdr>
    </w:div>
    <w:div w:id="352145587">
      <w:bodyDiv w:val="1"/>
      <w:marLeft w:val="0"/>
      <w:marRight w:val="0"/>
      <w:marTop w:val="0"/>
      <w:marBottom w:val="0"/>
      <w:divBdr>
        <w:top w:val="none" w:sz="0" w:space="0" w:color="auto"/>
        <w:left w:val="none" w:sz="0" w:space="0" w:color="auto"/>
        <w:bottom w:val="none" w:sz="0" w:space="0" w:color="auto"/>
        <w:right w:val="none" w:sz="0" w:space="0" w:color="auto"/>
      </w:divBdr>
    </w:div>
    <w:div w:id="353112767">
      <w:bodyDiv w:val="1"/>
      <w:marLeft w:val="0"/>
      <w:marRight w:val="0"/>
      <w:marTop w:val="0"/>
      <w:marBottom w:val="0"/>
      <w:divBdr>
        <w:top w:val="none" w:sz="0" w:space="0" w:color="auto"/>
        <w:left w:val="none" w:sz="0" w:space="0" w:color="auto"/>
        <w:bottom w:val="none" w:sz="0" w:space="0" w:color="auto"/>
        <w:right w:val="none" w:sz="0" w:space="0" w:color="auto"/>
      </w:divBdr>
    </w:div>
    <w:div w:id="357388127">
      <w:bodyDiv w:val="1"/>
      <w:marLeft w:val="0"/>
      <w:marRight w:val="0"/>
      <w:marTop w:val="0"/>
      <w:marBottom w:val="0"/>
      <w:divBdr>
        <w:top w:val="none" w:sz="0" w:space="0" w:color="auto"/>
        <w:left w:val="none" w:sz="0" w:space="0" w:color="auto"/>
        <w:bottom w:val="none" w:sz="0" w:space="0" w:color="auto"/>
        <w:right w:val="none" w:sz="0" w:space="0" w:color="auto"/>
      </w:divBdr>
    </w:div>
    <w:div w:id="361252571">
      <w:bodyDiv w:val="1"/>
      <w:marLeft w:val="0"/>
      <w:marRight w:val="0"/>
      <w:marTop w:val="0"/>
      <w:marBottom w:val="0"/>
      <w:divBdr>
        <w:top w:val="none" w:sz="0" w:space="0" w:color="auto"/>
        <w:left w:val="none" w:sz="0" w:space="0" w:color="auto"/>
        <w:bottom w:val="none" w:sz="0" w:space="0" w:color="auto"/>
        <w:right w:val="none" w:sz="0" w:space="0" w:color="auto"/>
      </w:divBdr>
    </w:div>
    <w:div w:id="385177818">
      <w:bodyDiv w:val="1"/>
      <w:marLeft w:val="0"/>
      <w:marRight w:val="0"/>
      <w:marTop w:val="0"/>
      <w:marBottom w:val="0"/>
      <w:divBdr>
        <w:top w:val="none" w:sz="0" w:space="0" w:color="auto"/>
        <w:left w:val="none" w:sz="0" w:space="0" w:color="auto"/>
        <w:bottom w:val="none" w:sz="0" w:space="0" w:color="auto"/>
        <w:right w:val="none" w:sz="0" w:space="0" w:color="auto"/>
      </w:divBdr>
    </w:div>
    <w:div w:id="393167423">
      <w:bodyDiv w:val="1"/>
      <w:marLeft w:val="0"/>
      <w:marRight w:val="0"/>
      <w:marTop w:val="0"/>
      <w:marBottom w:val="0"/>
      <w:divBdr>
        <w:top w:val="none" w:sz="0" w:space="0" w:color="auto"/>
        <w:left w:val="none" w:sz="0" w:space="0" w:color="auto"/>
        <w:bottom w:val="none" w:sz="0" w:space="0" w:color="auto"/>
        <w:right w:val="none" w:sz="0" w:space="0" w:color="auto"/>
      </w:divBdr>
      <w:divsChild>
        <w:div w:id="74132330">
          <w:marLeft w:val="274"/>
          <w:marRight w:val="0"/>
          <w:marTop w:val="40"/>
          <w:marBottom w:val="40"/>
          <w:divBdr>
            <w:top w:val="none" w:sz="0" w:space="0" w:color="auto"/>
            <w:left w:val="none" w:sz="0" w:space="0" w:color="auto"/>
            <w:bottom w:val="none" w:sz="0" w:space="0" w:color="auto"/>
            <w:right w:val="none" w:sz="0" w:space="0" w:color="auto"/>
          </w:divBdr>
        </w:div>
      </w:divsChild>
    </w:div>
    <w:div w:id="395595359">
      <w:bodyDiv w:val="1"/>
      <w:marLeft w:val="0"/>
      <w:marRight w:val="0"/>
      <w:marTop w:val="0"/>
      <w:marBottom w:val="0"/>
      <w:divBdr>
        <w:top w:val="none" w:sz="0" w:space="0" w:color="auto"/>
        <w:left w:val="none" w:sz="0" w:space="0" w:color="auto"/>
        <w:bottom w:val="none" w:sz="0" w:space="0" w:color="auto"/>
        <w:right w:val="none" w:sz="0" w:space="0" w:color="auto"/>
      </w:divBdr>
    </w:div>
    <w:div w:id="396902855">
      <w:bodyDiv w:val="1"/>
      <w:marLeft w:val="0"/>
      <w:marRight w:val="0"/>
      <w:marTop w:val="0"/>
      <w:marBottom w:val="0"/>
      <w:divBdr>
        <w:top w:val="none" w:sz="0" w:space="0" w:color="auto"/>
        <w:left w:val="none" w:sz="0" w:space="0" w:color="auto"/>
        <w:bottom w:val="none" w:sz="0" w:space="0" w:color="auto"/>
        <w:right w:val="none" w:sz="0" w:space="0" w:color="auto"/>
      </w:divBdr>
      <w:divsChild>
        <w:div w:id="1790859541">
          <w:marLeft w:val="274"/>
          <w:marRight w:val="0"/>
          <w:marTop w:val="120"/>
          <w:marBottom w:val="120"/>
          <w:divBdr>
            <w:top w:val="none" w:sz="0" w:space="0" w:color="auto"/>
            <w:left w:val="none" w:sz="0" w:space="0" w:color="auto"/>
            <w:bottom w:val="none" w:sz="0" w:space="0" w:color="auto"/>
            <w:right w:val="none" w:sz="0" w:space="0" w:color="auto"/>
          </w:divBdr>
        </w:div>
      </w:divsChild>
    </w:div>
    <w:div w:id="403726219">
      <w:bodyDiv w:val="1"/>
      <w:marLeft w:val="0"/>
      <w:marRight w:val="0"/>
      <w:marTop w:val="0"/>
      <w:marBottom w:val="0"/>
      <w:divBdr>
        <w:top w:val="none" w:sz="0" w:space="0" w:color="auto"/>
        <w:left w:val="none" w:sz="0" w:space="0" w:color="auto"/>
        <w:bottom w:val="none" w:sz="0" w:space="0" w:color="auto"/>
        <w:right w:val="none" w:sz="0" w:space="0" w:color="auto"/>
      </w:divBdr>
      <w:divsChild>
        <w:div w:id="739404995">
          <w:marLeft w:val="274"/>
          <w:marRight w:val="0"/>
          <w:marTop w:val="40"/>
          <w:marBottom w:val="40"/>
          <w:divBdr>
            <w:top w:val="none" w:sz="0" w:space="0" w:color="auto"/>
            <w:left w:val="none" w:sz="0" w:space="0" w:color="auto"/>
            <w:bottom w:val="none" w:sz="0" w:space="0" w:color="auto"/>
            <w:right w:val="none" w:sz="0" w:space="0" w:color="auto"/>
          </w:divBdr>
        </w:div>
      </w:divsChild>
    </w:div>
    <w:div w:id="406343928">
      <w:bodyDiv w:val="1"/>
      <w:marLeft w:val="0"/>
      <w:marRight w:val="0"/>
      <w:marTop w:val="0"/>
      <w:marBottom w:val="0"/>
      <w:divBdr>
        <w:top w:val="none" w:sz="0" w:space="0" w:color="auto"/>
        <w:left w:val="none" w:sz="0" w:space="0" w:color="auto"/>
        <w:bottom w:val="none" w:sz="0" w:space="0" w:color="auto"/>
        <w:right w:val="none" w:sz="0" w:space="0" w:color="auto"/>
      </w:divBdr>
    </w:div>
    <w:div w:id="412626690">
      <w:bodyDiv w:val="1"/>
      <w:marLeft w:val="0"/>
      <w:marRight w:val="0"/>
      <w:marTop w:val="0"/>
      <w:marBottom w:val="0"/>
      <w:divBdr>
        <w:top w:val="none" w:sz="0" w:space="0" w:color="auto"/>
        <w:left w:val="none" w:sz="0" w:space="0" w:color="auto"/>
        <w:bottom w:val="none" w:sz="0" w:space="0" w:color="auto"/>
        <w:right w:val="none" w:sz="0" w:space="0" w:color="auto"/>
      </w:divBdr>
      <w:divsChild>
        <w:div w:id="1821463505">
          <w:marLeft w:val="0"/>
          <w:marRight w:val="0"/>
          <w:marTop w:val="0"/>
          <w:marBottom w:val="0"/>
          <w:divBdr>
            <w:top w:val="none" w:sz="0" w:space="0" w:color="auto"/>
            <w:left w:val="none" w:sz="0" w:space="0" w:color="auto"/>
            <w:bottom w:val="none" w:sz="0" w:space="0" w:color="auto"/>
            <w:right w:val="none" w:sz="0" w:space="0" w:color="auto"/>
          </w:divBdr>
          <w:divsChild>
            <w:div w:id="62265952">
              <w:marLeft w:val="0"/>
              <w:marRight w:val="0"/>
              <w:marTop w:val="0"/>
              <w:marBottom w:val="0"/>
              <w:divBdr>
                <w:top w:val="none" w:sz="0" w:space="0" w:color="auto"/>
                <w:left w:val="none" w:sz="0" w:space="0" w:color="auto"/>
                <w:bottom w:val="none" w:sz="0" w:space="0" w:color="auto"/>
                <w:right w:val="none" w:sz="0" w:space="0" w:color="auto"/>
              </w:divBdr>
              <w:divsChild>
                <w:div w:id="1384596388">
                  <w:marLeft w:val="0"/>
                  <w:marRight w:val="0"/>
                  <w:marTop w:val="0"/>
                  <w:marBottom w:val="0"/>
                  <w:divBdr>
                    <w:top w:val="none" w:sz="0" w:space="0" w:color="auto"/>
                    <w:left w:val="none" w:sz="0" w:space="0" w:color="auto"/>
                    <w:bottom w:val="none" w:sz="0" w:space="0" w:color="auto"/>
                    <w:right w:val="none" w:sz="0" w:space="0" w:color="auto"/>
                  </w:divBdr>
                  <w:divsChild>
                    <w:div w:id="1887333609">
                      <w:marLeft w:val="0"/>
                      <w:marRight w:val="0"/>
                      <w:marTop w:val="0"/>
                      <w:marBottom w:val="0"/>
                      <w:divBdr>
                        <w:top w:val="none" w:sz="0" w:space="0" w:color="auto"/>
                        <w:left w:val="none" w:sz="0" w:space="0" w:color="auto"/>
                        <w:bottom w:val="none" w:sz="0" w:space="0" w:color="auto"/>
                        <w:right w:val="none" w:sz="0" w:space="0" w:color="auto"/>
                      </w:divBdr>
                      <w:divsChild>
                        <w:div w:id="1784877931">
                          <w:marLeft w:val="13380"/>
                          <w:marRight w:val="0"/>
                          <w:marTop w:val="0"/>
                          <w:marBottom w:val="0"/>
                          <w:divBdr>
                            <w:top w:val="none" w:sz="0" w:space="0" w:color="auto"/>
                            <w:left w:val="none" w:sz="0" w:space="0" w:color="auto"/>
                            <w:bottom w:val="none" w:sz="0" w:space="0" w:color="auto"/>
                            <w:right w:val="none" w:sz="0" w:space="0" w:color="auto"/>
                          </w:divBdr>
                          <w:divsChild>
                            <w:div w:id="939948974">
                              <w:marLeft w:val="0"/>
                              <w:marRight w:val="0"/>
                              <w:marTop w:val="0"/>
                              <w:marBottom w:val="0"/>
                              <w:divBdr>
                                <w:top w:val="none" w:sz="0" w:space="0" w:color="auto"/>
                                <w:left w:val="none" w:sz="0" w:space="0" w:color="auto"/>
                                <w:bottom w:val="none" w:sz="0" w:space="0" w:color="auto"/>
                                <w:right w:val="none" w:sz="0" w:space="0" w:color="auto"/>
                              </w:divBdr>
                              <w:divsChild>
                                <w:div w:id="1722947637">
                                  <w:marLeft w:val="0"/>
                                  <w:marRight w:val="0"/>
                                  <w:marTop w:val="0"/>
                                  <w:marBottom w:val="0"/>
                                  <w:divBdr>
                                    <w:top w:val="none" w:sz="0" w:space="0" w:color="auto"/>
                                    <w:left w:val="none" w:sz="0" w:space="0" w:color="auto"/>
                                    <w:bottom w:val="none" w:sz="0" w:space="0" w:color="auto"/>
                                    <w:right w:val="none" w:sz="0" w:space="0" w:color="auto"/>
                                  </w:divBdr>
                                  <w:divsChild>
                                    <w:div w:id="1775904697">
                                      <w:marLeft w:val="0"/>
                                      <w:marRight w:val="0"/>
                                      <w:marTop w:val="0"/>
                                      <w:marBottom w:val="0"/>
                                      <w:divBdr>
                                        <w:top w:val="none" w:sz="0" w:space="0" w:color="auto"/>
                                        <w:left w:val="none" w:sz="0" w:space="0" w:color="auto"/>
                                        <w:bottom w:val="none" w:sz="0" w:space="0" w:color="auto"/>
                                        <w:right w:val="none" w:sz="0" w:space="0" w:color="auto"/>
                                      </w:divBdr>
                                      <w:divsChild>
                                        <w:div w:id="1469594634">
                                          <w:marLeft w:val="0"/>
                                          <w:marRight w:val="0"/>
                                          <w:marTop w:val="0"/>
                                          <w:marBottom w:val="0"/>
                                          <w:divBdr>
                                            <w:top w:val="none" w:sz="0" w:space="0" w:color="auto"/>
                                            <w:left w:val="none" w:sz="0" w:space="0" w:color="auto"/>
                                            <w:bottom w:val="none" w:sz="0" w:space="0" w:color="auto"/>
                                            <w:right w:val="none" w:sz="0" w:space="0" w:color="auto"/>
                                          </w:divBdr>
                                          <w:divsChild>
                                            <w:div w:id="1970210058">
                                              <w:marLeft w:val="0"/>
                                              <w:marRight w:val="0"/>
                                              <w:marTop w:val="0"/>
                                              <w:marBottom w:val="0"/>
                                              <w:divBdr>
                                                <w:top w:val="none" w:sz="0" w:space="0" w:color="auto"/>
                                                <w:left w:val="none" w:sz="0" w:space="0" w:color="auto"/>
                                                <w:bottom w:val="none" w:sz="0" w:space="0" w:color="auto"/>
                                                <w:right w:val="none" w:sz="0" w:space="0" w:color="auto"/>
                                              </w:divBdr>
                                              <w:divsChild>
                                                <w:div w:id="1753623878">
                                                  <w:marLeft w:val="0"/>
                                                  <w:marRight w:val="0"/>
                                                  <w:marTop w:val="0"/>
                                                  <w:marBottom w:val="0"/>
                                                  <w:divBdr>
                                                    <w:top w:val="none" w:sz="0" w:space="0" w:color="auto"/>
                                                    <w:left w:val="none" w:sz="0" w:space="0" w:color="auto"/>
                                                    <w:bottom w:val="none" w:sz="0" w:space="0" w:color="auto"/>
                                                    <w:right w:val="none" w:sz="0" w:space="0" w:color="auto"/>
                                                  </w:divBdr>
                                                  <w:divsChild>
                                                    <w:div w:id="1435437960">
                                                      <w:marLeft w:val="0"/>
                                                      <w:marRight w:val="0"/>
                                                      <w:marTop w:val="0"/>
                                                      <w:marBottom w:val="0"/>
                                                      <w:divBdr>
                                                        <w:top w:val="none" w:sz="0" w:space="0" w:color="auto"/>
                                                        <w:left w:val="none" w:sz="0" w:space="0" w:color="auto"/>
                                                        <w:bottom w:val="none" w:sz="0" w:space="0" w:color="auto"/>
                                                        <w:right w:val="none" w:sz="0" w:space="0" w:color="auto"/>
                                                      </w:divBdr>
                                                      <w:divsChild>
                                                        <w:div w:id="205456440">
                                                          <w:marLeft w:val="0"/>
                                                          <w:marRight w:val="0"/>
                                                          <w:marTop w:val="0"/>
                                                          <w:marBottom w:val="0"/>
                                                          <w:divBdr>
                                                            <w:top w:val="none" w:sz="0" w:space="0" w:color="auto"/>
                                                            <w:left w:val="none" w:sz="0" w:space="0" w:color="auto"/>
                                                            <w:bottom w:val="none" w:sz="0" w:space="0" w:color="auto"/>
                                                            <w:right w:val="none" w:sz="0" w:space="0" w:color="auto"/>
                                                          </w:divBdr>
                                                          <w:divsChild>
                                                            <w:div w:id="212699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7211921">
      <w:bodyDiv w:val="1"/>
      <w:marLeft w:val="0"/>
      <w:marRight w:val="0"/>
      <w:marTop w:val="0"/>
      <w:marBottom w:val="0"/>
      <w:divBdr>
        <w:top w:val="none" w:sz="0" w:space="0" w:color="auto"/>
        <w:left w:val="none" w:sz="0" w:space="0" w:color="auto"/>
        <w:bottom w:val="none" w:sz="0" w:space="0" w:color="auto"/>
        <w:right w:val="none" w:sz="0" w:space="0" w:color="auto"/>
      </w:divBdr>
      <w:divsChild>
        <w:div w:id="298340518">
          <w:marLeft w:val="274"/>
          <w:marRight w:val="0"/>
          <w:marTop w:val="120"/>
          <w:marBottom w:val="120"/>
          <w:divBdr>
            <w:top w:val="none" w:sz="0" w:space="0" w:color="auto"/>
            <w:left w:val="none" w:sz="0" w:space="0" w:color="auto"/>
            <w:bottom w:val="none" w:sz="0" w:space="0" w:color="auto"/>
            <w:right w:val="none" w:sz="0" w:space="0" w:color="auto"/>
          </w:divBdr>
        </w:div>
        <w:div w:id="1469786582">
          <w:marLeft w:val="274"/>
          <w:marRight w:val="0"/>
          <w:marTop w:val="120"/>
          <w:marBottom w:val="120"/>
          <w:divBdr>
            <w:top w:val="none" w:sz="0" w:space="0" w:color="auto"/>
            <w:left w:val="none" w:sz="0" w:space="0" w:color="auto"/>
            <w:bottom w:val="none" w:sz="0" w:space="0" w:color="auto"/>
            <w:right w:val="none" w:sz="0" w:space="0" w:color="auto"/>
          </w:divBdr>
        </w:div>
      </w:divsChild>
    </w:div>
    <w:div w:id="417405199">
      <w:bodyDiv w:val="1"/>
      <w:marLeft w:val="0"/>
      <w:marRight w:val="0"/>
      <w:marTop w:val="0"/>
      <w:marBottom w:val="0"/>
      <w:divBdr>
        <w:top w:val="none" w:sz="0" w:space="0" w:color="auto"/>
        <w:left w:val="none" w:sz="0" w:space="0" w:color="auto"/>
        <w:bottom w:val="none" w:sz="0" w:space="0" w:color="auto"/>
        <w:right w:val="none" w:sz="0" w:space="0" w:color="auto"/>
      </w:divBdr>
    </w:div>
    <w:div w:id="417947360">
      <w:bodyDiv w:val="1"/>
      <w:marLeft w:val="0"/>
      <w:marRight w:val="0"/>
      <w:marTop w:val="0"/>
      <w:marBottom w:val="0"/>
      <w:divBdr>
        <w:top w:val="none" w:sz="0" w:space="0" w:color="auto"/>
        <w:left w:val="none" w:sz="0" w:space="0" w:color="auto"/>
        <w:bottom w:val="none" w:sz="0" w:space="0" w:color="auto"/>
        <w:right w:val="none" w:sz="0" w:space="0" w:color="auto"/>
      </w:divBdr>
    </w:div>
    <w:div w:id="419185180">
      <w:bodyDiv w:val="1"/>
      <w:marLeft w:val="0"/>
      <w:marRight w:val="0"/>
      <w:marTop w:val="0"/>
      <w:marBottom w:val="0"/>
      <w:divBdr>
        <w:top w:val="none" w:sz="0" w:space="0" w:color="auto"/>
        <w:left w:val="none" w:sz="0" w:space="0" w:color="auto"/>
        <w:bottom w:val="none" w:sz="0" w:space="0" w:color="auto"/>
        <w:right w:val="none" w:sz="0" w:space="0" w:color="auto"/>
      </w:divBdr>
    </w:div>
    <w:div w:id="432675218">
      <w:bodyDiv w:val="1"/>
      <w:marLeft w:val="0"/>
      <w:marRight w:val="0"/>
      <w:marTop w:val="0"/>
      <w:marBottom w:val="0"/>
      <w:divBdr>
        <w:top w:val="none" w:sz="0" w:space="0" w:color="auto"/>
        <w:left w:val="none" w:sz="0" w:space="0" w:color="auto"/>
        <w:bottom w:val="none" w:sz="0" w:space="0" w:color="auto"/>
        <w:right w:val="none" w:sz="0" w:space="0" w:color="auto"/>
      </w:divBdr>
    </w:div>
    <w:div w:id="433786901">
      <w:bodyDiv w:val="1"/>
      <w:marLeft w:val="0"/>
      <w:marRight w:val="0"/>
      <w:marTop w:val="0"/>
      <w:marBottom w:val="0"/>
      <w:divBdr>
        <w:top w:val="none" w:sz="0" w:space="0" w:color="auto"/>
        <w:left w:val="none" w:sz="0" w:space="0" w:color="auto"/>
        <w:bottom w:val="none" w:sz="0" w:space="0" w:color="auto"/>
        <w:right w:val="none" w:sz="0" w:space="0" w:color="auto"/>
      </w:divBdr>
    </w:div>
    <w:div w:id="436147180">
      <w:bodyDiv w:val="1"/>
      <w:marLeft w:val="0"/>
      <w:marRight w:val="0"/>
      <w:marTop w:val="0"/>
      <w:marBottom w:val="0"/>
      <w:divBdr>
        <w:top w:val="none" w:sz="0" w:space="0" w:color="auto"/>
        <w:left w:val="none" w:sz="0" w:space="0" w:color="auto"/>
        <w:bottom w:val="none" w:sz="0" w:space="0" w:color="auto"/>
        <w:right w:val="none" w:sz="0" w:space="0" w:color="auto"/>
      </w:divBdr>
      <w:divsChild>
        <w:div w:id="963002650">
          <w:marLeft w:val="274"/>
          <w:marRight w:val="0"/>
          <w:marTop w:val="40"/>
          <w:marBottom w:val="40"/>
          <w:divBdr>
            <w:top w:val="none" w:sz="0" w:space="0" w:color="auto"/>
            <w:left w:val="none" w:sz="0" w:space="0" w:color="auto"/>
            <w:bottom w:val="none" w:sz="0" w:space="0" w:color="auto"/>
            <w:right w:val="none" w:sz="0" w:space="0" w:color="auto"/>
          </w:divBdr>
        </w:div>
        <w:div w:id="1191800528">
          <w:marLeft w:val="274"/>
          <w:marRight w:val="0"/>
          <w:marTop w:val="40"/>
          <w:marBottom w:val="40"/>
          <w:divBdr>
            <w:top w:val="none" w:sz="0" w:space="0" w:color="auto"/>
            <w:left w:val="none" w:sz="0" w:space="0" w:color="auto"/>
            <w:bottom w:val="none" w:sz="0" w:space="0" w:color="auto"/>
            <w:right w:val="none" w:sz="0" w:space="0" w:color="auto"/>
          </w:divBdr>
        </w:div>
        <w:div w:id="1548180749">
          <w:marLeft w:val="274"/>
          <w:marRight w:val="0"/>
          <w:marTop w:val="40"/>
          <w:marBottom w:val="40"/>
          <w:divBdr>
            <w:top w:val="none" w:sz="0" w:space="0" w:color="auto"/>
            <w:left w:val="none" w:sz="0" w:space="0" w:color="auto"/>
            <w:bottom w:val="none" w:sz="0" w:space="0" w:color="auto"/>
            <w:right w:val="none" w:sz="0" w:space="0" w:color="auto"/>
          </w:divBdr>
        </w:div>
      </w:divsChild>
    </w:div>
    <w:div w:id="437719348">
      <w:bodyDiv w:val="1"/>
      <w:marLeft w:val="0"/>
      <w:marRight w:val="0"/>
      <w:marTop w:val="0"/>
      <w:marBottom w:val="0"/>
      <w:divBdr>
        <w:top w:val="none" w:sz="0" w:space="0" w:color="auto"/>
        <w:left w:val="none" w:sz="0" w:space="0" w:color="auto"/>
        <w:bottom w:val="none" w:sz="0" w:space="0" w:color="auto"/>
        <w:right w:val="none" w:sz="0" w:space="0" w:color="auto"/>
      </w:divBdr>
    </w:div>
    <w:div w:id="439112012">
      <w:bodyDiv w:val="1"/>
      <w:marLeft w:val="0"/>
      <w:marRight w:val="0"/>
      <w:marTop w:val="0"/>
      <w:marBottom w:val="0"/>
      <w:divBdr>
        <w:top w:val="none" w:sz="0" w:space="0" w:color="auto"/>
        <w:left w:val="none" w:sz="0" w:space="0" w:color="auto"/>
        <w:bottom w:val="none" w:sz="0" w:space="0" w:color="auto"/>
        <w:right w:val="none" w:sz="0" w:space="0" w:color="auto"/>
      </w:divBdr>
    </w:div>
    <w:div w:id="442574164">
      <w:bodyDiv w:val="1"/>
      <w:marLeft w:val="0"/>
      <w:marRight w:val="0"/>
      <w:marTop w:val="0"/>
      <w:marBottom w:val="0"/>
      <w:divBdr>
        <w:top w:val="none" w:sz="0" w:space="0" w:color="auto"/>
        <w:left w:val="none" w:sz="0" w:space="0" w:color="auto"/>
        <w:bottom w:val="none" w:sz="0" w:space="0" w:color="auto"/>
        <w:right w:val="none" w:sz="0" w:space="0" w:color="auto"/>
      </w:divBdr>
    </w:div>
    <w:div w:id="446462259">
      <w:bodyDiv w:val="1"/>
      <w:marLeft w:val="0"/>
      <w:marRight w:val="0"/>
      <w:marTop w:val="0"/>
      <w:marBottom w:val="0"/>
      <w:divBdr>
        <w:top w:val="none" w:sz="0" w:space="0" w:color="auto"/>
        <w:left w:val="none" w:sz="0" w:space="0" w:color="auto"/>
        <w:bottom w:val="none" w:sz="0" w:space="0" w:color="auto"/>
        <w:right w:val="none" w:sz="0" w:space="0" w:color="auto"/>
      </w:divBdr>
    </w:div>
    <w:div w:id="447623829">
      <w:bodyDiv w:val="1"/>
      <w:marLeft w:val="0"/>
      <w:marRight w:val="0"/>
      <w:marTop w:val="0"/>
      <w:marBottom w:val="0"/>
      <w:divBdr>
        <w:top w:val="none" w:sz="0" w:space="0" w:color="auto"/>
        <w:left w:val="none" w:sz="0" w:space="0" w:color="auto"/>
        <w:bottom w:val="none" w:sz="0" w:space="0" w:color="auto"/>
        <w:right w:val="none" w:sz="0" w:space="0" w:color="auto"/>
      </w:divBdr>
    </w:div>
    <w:div w:id="450511751">
      <w:bodyDiv w:val="1"/>
      <w:marLeft w:val="0"/>
      <w:marRight w:val="0"/>
      <w:marTop w:val="0"/>
      <w:marBottom w:val="0"/>
      <w:divBdr>
        <w:top w:val="none" w:sz="0" w:space="0" w:color="auto"/>
        <w:left w:val="none" w:sz="0" w:space="0" w:color="auto"/>
        <w:bottom w:val="none" w:sz="0" w:space="0" w:color="auto"/>
        <w:right w:val="none" w:sz="0" w:space="0" w:color="auto"/>
      </w:divBdr>
    </w:div>
    <w:div w:id="452017070">
      <w:bodyDiv w:val="1"/>
      <w:marLeft w:val="0"/>
      <w:marRight w:val="0"/>
      <w:marTop w:val="0"/>
      <w:marBottom w:val="0"/>
      <w:divBdr>
        <w:top w:val="none" w:sz="0" w:space="0" w:color="auto"/>
        <w:left w:val="none" w:sz="0" w:space="0" w:color="auto"/>
        <w:bottom w:val="none" w:sz="0" w:space="0" w:color="auto"/>
        <w:right w:val="none" w:sz="0" w:space="0" w:color="auto"/>
      </w:divBdr>
    </w:div>
    <w:div w:id="454714527">
      <w:bodyDiv w:val="1"/>
      <w:marLeft w:val="0"/>
      <w:marRight w:val="0"/>
      <w:marTop w:val="0"/>
      <w:marBottom w:val="0"/>
      <w:divBdr>
        <w:top w:val="none" w:sz="0" w:space="0" w:color="auto"/>
        <w:left w:val="none" w:sz="0" w:space="0" w:color="auto"/>
        <w:bottom w:val="none" w:sz="0" w:space="0" w:color="auto"/>
        <w:right w:val="none" w:sz="0" w:space="0" w:color="auto"/>
      </w:divBdr>
      <w:divsChild>
        <w:div w:id="828138197">
          <w:marLeft w:val="274"/>
          <w:marRight w:val="0"/>
          <w:marTop w:val="40"/>
          <w:marBottom w:val="40"/>
          <w:divBdr>
            <w:top w:val="none" w:sz="0" w:space="0" w:color="auto"/>
            <w:left w:val="none" w:sz="0" w:space="0" w:color="auto"/>
            <w:bottom w:val="none" w:sz="0" w:space="0" w:color="auto"/>
            <w:right w:val="none" w:sz="0" w:space="0" w:color="auto"/>
          </w:divBdr>
        </w:div>
        <w:div w:id="918293545">
          <w:marLeft w:val="274"/>
          <w:marRight w:val="0"/>
          <w:marTop w:val="40"/>
          <w:marBottom w:val="40"/>
          <w:divBdr>
            <w:top w:val="none" w:sz="0" w:space="0" w:color="auto"/>
            <w:left w:val="none" w:sz="0" w:space="0" w:color="auto"/>
            <w:bottom w:val="none" w:sz="0" w:space="0" w:color="auto"/>
            <w:right w:val="none" w:sz="0" w:space="0" w:color="auto"/>
          </w:divBdr>
        </w:div>
        <w:div w:id="1252814626">
          <w:marLeft w:val="274"/>
          <w:marRight w:val="0"/>
          <w:marTop w:val="40"/>
          <w:marBottom w:val="40"/>
          <w:divBdr>
            <w:top w:val="none" w:sz="0" w:space="0" w:color="auto"/>
            <w:left w:val="none" w:sz="0" w:space="0" w:color="auto"/>
            <w:bottom w:val="none" w:sz="0" w:space="0" w:color="auto"/>
            <w:right w:val="none" w:sz="0" w:space="0" w:color="auto"/>
          </w:divBdr>
        </w:div>
      </w:divsChild>
    </w:div>
    <w:div w:id="457918970">
      <w:bodyDiv w:val="1"/>
      <w:marLeft w:val="0"/>
      <w:marRight w:val="0"/>
      <w:marTop w:val="0"/>
      <w:marBottom w:val="0"/>
      <w:divBdr>
        <w:top w:val="none" w:sz="0" w:space="0" w:color="auto"/>
        <w:left w:val="none" w:sz="0" w:space="0" w:color="auto"/>
        <w:bottom w:val="none" w:sz="0" w:space="0" w:color="auto"/>
        <w:right w:val="none" w:sz="0" w:space="0" w:color="auto"/>
      </w:divBdr>
    </w:div>
    <w:div w:id="460612292">
      <w:bodyDiv w:val="1"/>
      <w:marLeft w:val="0"/>
      <w:marRight w:val="0"/>
      <w:marTop w:val="0"/>
      <w:marBottom w:val="0"/>
      <w:divBdr>
        <w:top w:val="none" w:sz="0" w:space="0" w:color="auto"/>
        <w:left w:val="none" w:sz="0" w:space="0" w:color="auto"/>
        <w:bottom w:val="none" w:sz="0" w:space="0" w:color="auto"/>
        <w:right w:val="none" w:sz="0" w:space="0" w:color="auto"/>
      </w:divBdr>
    </w:div>
    <w:div w:id="460803693">
      <w:bodyDiv w:val="1"/>
      <w:marLeft w:val="0"/>
      <w:marRight w:val="0"/>
      <w:marTop w:val="0"/>
      <w:marBottom w:val="0"/>
      <w:divBdr>
        <w:top w:val="none" w:sz="0" w:space="0" w:color="auto"/>
        <w:left w:val="none" w:sz="0" w:space="0" w:color="auto"/>
        <w:bottom w:val="none" w:sz="0" w:space="0" w:color="auto"/>
        <w:right w:val="none" w:sz="0" w:space="0" w:color="auto"/>
      </w:divBdr>
    </w:div>
    <w:div w:id="462308178">
      <w:bodyDiv w:val="1"/>
      <w:marLeft w:val="0"/>
      <w:marRight w:val="0"/>
      <w:marTop w:val="0"/>
      <w:marBottom w:val="0"/>
      <w:divBdr>
        <w:top w:val="none" w:sz="0" w:space="0" w:color="auto"/>
        <w:left w:val="none" w:sz="0" w:space="0" w:color="auto"/>
        <w:bottom w:val="none" w:sz="0" w:space="0" w:color="auto"/>
        <w:right w:val="none" w:sz="0" w:space="0" w:color="auto"/>
      </w:divBdr>
    </w:div>
    <w:div w:id="467817834">
      <w:bodyDiv w:val="1"/>
      <w:marLeft w:val="0"/>
      <w:marRight w:val="0"/>
      <w:marTop w:val="0"/>
      <w:marBottom w:val="0"/>
      <w:divBdr>
        <w:top w:val="none" w:sz="0" w:space="0" w:color="auto"/>
        <w:left w:val="none" w:sz="0" w:space="0" w:color="auto"/>
        <w:bottom w:val="none" w:sz="0" w:space="0" w:color="auto"/>
        <w:right w:val="none" w:sz="0" w:space="0" w:color="auto"/>
      </w:divBdr>
    </w:div>
    <w:div w:id="469247611">
      <w:bodyDiv w:val="1"/>
      <w:marLeft w:val="0"/>
      <w:marRight w:val="0"/>
      <w:marTop w:val="0"/>
      <w:marBottom w:val="0"/>
      <w:divBdr>
        <w:top w:val="none" w:sz="0" w:space="0" w:color="auto"/>
        <w:left w:val="none" w:sz="0" w:space="0" w:color="auto"/>
        <w:bottom w:val="none" w:sz="0" w:space="0" w:color="auto"/>
        <w:right w:val="none" w:sz="0" w:space="0" w:color="auto"/>
      </w:divBdr>
    </w:div>
    <w:div w:id="470442943">
      <w:bodyDiv w:val="1"/>
      <w:marLeft w:val="0"/>
      <w:marRight w:val="0"/>
      <w:marTop w:val="0"/>
      <w:marBottom w:val="0"/>
      <w:divBdr>
        <w:top w:val="none" w:sz="0" w:space="0" w:color="auto"/>
        <w:left w:val="none" w:sz="0" w:space="0" w:color="auto"/>
        <w:bottom w:val="none" w:sz="0" w:space="0" w:color="auto"/>
        <w:right w:val="none" w:sz="0" w:space="0" w:color="auto"/>
      </w:divBdr>
    </w:div>
    <w:div w:id="471411415">
      <w:bodyDiv w:val="1"/>
      <w:marLeft w:val="0"/>
      <w:marRight w:val="0"/>
      <w:marTop w:val="0"/>
      <w:marBottom w:val="0"/>
      <w:divBdr>
        <w:top w:val="none" w:sz="0" w:space="0" w:color="auto"/>
        <w:left w:val="none" w:sz="0" w:space="0" w:color="auto"/>
        <w:bottom w:val="none" w:sz="0" w:space="0" w:color="auto"/>
        <w:right w:val="none" w:sz="0" w:space="0" w:color="auto"/>
      </w:divBdr>
    </w:div>
    <w:div w:id="481240827">
      <w:bodyDiv w:val="1"/>
      <w:marLeft w:val="0"/>
      <w:marRight w:val="0"/>
      <w:marTop w:val="0"/>
      <w:marBottom w:val="0"/>
      <w:divBdr>
        <w:top w:val="none" w:sz="0" w:space="0" w:color="auto"/>
        <w:left w:val="none" w:sz="0" w:space="0" w:color="auto"/>
        <w:bottom w:val="none" w:sz="0" w:space="0" w:color="auto"/>
        <w:right w:val="none" w:sz="0" w:space="0" w:color="auto"/>
      </w:divBdr>
      <w:divsChild>
        <w:div w:id="2046901480">
          <w:marLeft w:val="274"/>
          <w:marRight w:val="0"/>
          <w:marTop w:val="0"/>
          <w:marBottom w:val="0"/>
          <w:divBdr>
            <w:top w:val="none" w:sz="0" w:space="0" w:color="auto"/>
            <w:left w:val="none" w:sz="0" w:space="0" w:color="auto"/>
            <w:bottom w:val="none" w:sz="0" w:space="0" w:color="auto"/>
            <w:right w:val="none" w:sz="0" w:space="0" w:color="auto"/>
          </w:divBdr>
        </w:div>
      </w:divsChild>
    </w:div>
    <w:div w:id="483088444">
      <w:bodyDiv w:val="1"/>
      <w:marLeft w:val="0"/>
      <w:marRight w:val="0"/>
      <w:marTop w:val="0"/>
      <w:marBottom w:val="0"/>
      <w:divBdr>
        <w:top w:val="none" w:sz="0" w:space="0" w:color="auto"/>
        <w:left w:val="none" w:sz="0" w:space="0" w:color="auto"/>
        <w:bottom w:val="none" w:sz="0" w:space="0" w:color="auto"/>
        <w:right w:val="none" w:sz="0" w:space="0" w:color="auto"/>
      </w:divBdr>
    </w:div>
    <w:div w:id="483276538">
      <w:bodyDiv w:val="1"/>
      <w:marLeft w:val="0"/>
      <w:marRight w:val="0"/>
      <w:marTop w:val="0"/>
      <w:marBottom w:val="0"/>
      <w:divBdr>
        <w:top w:val="none" w:sz="0" w:space="0" w:color="auto"/>
        <w:left w:val="none" w:sz="0" w:space="0" w:color="auto"/>
        <w:bottom w:val="none" w:sz="0" w:space="0" w:color="auto"/>
        <w:right w:val="none" w:sz="0" w:space="0" w:color="auto"/>
      </w:divBdr>
    </w:div>
    <w:div w:id="503672121">
      <w:bodyDiv w:val="1"/>
      <w:marLeft w:val="0"/>
      <w:marRight w:val="0"/>
      <w:marTop w:val="0"/>
      <w:marBottom w:val="0"/>
      <w:divBdr>
        <w:top w:val="none" w:sz="0" w:space="0" w:color="auto"/>
        <w:left w:val="none" w:sz="0" w:space="0" w:color="auto"/>
        <w:bottom w:val="none" w:sz="0" w:space="0" w:color="auto"/>
        <w:right w:val="none" w:sz="0" w:space="0" w:color="auto"/>
      </w:divBdr>
    </w:div>
    <w:div w:id="515732409">
      <w:bodyDiv w:val="1"/>
      <w:marLeft w:val="0"/>
      <w:marRight w:val="0"/>
      <w:marTop w:val="0"/>
      <w:marBottom w:val="0"/>
      <w:divBdr>
        <w:top w:val="none" w:sz="0" w:space="0" w:color="auto"/>
        <w:left w:val="none" w:sz="0" w:space="0" w:color="auto"/>
        <w:bottom w:val="none" w:sz="0" w:space="0" w:color="auto"/>
        <w:right w:val="none" w:sz="0" w:space="0" w:color="auto"/>
      </w:divBdr>
    </w:div>
    <w:div w:id="524901036">
      <w:bodyDiv w:val="1"/>
      <w:marLeft w:val="0"/>
      <w:marRight w:val="0"/>
      <w:marTop w:val="0"/>
      <w:marBottom w:val="0"/>
      <w:divBdr>
        <w:top w:val="none" w:sz="0" w:space="0" w:color="auto"/>
        <w:left w:val="none" w:sz="0" w:space="0" w:color="auto"/>
        <w:bottom w:val="none" w:sz="0" w:space="0" w:color="auto"/>
        <w:right w:val="none" w:sz="0" w:space="0" w:color="auto"/>
      </w:divBdr>
    </w:div>
    <w:div w:id="539052088">
      <w:bodyDiv w:val="1"/>
      <w:marLeft w:val="0"/>
      <w:marRight w:val="0"/>
      <w:marTop w:val="0"/>
      <w:marBottom w:val="0"/>
      <w:divBdr>
        <w:top w:val="none" w:sz="0" w:space="0" w:color="auto"/>
        <w:left w:val="none" w:sz="0" w:space="0" w:color="auto"/>
        <w:bottom w:val="none" w:sz="0" w:space="0" w:color="auto"/>
        <w:right w:val="none" w:sz="0" w:space="0" w:color="auto"/>
      </w:divBdr>
    </w:div>
    <w:div w:id="544295002">
      <w:bodyDiv w:val="1"/>
      <w:marLeft w:val="0"/>
      <w:marRight w:val="0"/>
      <w:marTop w:val="0"/>
      <w:marBottom w:val="0"/>
      <w:divBdr>
        <w:top w:val="none" w:sz="0" w:space="0" w:color="auto"/>
        <w:left w:val="none" w:sz="0" w:space="0" w:color="auto"/>
        <w:bottom w:val="none" w:sz="0" w:space="0" w:color="auto"/>
        <w:right w:val="none" w:sz="0" w:space="0" w:color="auto"/>
      </w:divBdr>
    </w:div>
    <w:div w:id="546993992">
      <w:bodyDiv w:val="1"/>
      <w:marLeft w:val="0"/>
      <w:marRight w:val="0"/>
      <w:marTop w:val="0"/>
      <w:marBottom w:val="0"/>
      <w:divBdr>
        <w:top w:val="none" w:sz="0" w:space="0" w:color="auto"/>
        <w:left w:val="none" w:sz="0" w:space="0" w:color="auto"/>
        <w:bottom w:val="none" w:sz="0" w:space="0" w:color="auto"/>
        <w:right w:val="none" w:sz="0" w:space="0" w:color="auto"/>
      </w:divBdr>
      <w:divsChild>
        <w:div w:id="988509966">
          <w:marLeft w:val="130"/>
          <w:marRight w:val="0"/>
          <w:marTop w:val="0"/>
          <w:marBottom w:val="0"/>
          <w:divBdr>
            <w:top w:val="none" w:sz="0" w:space="0" w:color="auto"/>
            <w:left w:val="none" w:sz="0" w:space="0" w:color="auto"/>
            <w:bottom w:val="none" w:sz="0" w:space="0" w:color="auto"/>
            <w:right w:val="none" w:sz="0" w:space="0" w:color="auto"/>
          </w:divBdr>
        </w:div>
        <w:div w:id="1494449619">
          <w:marLeft w:val="130"/>
          <w:marRight w:val="0"/>
          <w:marTop w:val="0"/>
          <w:marBottom w:val="0"/>
          <w:divBdr>
            <w:top w:val="none" w:sz="0" w:space="0" w:color="auto"/>
            <w:left w:val="none" w:sz="0" w:space="0" w:color="auto"/>
            <w:bottom w:val="none" w:sz="0" w:space="0" w:color="auto"/>
            <w:right w:val="none" w:sz="0" w:space="0" w:color="auto"/>
          </w:divBdr>
        </w:div>
        <w:div w:id="1951623149">
          <w:marLeft w:val="130"/>
          <w:marRight w:val="0"/>
          <w:marTop w:val="0"/>
          <w:marBottom w:val="0"/>
          <w:divBdr>
            <w:top w:val="none" w:sz="0" w:space="0" w:color="auto"/>
            <w:left w:val="none" w:sz="0" w:space="0" w:color="auto"/>
            <w:bottom w:val="none" w:sz="0" w:space="0" w:color="auto"/>
            <w:right w:val="none" w:sz="0" w:space="0" w:color="auto"/>
          </w:divBdr>
        </w:div>
      </w:divsChild>
    </w:div>
    <w:div w:id="551305426">
      <w:bodyDiv w:val="1"/>
      <w:marLeft w:val="0"/>
      <w:marRight w:val="0"/>
      <w:marTop w:val="0"/>
      <w:marBottom w:val="0"/>
      <w:divBdr>
        <w:top w:val="none" w:sz="0" w:space="0" w:color="auto"/>
        <w:left w:val="none" w:sz="0" w:space="0" w:color="auto"/>
        <w:bottom w:val="none" w:sz="0" w:space="0" w:color="auto"/>
        <w:right w:val="none" w:sz="0" w:space="0" w:color="auto"/>
      </w:divBdr>
    </w:div>
    <w:div w:id="553661659">
      <w:bodyDiv w:val="1"/>
      <w:marLeft w:val="0"/>
      <w:marRight w:val="0"/>
      <w:marTop w:val="0"/>
      <w:marBottom w:val="0"/>
      <w:divBdr>
        <w:top w:val="none" w:sz="0" w:space="0" w:color="auto"/>
        <w:left w:val="none" w:sz="0" w:space="0" w:color="auto"/>
        <w:bottom w:val="none" w:sz="0" w:space="0" w:color="auto"/>
        <w:right w:val="none" w:sz="0" w:space="0" w:color="auto"/>
      </w:divBdr>
    </w:div>
    <w:div w:id="554007749">
      <w:bodyDiv w:val="1"/>
      <w:marLeft w:val="0"/>
      <w:marRight w:val="0"/>
      <w:marTop w:val="0"/>
      <w:marBottom w:val="0"/>
      <w:divBdr>
        <w:top w:val="none" w:sz="0" w:space="0" w:color="auto"/>
        <w:left w:val="none" w:sz="0" w:space="0" w:color="auto"/>
        <w:bottom w:val="none" w:sz="0" w:space="0" w:color="auto"/>
        <w:right w:val="none" w:sz="0" w:space="0" w:color="auto"/>
      </w:divBdr>
    </w:div>
    <w:div w:id="568930417">
      <w:bodyDiv w:val="1"/>
      <w:marLeft w:val="0"/>
      <w:marRight w:val="0"/>
      <w:marTop w:val="0"/>
      <w:marBottom w:val="0"/>
      <w:divBdr>
        <w:top w:val="none" w:sz="0" w:space="0" w:color="auto"/>
        <w:left w:val="none" w:sz="0" w:space="0" w:color="auto"/>
        <w:bottom w:val="none" w:sz="0" w:space="0" w:color="auto"/>
        <w:right w:val="none" w:sz="0" w:space="0" w:color="auto"/>
      </w:divBdr>
    </w:div>
    <w:div w:id="573978718">
      <w:bodyDiv w:val="1"/>
      <w:marLeft w:val="0"/>
      <w:marRight w:val="0"/>
      <w:marTop w:val="0"/>
      <w:marBottom w:val="0"/>
      <w:divBdr>
        <w:top w:val="none" w:sz="0" w:space="0" w:color="auto"/>
        <w:left w:val="none" w:sz="0" w:space="0" w:color="auto"/>
        <w:bottom w:val="none" w:sz="0" w:space="0" w:color="auto"/>
        <w:right w:val="none" w:sz="0" w:space="0" w:color="auto"/>
      </w:divBdr>
    </w:div>
    <w:div w:id="577253218">
      <w:bodyDiv w:val="1"/>
      <w:marLeft w:val="0"/>
      <w:marRight w:val="0"/>
      <w:marTop w:val="0"/>
      <w:marBottom w:val="0"/>
      <w:divBdr>
        <w:top w:val="none" w:sz="0" w:space="0" w:color="auto"/>
        <w:left w:val="none" w:sz="0" w:space="0" w:color="auto"/>
        <w:bottom w:val="none" w:sz="0" w:space="0" w:color="auto"/>
        <w:right w:val="none" w:sz="0" w:space="0" w:color="auto"/>
      </w:divBdr>
      <w:divsChild>
        <w:div w:id="495606975">
          <w:marLeft w:val="274"/>
          <w:marRight w:val="0"/>
          <w:marTop w:val="40"/>
          <w:marBottom w:val="40"/>
          <w:divBdr>
            <w:top w:val="none" w:sz="0" w:space="0" w:color="auto"/>
            <w:left w:val="none" w:sz="0" w:space="0" w:color="auto"/>
            <w:bottom w:val="none" w:sz="0" w:space="0" w:color="auto"/>
            <w:right w:val="none" w:sz="0" w:space="0" w:color="auto"/>
          </w:divBdr>
        </w:div>
      </w:divsChild>
    </w:div>
    <w:div w:id="581109411">
      <w:bodyDiv w:val="1"/>
      <w:marLeft w:val="0"/>
      <w:marRight w:val="0"/>
      <w:marTop w:val="0"/>
      <w:marBottom w:val="0"/>
      <w:divBdr>
        <w:top w:val="none" w:sz="0" w:space="0" w:color="auto"/>
        <w:left w:val="none" w:sz="0" w:space="0" w:color="auto"/>
        <w:bottom w:val="none" w:sz="0" w:space="0" w:color="auto"/>
        <w:right w:val="none" w:sz="0" w:space="0" w:color="auto"/>
      </w:divBdr>
      <w:divsChild>
        <w:div w:id="1242568594">
          <w:marLeft w:val="288"/>
          <w:marRight w:val="0"/>
          <w:marTop w:val="0"/>
          <w:marBottom w:val="0"/>
          <w:divBdr>
            <w:top w:val="none" w:sz="0" w:space="0" w:color="auto"/>
            <w:left w:val="none" w:sz="0" w:space="0" w:color="auto"/>
            <w:bottom w:val="none" w:sz="0" w:space="0" w:color="auto"/>
            <w:right w:val="none" w:sz="0" w:space="0" w:color="auto"/>
          </w:divBdr>
        </w:div>
        <w:div w:id="1260875261">
          <w:marLeft w:val="288"/>
          <w:marRight w:val="0"/>
          <w:marTop w:val="0"/>
          <w:marBottom w:val="0"/>
          <w:divBdr>
            <w:top w:val="none" w:sz="0" w:space="0" w:color="auto"/>
            <w:left w:val="none" w:sz="0" w:space="0" w:color="auto"/>
            <w:bottom w:val="none" w:sz="0" w:space="0" w:color="auto"/>
            <w:right w:val="none" w:sz="0" w:space="0" w:color="auto"/>
          </w:divBdr>
        </w:div>
        <w:div w:id="1686862282">
          <w:marLeft w:val="288"/>
          <w:marRight w:val="0"/>
          <w:marTop w:val="0"/>
          <w:marBottom w:val="0"/>
          <w:divBdr>
            <w:top w:val="none" w:sz="0" w:space="0" w:color="auto"/>
            <w:left w:val="none" w:sz="0" w:space="0" w:color="auto"/>
            <w:bottom w:val="none" w:sz="0" w:space="0" w:color="auto"/>
            <w:right w:val="none" w:sz="0" w:space="0" w:color="auto"/>
          </w:divBdr>
        </w:div>
        <w:div w:id="2036688731">
          <w:marLeft w:val="288"/>
          <w:marRight w:val="0"/>
          <w:marTop w:val="0"/>
          <w:marBottom w:val="0"/>
          <w:divBdr>
            <w:top w:val="none" w:sz="0" w:space="0" w:color="auto"/>
            <w:left w:val="none" w:sz="0" w:space="0" w:color="auto"/>
            <w:bottom w:val="none" w:sz="0" w:space="0" w:color="auto"/>
            <w:right w:val="none" w:sz="0" w:space="0" w:color="auto"/>
          </w:divBdr>
        </w:div>
      </w:divsChild>
    </w:div>
    <w:div w:id="581988363">
      <w:bodyDiv w:val="1"/>
      <w:marLeft w:val="0"/>
      <w:marRight w:val="0"/>
      <w:marTop w:val="0"/>
      <w:marBottom w:val="0"/>
      <w:divBdr>
        <w:top w:val="none" w:sz="0" w:space="0" w:color="auto"/>
        <w:left w:val="none" w:sz="0" w:space="0" w:color="auto"/>
        <w:bottom w:val="none" w:sz="0" w:space="0" w:color="auto"/>
        <w:right w:val="none" w:sz="0" w:space="0" w:color="auto"/>
      </w:divBdr>
    </w:div>
    <w:div w:id="582497635">
      <w:bodyDiv w:val="1"/>
      <w:marLeft w:val="0"/>
      <w:marRight w:val="0"/>
      <w:marTop w:val="0"/>
      <w:marBottom w:val="0"/>
      <w:divBdr>
        <w:top w:val="none" w:sz="0" w:space="0" w:color="auto"/>
        <w:left w:val="none" w:sz="0" w:space="0" w:color="auto"/>
        <w:bottom w:val="none" w:sz="0" w:space="0" w:color="auto"/>
        <w:right w:val="none" w:sz="0" w:space="0" w:color="auto"/>
      </w:divBdr>
    </w:div>
    <w:div w:id="584149885">
      <w:bodyDiv w:val="1"/>
      <w:marLeft w:val="0"/>
      <w:marRight w:val="0"/>
      <w:marTop w:val="0"/>
      <w:marBottom w:val="0"/>
      <w:divBdr>
        <w:top w:val="none" w:sz="0" w:space="0" w:color="auto"/>
        <w:left w:val="none" w:sz="0" w:space="0" w:color="auto"/>
        <w:bottom w:val="none" w:sz="0" w:space="0" w:color="auto"/>
        <w:right w:val="none" w:sz="0" w:space="0" w:color="auto"/>
      </w:divBdr>
    </w:div>
    <w:div w:id="585529678">
      <w:bodyDiv w:val="1"/>
      <w:marLeft w:val="0"/>
      <w:marRight w:val="0"/>
      <w:marTop w:val="0"/>
      <w:marBottom w:val="0"/>
      <w:divBdr>
        <w:top w:val="none" w:sz="0" w:space="0" w:color="auto"/>
        <w:left w:val="none" w:sz="0" w:space="0" w:color="auto"/>
        <w:bottom w:val="none" w:sz="0" w:space="0" w:color="auto"/>
        <w:right w:val="none" w:sz="0" w:space="0" w:color="auto"/>
      </w:divBdr>
      <w:divsChild>
        <w:div w:id="158472351">
          <w:marLeft w:val="130"/>
          <w:marRight w:val="0"/>
          <w:marTop w:val="0"/>
          <w:marBottom w:val="0"/>
          <w:divBdr>
            <w:top w:val="none" w:sz="0" w:space="0" w:color="auto"/>
            <w:left w:val="none" w:sz="0" w:space="0" w:color="auto"/>
            <w:bottom w:val="none" w:sz="0" w:space="0" w:color="auto"/>
            <w:right w:val="none" w:sz="0" w:space="0" w:color="auto"/>
          </w:divBdr>
        </w:div>
      </w:divsChild>
    </w:div>
    <w:div w:id="586154481">
      <w:bodyDiv w:val="1"/>
      <w:marLeft w:val="0"/>
      <w:marRight w:val="0"/>
      <w:marTop w:val="0"/>
      <w:marBottom w:val="0"/>
      <w:divBdr>
        <w:top w:val="none" w:sz="0" w:space="0" w:color="auto"/>
        <w:left w:val="none" w:sz="0" w:space="0" w:color="auto"/>
        <w:bottom w:val="none" w:sz="0" w:space="0" w:color="auto"/>
        <w:right w:val="none" w:sz="0" w:space="0" w:color="auto"/>
      </w:divBdr>
    </w:div>
    <w:div w:id="597831478">
      <w:bodyDiv w:val="1"/>
      <w:marLeft w:val="0"/>
      <w:marRight w:val="0"/>
      <w:marTop w:val="0"/>
      <w:marBottom w:val="0"/>
      <w:divBdr>
        <w:top w:val="none" w:sz="0" w:space="0" w:color="auto"/>
        <w:left w:val="none" w:sz="0" w:space="0" w:color="auto"/>
        <w:bottom w:val="none" w:sz="0" w:space="0" w:color="auto"/>
        <w:right w:val="none" w:sz="0" w:space="0" w:color="auto"/>
      </w:divBdr>
    </w:div>
    <w:div w:id="599486540">
      <w:bodyDiv w:val="1"/>
      <w:marLeft w:val="0"/>
      <w:marRight w:val="0"/>
      <w:marTop w:val="0"/>
      <w:marBottom w:val="0"/>
      <w:divBdr>
        <w:top w:val="none" w:sz="0" w:space="0" w:color="auto"/>
        <w:left w:val="none" w:sz="0" w:space="0" w:color="auto"/>
        <w:bottom w:val="none" w:sz="0" w:space="0" w:color="auto"/>
        <w:right w:val="none" w:sz="0" w:space="0" w:color="auto"/>
      </w:divBdr>
      <w:divsChild>
        <w:div w:id="243537479">
          <w:marLeft w:val="288"/>
          <w:marRight w:val="0"/>
          <w:marTop w:val="0"/>
          <w:marBottom w:val="0"/>
          <w:divBdr>
            <w:top w:val="none" w:sz="0" w:space="0" w:color="auto"/>
            <w:left w:val="none" w:sz="0" w:space="0" w:color="auto"/>
            <w:bottom w:val="none" w:sz="0" w:space="0" w:color="auto"/>
            <w:right w:val="none" w:sz="0" w:space="0" w:color="auto"/>
          </w:divBdr>
        </w:div>
        <w:div w:id="621809001">
          <w:marLeft w:val="288"/>
          <w:marRight w:val="0"/>
          <w:marTop w:val="0"/>
          <w:marBottom w:val="0"/>
          <w:divBdr>
            <w:top w:val="none" w:sz="0" w:space="0" w:color="auto"/>
            <w:left w:val="none" w:sz="0" w:space="0" w:color="auto"/>
            <w:bottom w:val="none" w:sz="0" w:space="0" w:color="auto"/>
            <w:right w:val="none" w:sz="0" w:space="0" w:color="auto"/>
          </w:divBdr>
        </w:div>
        <w:div w:id="920062433">
          <w:marLeft w:val="288"/>
          <w:marRight w:val="0"/>
          <w:marTop w:val="0"/>
          <w:marBottom w:val="0"/>
          <w:divBdr>
            <w:top w:val="none" w:sz="0" w:space="0" w:color="auto"/>
            <w:left w:val="none" w:sz="0" w:space="0" w:color="auto"/>
            <w:bottom w:val="none" w:sz="0" w:space="0" w:color="auto"/>
            <w:right w:val="none" w:sz="0" w:space="0" w:color="auto"/>
          </w:divBdr>
        </w:div>
        <w:div w:id="1296789334">
          <w:marLeft w:val="288"/>
          <w:marRight w:val="0"/>
          <w:marTop w:val="0"/>
          <w:marBottom w:val="0"/>
          <w:divBdr>
            <w:top w:val="none" w:sz="0" w:space="0" w:color="auto"/>
            <w:left w:val="none" w:sz="0" w:space="0" w:color="auto"/>
            <w:bottom w:val="none" w:sz="0" w:space="0" w:color="auto"/>
            <w:right w:val="none" w:sz="0" w:space="0" w:color="auto"/>
          </w:divBdr>
        </w:div>
        <w:div w:id="1584726451">
          <w:marLeft w:val="288"/>
          <w:marRight w:val="0"/>
          <w:marTop w:val="0"/>
          <w:marBottom w:val="0"/>
          <w:divBdr>
            <w:top w:val="none" w:sz="0" w:space="0" w:color="auto"/>
            <w:left w:val="none" w:sz="0" w:space="0" w:color="auto"/>
            <w:bottom w:val="none" w:sz="0" w:space="0" w:color="auto"/>
            <w:right w:val="none" w:sz="0" w:space="0" w:color="auto"/>
          </w:divBdr>
        </w:div>
        <w:div w:id="1694503062">
          <w:marLeft w:val="288"/>
          <w:marRight w:val="0"/>
          <w:marTop w:val="0"/>
          <w:marBottom w:val="0"/>
          <w:divBdr>
            <w:top w:val="none" w:sz="0" w:space="0" w:color="auto"/>
            <w:left w:val="none" w:sz="0" w:space="0" w:color="auto"/>
            <w:bottom w:val="none" w:sz="0" w:space="0" w:color="auto"/>
            <w:right w:val="none" w:sz="0" w:space="0" w:color="auto"/>
          </w:divBdr>
        </w:div>
      </w:divsChild>
    </w:div>
    <w:div w:id="603343316">
      <w:bodyDiv w:val="1"/>
      <w:marLeft w:val="0"/>
      <w:marRight w:val="0"/>
      <w:marTop w:val="0"/>
      <w:marBottom w:val="0"/>
      <w:divBdr>
        <w:top w:val="none" w:sz="0" w:space="0" w:color="auto"/>
        <w:left w:val="none" w:sz="0" w:space="0" w:color="auto"/>
        <w:bottom w:val="none" w:sz="0" w:space="0" w:color="auto"/>
        <w:right w:val="none" w:sz="0" w:space="0" w:color="auto"/>
      </w:divBdr>
    </w:div>
    <w:div w:id="605846871">
      <w:bodyDiv w:val="1"/>
      <w:marLeft w:val="0"/>
      <w:marRight w:val="0"/>
      <w:marTop w:val="0"/>
      <w:marBottom w:val="0"/>
      <w:divBdr>
        <w:top w:val="none" w:sz="0" w:space="0" w:color="auto"/>
        <w:left w:val="none" w:sz="0" w:space="0" w:color="auto"/>
        <w:bottom w:val="none" w:sz="0" w:space="0" w:color="auto"/>
        <w:right w:val="none" w:sz="0" w:space="0" w:color="auto"/>
      </w:divBdr>
    </w:div>
    <w:div w:id="610211396">
      <w:bodyDiv w:val="1"/>
      <w:marLeft w:val="0"/>
      <w:marRight w:val="0"/>
      <w:marTop w:val="0"/>
      <w:marBottom w:val="0"/>
      <w:divBdr>
        <w:top w:val="none" w:sz="0" w:space="0" w:color="auto"/>
        <w:left w:val="none" w:sz="0" w:space="0" w:color="auto"/>
        <w:bottom w:val="none" w:sz="0" w:space="0" w:color="auto"/>
        <w:right w:val="none" w:sz="0" w:space="0" w:color="auto"/>
      </w:divBdr>
    </w:div>
    <w:div w:id="614748444">
      <w:bodyDiv w:val="1"/>
      <w:marLeft w:val="0"/>
      <w:marRight w:val="0"/>
      <w:marTop w:val="0"/>
      <w:marBottom w:val="0"/>
      <w:divBdr>
        <w:top w:val="none" w:sz="0" w:space="0" w:color="auto"/>
        <w:left w:val="none" w:sz="0" w:space="0" w:color="auto"/>
        <w:bottom w:val="none" w:sz="0" w:space="0" w:color="auto"/>
        <w:right w:val="none" w:sz="0" w:space="0" w:color="auto"/>
      </w:divBdr>
    </w:div>
    <w:div w:id="615412385">
      <w:bodyDiv w:val="1"/>
      <w:marLeft w:val="0"/>
      <w:marRight w:val="0"/>
      <w:marTop w:val="0"/>
      <w:marBottom w:val="0"/>
      <w:divBdr>
        <w:top w:val="none" w:sz="0" w:space="0" w:color="auto"/>
        <w:left w:val="none" w:sz="0" w:space="0" w:color="auto"/>
        <w:bottom w:val="none" w:sz="0" w:space="0" w:color="auto"/>
        <w:right w:val="none" w:sz="0" w:space="0" w:color="auto"/>
      </w:divBdr>
    </w:div>
    <w:div w:id="618728199">
      <w:bodyDiv w:val="1"/>
      <w:marLeft w:val="0"/>
      <w:marRight w:val="0"/>
      <w:marTop w:val="0"/>
      <w:marBottom w:val="0"/>
      <w:divBdr>
        <w:top w:val="none" w:sz="0" w:space="0" w:color="auto"/>
        <w:left w:val="none" w:sz="0" w:space="0" w:color="auto"/>
        <w:bottom w:val="none" w:sz="0" w:space="0" w:color="auto"/>
        <w:right w:val="none" w:sz="0" w:space="0" w:color="auto"/>
      </w:divBdr>
    </w:div>
    <w:div w:id="622227232">
      <w:bodyDiv w:val="1"/>
      <w:marLeft w:val="0"/>
      <w:marRight w:val="0"/>
      <w:marTop w:val="0"/>
      <w:marBottom w:val="0"/>
      <w:divBdr>
        <w:top w:val="none" w:sz="0" w:space="0" w:color="auto"/>
        <w:left w:val="none" w:sz="0" w:space="0" w:color="auto"/>
        <w:bottom w:val="none" w:sz="0" w:space="0" w:color="auto"/>
        <w:right w:val="none" w:sz="0" w:space="0" w:color="auto"/>
      </w:divBdr>
    </w:div>
    <w:div w:id="622538874">
      <w:bodyDiv w:val="1"/>
      <w:marLeft w:val="0"/>
      <w:marRight w:val="0"/>
      <w:marTop w:val="0"/>
      <w:marBottom w:val="0"/>
      <w:divBdr>
        <w:top w:val="none" w:sz="0" w:space="0" w:color="auto"/>
        <w:left w:val="none" w:sz="0" w:space="0" w:color="auto"/>
        <w:bottom w:val="none" w:sz="0" w:space="0" w:color="auto"/>
        <w:right w:val="none" w:sz="0" w:space="0" w:color="auto"/>
      </w:divBdr>
    </w:div>
    <w:div w:id="628317814">
      <w:bodyDiv w:val="1"/>
      <w:marLeft w:val="0"/>
      <w:marRight w:val="0"/>
      <w:marTop w:val="0"/>
      <w:marBottom w:val="0"/>
      <w:divBdr>
        <w:top w:val="none" w:sz="0" w:space="0" w:color="auto"/>
        <w:left w:val="none" w:sz="0" w:space="0" w:color="auto"/>
        <w:bottom w:val="none" w:sz="0" w:space="0" w:color="auto"/>
        <w:right w:val="none" w:sz="0" w:space="0" w:color="auto"/>
      </w:divBdr>
    </w:div>
    <w:div w:id="628439161">
      <w:bodyDiv w:val="1"/>
      <w:marLeft w:val="0"/>
      <w:marRight w:val="0"/>
      <w:marTop w:val="0"/>
      <w:marBottom w:val="0"/>
      <w:divBdr>
        <w:top w:val="none" w:sz="0" w:space="0" w:color="auto"/>
        <w:left w:val="none" w:sz="0" w:space="0" w:color="auto"/>
        <w:bottom w:val="none" w:sz="0" w:space="0" w:color="auto"/>
        <w:right w:val="none" w:sz="0" w:space="0" w:color="auto"/>
      </w:divBdr>
      <w:divsChild>
        <w:div w:id="1240750754">
          <w:marLeft w:val="274"/>
          <w:marRight w:val="0"/>
          <w:marTop w:val="40"/>
          <w:marBottom w:val="40"/>
          <w:divBdr>
            <w:top w:val="none" w:sz="0" w:space="0" w:color="auto"/>
            <w:left w:val="none" w:sz="0" w:space="0" w:color="auto"/>
            <w:bottom w:val="none" w:sz="0" w:space="0" w:color="auto"/>
            <w:right w:val="none" w:sz="0" w:space="0" w:color="auto"/>
          </w:divBdr>
        </w:div>
      </w:divsChild>
    </w:div>
    <w:div w:id="629869984">
      <w:bodyDiv w:val="1"/>
      <w:marLeft w:val="0"/>
      <w:marRight w:val="0"/>
      <w:marTop w:val="0"/>
      <w:marBottom w:val="0"/>
      <w:divBdr>
        <w:top w:val="none" w:sz="0" w:space="0" w:color="auto"/>
        <w:left w:val="none" w:sz="0" w:space="0" w:color="auto"/>
        <w:bottom w:val="none" w:sz="0" w:space="0" w:color="auto"/>
        <w:right w:val="none" w:sz="0" w:space="0" w:color="auto"/>
      </w:divBdr>
    </w:div>
    <w:div w:id="635640884">
      <w:bodyDiv w:val="1"/>
      <w:marLeft w:val="0"/>
      <w:marRight w:val="0"/>
      <w:marTop w:val="0"/>
      <w:marBottom w:val="0"/>
      <w:divBdr>
        <w:top w:val="none" w:sz="0" w:space="0" w:color="auto"/>
        <w:left w:val="none" w:sz="0" w:space="0" w:color="auto"/>
        <w:bottom w:val="none" w:sz="0" w:space="0" w:color="auto"/>
        <w:right w:val="none" w:sz="0" w:space="0" w:color="auto"/>
      </w:divBdr>
    </w:div>
    <w:div w:id="636951920">
      <w:bodyDiv w:val="1"/>
      <w:marLeft w:val="0"/>
      <w:marRight w:val="0"/>
      <w:marTop w:val="0"/>
      <w:marBottom w:val="0"/>
      <w:divBdr>
        <w:top w:val="none" w:sz="0" w:space="0" w:color="auto"/>
        <w:left w:val="none" w:sz="0" w:space="0" w:color="auto"/>
        <w:bottom w:val="none" w:sz="0" w:space="0" w:color="auto"/>
        <w:right w:val="none" w:sz="0" w:space="0" w:color="auto"/>
      </w:divBdr>
    </w:div>
    <w:div w:id="643433065">
      <w:bodyDiv w:val="1"/>
      <w:marLeft w:val="0"/>
      <w:marRight w:val="0"/>
      <w:marTop w:val="0"/>
      <w:marBottom w:val="0"/>
      <w:divBdr>
        <w:top w:val="none" w:sz="0" w:space="0" w:color="auto"/>
        <w:left w:val="none" w:sz="0" w:space="0" w:color="auto"/>
        <w:bottom w:val="none" w:sz="0" w:space="0" w:color="auto"/>
        <w:right w:val="none" w:sz="0" w:space="0" w:color="auto"/>
      </w:divBdr>
    </w:div>
    <w:div w:id="644162304">
      <w:bodyDiv w:val="1"/>
      <w:marLeft w:val="0"/>
      <w:marRight w:val="0"/>
      <w:marTop w:val="0"/>
      <w:marBottom w:val="0"/>
      <w:divBdr>
        <w:top w:val="none" w:sz="0" w:space="0" w:color="auto"/>
        <w:left w:val="none" w:sz="0" w:space="0" w:color="auto"/>
        <w:bottom w:val="none" w:sz="0" w:space="0" w:color="auto"/>
        <w:right w:val="none" w:sz="0" w:space="0" w:color="auto"/>
      </w:divBdr>
    </w:div>
    <w:div w:id="648946117">
      <w:bodyDiv w:val="1"/>
      <w:marLeft w:val="0"/>
      <w:marRight w:val="0"/>
      <w:marTop w:val="0"/>
      <w:marBottom w:val="0"/>
      <w:divBdr>
        <w:top w:val="none" w:sz="0" w:space="0" w:color="auto"/>
        <w:left w:val="none" w:sz="0" w:space="0" w:color="auto"/>
        <w:bottom w:val="none" w:sz="0" w:space="0" w:color="auto"/>
        <w:right w:val="none" w:sz="0" w:space="0" w:color="auto"/>
      </w:divBdr>
    </w:div>
    <w:div w:id="657341542">
      <w:bodyDiv w:val="1"/>
      <w:marLeft w:val="0"/>
      <w:marRight w:val="0"/>
      <w:marTop w:val="0"/>
      <w:marBottom w:val="0"/>
      <w:divBdr>
        <w:top w:val="none" w:sz="0" w:space="0" w:color="auto"/>
        <w:left w:val="none" w:sz="0" w:space="0" w:color="auto"/>
        <w:bottom w:val="none" w:sz="0" w:space="0" w:color="auto"/>
        <w:right w:val="none" w:sz="0" w:space="0" w:color="auto"/>
      </w:divBdr>
    </w:div>
    <w:div w:id="660885621">
      <w:bodyDiv w:val="1"/>
      <w:marLeft w:val="0"/>
      <w:marRight w:val="0"/>
      <w:marTop w:val="0"/>
      <w:marBottom w:val="0"/>
      <w:divBdr>
        <w:top w:val="none" w:sz="0" w:space="0" w:color="auto"/>
        <w:left w:val="none" w:sz="0" w:space="0" w:color="auto"/>
        <w:bottom w:val="none" w:sz="0" w:space="0" w:color="auto"/>
        <w:right w:val="none" w:sz="0" w:space="0" w:color="auto"/>
      </w:divBdr>
    </w:div>
    <w:div w:id="667169702">
      <w:bodyDiv w:val="1"/>
      <w:marLeft w:val="0"/>
      <w:marRight w:val="0"/>
      <w:marTop w:val="0"/>
      <w:marBottom w:val="0"/>
      <w:divBdr>
        <w:top w:val="none" w:sz="0" w:space="0" w:color="auto"/>
        <w:left w:val="none" w:sz="0" w:space="0" w:color="auto"/>
        <w:bottom w:val="none" w:sz="0" w:space="0" w:color="auto"/>
        <w:right w:val="none" w:sz="0" w:space="0" w:color="auto"/>
      </w:divBdr>
    </w:div>
    <w:div w:id="668407090">
      <w:bodyDiv w:val="1"/>
      <w:marLeft w:val="0"/>
      <w:marRight w:val="0"/>
      <w:marTop w:val="0"/>
      <w:marBottom w:val="0"/>
      <w:divBdr>
        <w:top w:val="none" w:sz="0" w:space="0" w:color="auto"/>
        <w:left w:val="none" w:sz="0" w:space="0" w:color="auto"/>
        <w:bottom w:val="none" w:sz="0" w:space="0" w:color="auto"/>
        <w:right w:val="none" w:sz="0" w:space="0" w:color="auto"/>
      </w:divBdr>
      <w:divsChild>
        <w:div w:id="215431116">
          <w:marLeft w:val="274"/>
          <w:marRight w:val="0"/>
          <w:marTop w:val="40"/>
          <w:marBottom w:val="40"/>
          <w:divBdr>
            <w:top w:val="none" w:sz="0" w:space="0" w:color="auto"/>
            <w:left w:val="none" w:sz="0" w:space="0" w:color="auto"/>
            <w:bottom w:val="none" w:sz="0" w:space="0" w:color="auto"/>
            <w:right w:val="none" w:sz="0" w:space="0" w:color="auto"/>
          </w:divBdr>
        </w:div>
      </w:divsChild>
    </w:div>
    <w:div w:id="672293344">
      <w:bodyDiv w:val="1"/>
      <w:marLeft w:val="0"/>
      <w:marRight w:val="0"/>
      <w:marTop w:val="0"/>
      <w:marBottom w:val="0"/>
      <w:divBdr>
        <w:top w:val="none" w:sz="0" w:space="0" w:color="auto"/>
        <w:left w:val="none" w:sz="0" w:space="0" w:color="auto"/>
        <w:bottom w:val="none" w:sz="0" w:space="0" w:color="auto"/>
        <w:right w:val="none" w:sz="0" w:space="0" w:color="auto"/>
      </w:divBdr>
    </w:div>
    <w:div w:id="673455247">
      <w:bodyDiv w:val="1"/>
      <w:marLeft w:val="0"/>
      <w:marRight w:val="0"/>
      <w:marTop w:val="0"/>
      <w:marBottom w:val="0"/>
      <w:divBdr>
        <w:top w:val="none" w:sz="0" w:space="0" w:color="auto"/>
        <w:left w:val="none" w:sz="0" w:space="0" w:color="auto"/>
        <w:bottom w:val="none" w:sz="0" w:space="0" w:color="auto"/>
        <w:right w:val="none" w:sz="0" w:space="0" w:color="auto"/>
      </w:divBdr>
    </w:div>
    <w:div w:id="674764237">
      <w:bodyDiv w:val="1"/>
      <w:marLeft w:val="0"/>
      <w:marRight w:val="0"/>
      <w:marTop w:val="0"/>
      <w:marBottom w:val="0"/>
      <w:divBdr>
        <w:top w:val="none" w:sz="0" w:space="0" w:color="auto"/>
        <w:left w:val="none" w:sz="0" w:space="0" w:color="auto"/>
        <w:bottom w:val="none" w:sz="0" w:space="0" w:color="auto"/>
        <w:right w:val="none" w:sz="0" w:space="0" w:color="auto"/>
      </w:divBdr>
    </w:div>
    <w:div w:id="674845175">
      <w:bodyDiv w:val="1"/>
      <w:marLeft w:val="0"/>
      <w:marRight w:val="0"/>
      <w:marTop w:val="0"/>
      <w:marBottom w:val="0"/>
      <w:divBdr>
        <w:top w:val="none" w:sz="0" w:space="0" w:color="auto"/>
        <w:left w:val="none" w:sz="0" w:space="0" w:color="auto"/>
        <w:bottom w:val="none" w:sz="0" w:space="0" w:color="auto"/>
        <w:right w:val="none" w:sz="0" w:space="0" w:color="auto"/>
      </w:divBdr>
    </w:div>
    <w:div w:id="674846197">
      <w:bodyDiv w:val="1"/>
      <w:marLeft w:val="0"/>
      <w:marRight w:val="0"/>
      <w:marTop w:val="0"/>
      <w:marBottom w:val="0"/>
      <w:divBdr>
        <w:top w:val="none" w:sz="0" w:space="0" w:color="auto"/>
        <w:left w:val="none" w:sz="0" w:space="0" w:color="auto"/>
        <w:bottom w:val="none" w:sz="0" w:space="0" w:color="auto"/>
        <w:right w:val="none" w:sz="0" w:space="0" w:color="auto"/>
      </w:divBdr>
    </w:div>
    <w:div w:id="676659867">
      <w:bodyDiv w:val="1"/>
      <w:marLeft w:val="0"/>
      <w:marRight w:val="0"/>
      <w:marTop w:val="0"/>
      <w:marBottom w:val="0"/>
      <w:divBdr>
        <w:top w:val="none" w:sz="0" w:space="0" w:color="auto"/>
        <w:left w:val="none" w:sz="0" w:space="0" w:color="auto"/>
        <w:bottom w:val="none" w:sz="0" w:space="0" w:color="auto"/>
        <w:right w:val="none" w:sz="0" w:space="0" w:color="auto"/>
      </w:divBdr>
      <w:divsChild>
        <w:div w:id="154883268">
          <w:marLeft w:val="274"/>
          <w:marRight w:val="0"/>
          <w:marTop w:val="0"/>
          <w:marBottom w:val="0"/>
          <w:divBdr>
            <w:top w:val="none" w:sz="0" w:space="0" w:color="auto"/>
            <w:left w:val="none" w:sz="0" w:space="0" w:color="auto"/>
            <w:bottom w:val="none" w:sz="0" w:space="0" w:color="auto"/>
            <w:right w:val="none" w:sz="0" w:space="0" w:color="auto"/>
          </w:divBdr>
        </w:div>
        <w:div w:id="815680044">
          <w:marLeft w:val="994"/>
          <w:marRight w:val="0"/>
          <w:marTop w:val="0"/>
          <w:marBottom w:val="0"/>
          <w:divBdr>
            <w:top w:val="none" w:sz="0" w:space="0" w:color="auto"/>
            <w:left w:val="none" w:sz="0" w:space="0" w:color="auto"/>
            <w:bottom w:val="none" w:sz="0" w:space="0" w:color="auto"/>
            <w:right w:val="none" w:sz="0" w:space="0" w:color="auto"/>
          </w:divBdr>
        </w:div>
        <w:div w:id="1309358067">
          <w:marLeft w:val="994"/>
          <w:marRight w:val="0"/>
          <w:marTop w:val="0"/>
          <w:marBottom w:val="0"/>
          <w:divBdr>
            <w:top w:val="none" w:sz="0" w:space="0" w:color="auto"/>
            <w:left w:val="none" w:sz="0" w:space="0" w:color="auto"/>
            <w:bottom w:val="none" w:sz="0" w:space="0" w:color="auto"/>
            <w:right w:val="none" w:sz="0" w:space="0" w:color="auto"/>
          </w:divBdr>
        </w:div>
        <w:div w:id="1368064490">
          <w:marLeft w:val="994"/>
          <w:marRight w:val="0"/>
          <w:marTop w:val="0"/>
          <w:marBottom w:val="0"/>
          <w:divBdr>
            <w:top w:val="none" w:sz="0" w:space="0" w:color="auto"/>
            <w:left w:val="none" w:sz="0" w:space="0" w:color="auto"/>
            <w:bottom w:val="none" w:sz="0" w:space="0" w:color="auto"/>
            <w:right w:val="none" w:sz="0" w:space="0" w:color="auto"/>
          </w:divBdr>
        </w:div>
      </w:divsChild>
    </w:div>
    <w:div w:id="677581216">
      <w:bodyDiv w:val="1"/>
      <w:marLeft w:val="0"/>
      <w:marRight w:val="0"/>
      <w:marTop w:val="0"/>
      <w:marBottom w:val="0"/>
      <w:divBdr>
        <w:top w:val="none" w:sz="0" w:space="0" w:color="auto"/>
        <w:left w:val="none" w:sz="0" w:space="0" w:color="auto"/>
        <w:bottom w:val="none" w:sz="0" w:space="0" w:color="auto"/>
        <w:right w:val="none" w:sz="0" w:space="0" w:color="auto"/>
      </w:divBdr>
    </w:div>
    <w:div w:id="678584912">
      <w:bodyDiv w:val="1"/>
      <w:marLeft w:val="0"/>
      <w:marRight w:val="0"/>
      <w:marTop w:val="0"/>
      <w:marBottom w:val="0"/>
      <w:divBdr>
        <w:top w:val="none" w:sz="0" w:space="0" w:color="auto"/>
        <w:left w:val="none" w:sz="0" w:space="0" w:color="auto"/>
        <w:bottom w:val="none" w:sz="0" w:space="0" w:color="auto"/>
        <w:right w:val="none" w:sz="0" w:space="0" w:color="auto"/>
      </w:divBdr>
    </w:div>
    <w:div w:id="682517385">
      <w:bodyDiv w:val="1"/>
      <w:marLeft w:val="0"/>
      <w:marRight w:val="0"/>
      <w:marTop w:val="0"/>
      <w:marBottom w:val="0"/>
      <w:divBdr>
        <w:top w:val="none" w:sz="0" w:space="0" w:color="auto"/>
        <w:left w:val="none" w:sz="0" w:space="0" w:color="auto"/>
        <w:bottom w:val="none" w:sz="0" w:space="0" w:color="auto"/>
        <w:right w:val="none" w:sz="0" w:space="0" w:color="auto"/>
      </w:divBdr>
    </w:div>
    <w:div w:id="683631129">
      <w:bodyDiv w:val="1"/>
      <w:marLeft w:val="0"/>
      <w:marRight w:val="0"/>
      <w:marTop w:val="0"/>
      <w:marBottom w:val="0"/>
      <w:divBdr>
        <w:top w:val="none" w:sz="0" w:space="0" w:color="auto"/>
        <w:left w:val="none" w:sz="0" w:space="0" w:color="auto"/>
        <w:bottom w:val="none" w:sz="0" w:space="0" w:color="auto"/>
        <w:right w:val="none" w:sz="0" w:space="0" w:color="auto"/>
      </w:divBdr>
    </w:div>
    <w:div w:id="684593183">
      <w:bodyDiv w:val="1"/>
      <w:marLeft w:val="0"/>
      <w:marRight w:val="0"/>
      <w:marTop w:val="0"/>
      <w:marBottom w:val="0"/>
      <w:divBdr>
        <w:top w:val="none" w:sz="0" w:space="0" w:color="auto"/>
        <w:left w:val="none" w:sz="0" w:space="0" w:color="auto"/>
        <w:bottom w:val="none" w:sz="0" w:space="0" w:color="auto"/>
        <w:right w:val="none" w:sz="0" w:space="0" w:color="auto"/>
      </w:divBdr>
    </w:div>
    <w:div w:id="689382435">
      <w:bodyDiv w:val="1"/>
      <w:marLeft w:val="0"/>
      <w:marRight w:val="0"/>
      <w:marTop w:val="0"/>
      <w:marBottom w:val="0"/>
      <w:divBdr>
        <w:top w:val="none" w:sz="0" w:space="0" w:color="auto"/>
        <w:left w:val="none" w:sz="0" w:space="0" w:color="auto"/>
        <w:bottom w:val="none" w:sz="0" w:space="0" w:color="auto"/>
        <w:right w:val="none" w:sz="0" w:space="0" w:color="auto"/>
      </w:divBdr>
    </w:div>
    <w:div w:id="693307907">
      <w:bodyDiv w:val="1"/>
      <w:marLeft w:val="0"/>
      <w:marRight w:val="0"/>
      <w:marTop w:val="0"/>
      <w:marBottom w:val="0"/>
      <w:divBdr>
        <w:top w:val="none" w:sz="0" w:space="0" w:color="auto"/>
        <w:left w:val="none" w:sz="0" w:space="0" w:color="auto"/>
        <w:bottom w:val="none" w:sz="0" w:space="0" w:color="auto"/>
        <w:right w:val="none" w:sz="0" w:space="0" w:color="auto"/>
      </w:divBdr>
    </w:div>
    <w:div w:id="696782055">
      <w:bodyDiv w:val="1"/>
      <w:marLeft w:val="0"/>
      <w:marRight w:val="0"/>
      <w:marTop w:val="0"/>
      <w:marBottom w:val="0"/>
      <w:divBdr>
        <w:top w:val="none" w:sz="0" w:space="0" w:color="auto"/>
        <w:left w:val="none" w:sz="0" w:space="0" w:color="auto"/>
        <w:bottom w:val="none" w:sz="0" w:space="0" w:color="auto"/>
        <w:right w:val="none" w:sz="0" w:space="0" w:color="auto"/>
      </w:divBdr>
    </w:div>
    <w:div w:id="700787056">
      <w:bodyDiv w:val="1"/>
      <w:marLeft w:val="0"/>
      <w:marRight w:val="0"/>
      <w:marTop w:val="0"/>
      <w:marBottom w:val="0"/>
      <w:divBdr>
        <w:top w:val="none" w:sz="0" w:space="0" w:color="auto"/>
        <w:left w:val="none" w:sz="0" w:space="0" w:color="auto"/>
        <w:bottom w:val="none" w:sz="0" w:space="0" w:color="auto"/>
        <w:right w:val="none" w:sz="0" w:space="0" w:color="auto"/>
      </w:divBdr>
    </w:div>
    <w:div w:id="703139649">
      <w:bodyDiv w:val="1"/>
      <w:marLeft w:val="0"/>
      <w:marRight w:val="0"/>
      <w:marTop w:val="0"/>
      <w:marBottom w:val="0"/>
      <w:divBdr>
        <w:top w:val="none" w:sz="0" w:space="0" w:color="auto"/>
        <w:left w:val="none" w:sz="0" w:space="0" w:color="auto"/>
        <w:bottom w:val="none" w:sz="0" w:space="0" w:color="auto"/>
        <w:right w:val="none" w:sz="0" w:space="0" w:color="auto"/>
      </w:divBdr>
    </w:div>
    <w:div w:id="704214334">
      <w:bodyDiv w:val="1"/>
      <w:marLeft w:val="0"/>
      <w:marRight w:val="0"/>
      <w:marTop w:val="0"/>
      <w:marBottom w:val="0"/>
      <w:divBdr>
        <w:top w:val="none" w:sz="0" w:space="0" w:color="auto"/>
        <w:left w:val="none" w:sz="0" w:space="0" w:color="auto"/>
        <w:bottom w:val="none" w:sz="0" w:space="0" w:color="auto"/>
        <w:right w:val="none" w:sz="0" w:space="0" w:color="auto"/>
      </w:divBdr>
      <w:divsChild>
        <w:div w:id="362171107">
          <w:marLeft w:val="274"/>
          <w:marRight w:val="0"/>
          <w:marTop w:val="60"/>
          <w:marBottom w:val="60"/>
          <w:divBdr>
            <w:top w:val="none" w:sz="0" w:space="0" w:color="auto"/>
            <w:left w:val="none" w:sz="0" w:space="0" w:color="auto"/>
            <w:bottom w:val="none" w:sz="0" w:space="0" w:color="auto"/>
            <w:right w:val="none" w:sz="0" w:space="0" w:color="auto"/>
          </w:divBdr>
        </w:div>
        <w:div w:id="479003550">
          <w:marLeft w:val="274"/>
          <w:marRight w:val="0"/>
          <w:marTop w:val="60"/>
          <w:marBottom w:val="60"/>
          <w:divBdr>
            <w:top w:val="none" w:sz="0" w:space="0" w:color="auto"/>
            <w:left w:val="none" w:sz="0" w:space="0" w:color="auto"/>
            <w:bottom w:val="none" w:sz="0" w:space="0" w:color="auto"/>
            <w:right w:val="none" w:sz="0" w:space="0" w:color="auto"/>
          </w:divBdr>
        </w:div>
        <w:div w:id="551112230">
          <w:marLeft w:val="274"/>
          <w:marRight w:val="0"/>
          <w:marTop w:val="60"/>
          <w:marBottom w:val="60"/>
          <w:divBdr>
            <w:top w:val="none" w:sz="0" w:space="0" w:color="auto"/>
            <w:left w:val="none" w:sz="0" w:space="0" w:color="auto"/>
            <w:bottom w:val="none" w:sz="0" w:space="0" w:color="auto"/>
            <w:right w:val="none" w:sz="0" w:space="0" w:color="auto"/>
          </w:divBdr>
        </w:div>
        <w:div w:id="755135405">
          <w:marLeft w:val="274"/>
          <w:marRight w:val="0"/>
          <w:marTop w:val="60"/>
          <w:marBottom w:val="60"/>
          <w:divBdr>
            <w:top w:val="none" w:sz="0" w:space="0" w:color="auto"/>
            <w:left w:val="none" w:sz="0" w:space="0" w:color="auto"/>
            <w:bottom w:val="none" w:sz="0" w:space="0" w:color="auto"/>
            <w:right w:val="none" w:sz="0" w:space="0" w:color="auto"/>
          </w:divBdr>
        </w:div>
      </w:divsChild>
    </w:div>
    <w:div w:id="705103100">
      <w:bodyDiv w:val="1"/>
      <w:marLeft w:val="0"/>
      <w:marRight w:val="0"/>
      <w:marTop w:val="0"/>
      <w:marBottom w:val="0"/>
      <w:divBdr>
        <w:top w:val="none" w:sz="0" w:space="0" w:color="auto"/>
        <w:left w:val="none" w:sz="0" w:space="0" w:color="auto"/>
        <w:bottom w:val="none" w:sz="0" w:space="0" w:color="auto"/>
        <w:right w:val="none" w:sz="0" w:space="0" w:color="auto"/>
      </w:divBdr>
    </w:div>
    <w:div w:id="706105105">
      <w:bodyDiv w:val="1"/>
      <w:marLeft w:val="0"/>
      <w:marRight w:val="0"/>
      <w:marTop w:val="0"/>
      <w:marBottom w:val="0"/>
      <w:divBdr>
        <w:top w:val="none" w:sz="0" w:space="0" w:color="auto"/>
        <w:left w:val="none" w:sz="0" w:space="0" w:color="auto"/>
        <w:bottom w:val="none" w:sz="0" w:space="0" w:color="auto"/>
        <w:right w:val="none" w:sz="0" w:space="0" w:color="auto"/>
      </w:divBdr>
      <w:divsChild>
        <w:div w:id="892884622">
          <w:marLeft w:val="274"/>
          <w:marRight w:val="0"/>
          <w:marTop w:val="40"/>
          <w:marBottom w:val="40"/>
          <w:divBdr>
            <w:top w:val="none" w:sz="0" w:space="0" w:color="auto"/>
            <w:left w:val="none" w:sz="0" w:space="0" w:color="auto"/>
            <w:bottom w:val="none" w:sz="0" w:space="0" w:color="auto"/>
            <w:right w:val="none" w:sz="0" w:space="0" w:color="auto"/>
          </w:divBdr>
        </w:div>
      </w:divsChild>
    </w:div>
    <w:div w:id="707997252">
      <w:bodyDiv w:val="1"/>
      <w:marLeft w:val="0"/>
      <w:marRight w:val="0"/>
      <w:marTop w:val="0"/>
      <w:marBottom w:val="0"/>
      <w:divBdr>
        <w:top w:val="none" w:sz="0" w:space="0" w:color="auto"/>
        <w:left w:val="none" w:sz="0" w:space="0" w:color="auto"/>
        <w:bottom w:val="none" w:sz="0" w:space="0" w:color="auto"/>
        <w:right w:val="none" w:sz="0" w:space="0" w:color="auto"/>
      </w:divBdr>
    </w:div>
    <w:div w:id="709380953">
      <w:bodyDiv w:val="1"/>
      <w:marLeft w:val="0"/>
      <w:marRight w:val="0"/>
      <w:marTop w:val="0"/>
      <w:marBottom w:val="0"/>
      <w:divBdr>
        <w:top w:val="none" w:sz="0" w:space="0" w:color="auto"/>
        <w:left w:val="none" w:sz="0" w:space="0" w:color="auto"/>
        <w:bottom w:val="none" w:sz="0" w:space="0" w:color="auto"/>
        <w:right w:val="none" w:sz="0" w:space="0" w:color="auto"/>
      </w:divBdr>
      <w:divsChild>
        <w:div w:id="846559572">
          <w:marLeft w:val="274"/>
          <w:marRight w:val="0"/>
          <w:marTop w:val="60"/>
          <w:marBottom w:val="60"/>
          <w:divBdr>
            <w:top w:val="none" w:sz="0" w:space="0" w:color="auto"/>
            <w:left w:val="none" w:sz="0" w:space="0" w:color="auto"/>
            <w:bottom w:val="none" w:sz="0" w:space="0" w:color="auto"/>
            <w:right w:val="none" w:sz="0" w:space="0" w:color="auto"/>
          </w:divBdr>
        </w:div>
      </w:divsChild>
    </w:div>
    <w:div w:id="723022386">
      <w:bodyDiv w:val="1"/>
      <w:marLeft w:val="0"/>
      <w:marRight w:val="0"/>
      <w:marTop w:val="0"/>
      <w:marBottom w:val="0"/>
      <w:divBdr>
        <w:top w:val="none" w:sz="0" w:space="0" w:color="auto"/>
        <w:left w:val="none" w:sz="0" w:space="0" w:color="auto"/>
        <w:bottom w:val="none" w:sz="0" w:space="0" w:color="auto"/>
        <w:right w:val="none" w:sz="0" w:space="0" w:color="auto"/>
      </w:divBdr>
    </w:div>
    <w:div w:id="727218432">
      <w:bodyDiv w:val="1"/>
      <w:marLeft w:val="0"/>
      <w:marRight w:val="0"/>
      <w:marTop w:val="0"/>
      <w:marBottom w:val="0"/>
      <w:divBdr>
        <w:top w:val="none" w:sz="0" w:space="0" w:color="auto"/>
        <w:left w:val="none" w:sz="0" w:space="0" w:color="auto"/>
        <w:bottom w:val="none" w:sz="0" w:space="0" w:color="auto"/>
        <w:right w:val="none" w:sz="0" w:space="0" w:color="auto"/>
      </w:divBdr>
    </w:div>
    <w:div w:id="741758085">
      <w:bodyDiv w:val="1"/>
      <w:marLeft w:val="0"/>
      <w:marRight w:val="0"/>
      <w:marTop w:val="0"/>
      <w:marBottom w:val="0"/>
      <w:divBdr>
        <w:top w:val="none" w:sz="0" w:space="0" w:color="auto"/>
        <w:left w:val="none" w:sz="0" w:space="0" w:color="auto"/>
        <w:bottom w:val="none" w:sz="0" w:space="0" w:color="auto"/>
        <w:right w:val="none" w:sz="0" w:space="0" w:color="auto"/>
      </w:divBdr>
      <w:divsChild>
        <w:div w:id="97413969">
          <w:marLeft w:val="274"/>
          <w:marRight w:val="0"/>
          <w:marTop w:val="0"/>
          <w:marBottom w:val="0"/>
          <w:divBdr>
            <w:top w:val="none" w:sz="0" w:space="0" w:color="auto"/>
            <w:left w:val="none" w:sz="0" w:space="0" w:color="auto"/>
            <w:bottom w:val="none" w:sz="0" w:space="0" w:color="auto"/>
            <w:right w:val="none" w:sz="0" w:space="0" w:color="auto"/>
          </w:divBdr>
        </w:div>
      </w:divsChild>
    </w:div>
    <w:div w:id="755400697">
      <w:bodyDiv w:val="1"/>
      <w:marLeft w:val="0"/>
      <w:marRight w:val="0"/>
      <w:marTop w:val="0"/>
      <w:marBottom w:val="0"/>
      <w:divBdr>
        <w:top w:val="none" w:sz="0" w:space="0" w:color="auto"/>
        <w:left w:val="none" w:sz="0" w:space="0" w:color="auto"/>
        <w:bottom w:val="none" w:sz="0" w:space="0" w:color="auto"/>
        <w:right w:val="none" w:sz="0" w:space="0" w:color="auto"/>
      </w:divBdr>
    </w:div>
    <w:div w:id="756438772">
      <w:bodyDiv w:val="1"/>
      <w:marLeft w:val="0"/>
      <w:marRight w:val="0"/>
      <w:marTop w:val="0"/>
      <w:marBottom w:val="0"/>
      <w:divBdr>
        <w:top w:val="none" w:sz="0" w:space="0" w:color="auto"/>
        <w:left w:val="none" w:sz="0" w:space="0" w:color="auto"/>
        <w:bottom w:val="none" w:sz="0" w:space="0" w:color="auto"/>
        <w:right w:val="none" w:sz="0" w:space="0" w:color="auto"/>
      </w:divBdr>
    </w:div>
    <w:div w:id="757409176">
      <w:bodyDiv w:val="1"/>
      <w:marLeft w:val="0"/>
      <w:marRight w:val="0"/>
      <w:marTop w:val="0"/>
      <w:marBottom w:val="0"/>
      <w:divBdr>
        <w:top w:val="none" w:sz="0" w:space="0" w:color="auto"/>
        <w:left w:val="none" w:sz="0" w:space="0" w:color="auto"/>
        <w:bottom w:val="none" w:sz="0" w:space="0" w:color="auto"/>
        <w:right w:val="none" w:sz="0" w:space="0" w:color="auto"/>
      </w:divBdr>
    </w:div>
    <w:div w:id="759528723">
      <w:bodyDiv w:val="1"/>
      <w:marLeft w:val="0"/>
      <w:marRight w:val="0"/>
      <w:marTop w:val="0"/>
      <w:marBottom w:val="0"/>
      <w:divBdr>
        <w:top w:val="none" w:sz="0" w:space="0" w:color="auto"/>
        <w:left w:val="none" w:sz="0" w:space="0" w:color="auto"/>
        <w:bottom w:val="none" w:sz="0" w:space="0" w:color="auto"/>
        <w:right w:val="none" w:sz="0" w:space="0" w:color="auto"/>
      </w:divBdr>
    </w:div>
    <w:div w:id="762871463">
      <w:bodyDiv w:val="1"/>
      <w:marLeft w:val="0"/>
      <w:marRight w:val="0"/>
      <w:marTop w:val="0"/>
      <w:marBottom w:val="0"/>
      <w:divBdr>
        <w:top w:val="none" w:sz="0" w:space="0" w:color="auto"/>
        <w:left w:val="none" w:sz="0" w:space="0" w:color="auto"/>
        <w:bottom w:val="none" w:sz="0" w:space="0" w:color="auto"/>
        <w:right w:val="none" w:sz="0" w:space="0" w:color="auto"/>
      </w:divBdr>
    </w:div>
    <w:div w:id="764963868">
      <w:bodyDiv w:val="1"/>
      <w:marLeft w:val="0"/>
      <w:marRight w:val="0"/>
      <w:marTop w:val="0"/>
      <w:marBottom w:val="0"/>
      <w:divBdr>
        <w:top w:val="none" w:sz="0" w:space="0" w:color="auto"/>
        <w:left w:val="none" w:sz="0" w:space="0" w:color="auto"/>
        <w:bottom w:val="none" w:sz="0" w:space="0" w:color="auto"/>
        <w:right w:val="none" w:sz="0" w:space="0" w:color="auto"/>
      </w:divBdr>
    </w:div>
    <w:div w:id="770513124">
      <w:bodyDiv w:val="1"/>
      <w:marLeft w:val="0"/>
      <w:marRight w:val="0"/>
      <w:marTop w:val="0"/>
      <w:marBottom w:val="0"/>
      <w:divBdr>
        <w:top w:val="none" w:sz="0" w:space="0" w:color="auto"/>
        <w:left w:val="none" w:sz="0" w:space="0" w:color="auto"/>
        <w:bottom w:val="none" w:sz="0" w:space="0" w:color="auto"/>
        <w:right w:val="none" w:sz="0" w:space="0" w:color="auto"/>
      </w:divBdr>
    </w:div>
    <w:div w:id="779111845">
      <w:bodyDiv w:val="1"/>
      <w:marLeft w:val="0"/>
      <w:marRight w:val="0"/>
      <w:marTop w:val="0"/>
      <w:marBottom w:val="0"/>
      <w:divBdr>
        <w:top w:val="none" w:sz="0" w:space="0" w:color="auto"/>
        <w:left w:val="none" w:sz="0" w:space="0" w:color="auto"/>
        <w:bottom w:val="none" w:sz="0" w:space="0" w:color="auto"/>
        <w:right w:val="none" w:sz="0" w:space="0" w:color="auto"/>
      </w:divBdr>
    </w:div>
    <w:div w:id="783235686">
      <w:bodyDiv w:val="1"/>
      <w:marLeft w:val="0"/>
      <w:marRight w:val="0"/>
      <w:marTop w:val="0"/>
      <w:marBottom w:val="0"/>
      <w:divBdr>
        <w:top w:val="none" w:sz="0" w:space="0" w:color="auto"/>
        <w:left w:val="none" w:sz="0" w:space="0" w:color="auto"/>
        <w:bottom w:val="none" w:sz="0" w:space="0" w:color="auto"/>
        <w:right w:val="none" w:sz="0" w:space="0" w:color="auto"/>
      </w:divBdr>
    </w:div>
    <w:div w:id="783621944">
      <w:bodyDiv w:val="1"/>
      <w:marLeft w:val="0"/>
      <w:marRight w:val="0"/>
      <w:marTop w:val="0"/>
      <w:marBottom w:val="0"/>
      <w:divBdr>
        <w:top w:val="none" w:sz="0" w:space="0" w:color="auto"/>
        <w:left w:val="none" w:sz="0" w:space="0" w:color="auto"/>
        <w:bottom w:val="none" w:sz="0" w:space="0" w:color="auto"/>
        <w:right w:val="none" w:sz="0" w:space="0" w:color="auto"/>
      </w:divBdr>
    </w:div>
    <w:div w:id="791553269">
      <w:bodyDiv w:val="1"/>
      <w:marLeft w:val="0"/>
      <w:marRight w:val="0"/>
      <w:marTop w:val="0"/>
      <w:marBottom w:val="0"/>
      <w:divBdr>
        <w:top w:val="none" w:sz="0" w:space="0" w:color="auto"/>
        <w:left w:val="none" w:sz="0" w:space="0" w:color="auto"/>
        <w:bottom w:val="none" w:sz="0" w:space="0" w:color="auto"/>
        <w:right w:val="none" w:sz="0" w:space="0" w:color="auto"/>
      </w:divBdr>
      <w:divsChild>
        <w:div w:id="1713993821">
          <w:marLeft w:val="274"/>
          <w:marRight w:val="0"/>
          <w:marTop w:val="0"/>
          <w:marBottom w:val="0"/>
          <w:divBdr>
            <w:top w:val="none" w:sz="0" w:space="0" w:color="auto"/>
            <w:left w:val="none" w:sz="0" w:space="0" w:color="auto"/>
            <w:bottom w:val="none" w:sz="0" w:space="0" w:color="auto"/>
            <w:right w:val="none" w:sz="0" w:space="0" w:color="auto"/>
          </w:divBdr>
        </w:div>
      </w:divsChild>
    </w:div>
    <w:div w:id="798569050">
      <w:bodyDiv w:val="1"/>
      <w:marLeft w:val="0"/>
      <w:marRight w:val="0"/>
      <w:marTop w:val="0"/>
      <w:marBottom w:val="0"/>
      <w:divBdr>
        <w:top w:val="none" w:sz="0" w:space="0" w:color="auto"/>
        <w:left w:val="none" w:sz="0" w:space="0" w:color="auto"/>
        <w:bottom w:val="none" w:sz="0" w:space="0" w:color="auto"/>
        <w:right w:val="none" w:sz="0" w:space="0" w:color="auto"/>
      </w:divBdr>
    </w:div>
    <w:div w:id="799305243">
      <w:bodyDiv w:val="1"/>
      <w:marLeft w:val="0"/>
      <w:marRight w:val="0"/>
      <w:marTop w:val="0"/>
      <w:marBottom w:val="0"/>
      <w:divBdr>
        <w:top w:val="none" w:sz="0" w:space="0" w:color="auto"/>
        <w:left w:val="none" w:sz="0" w:space="0" w:color="auto"/>
        <w:bottom w:val="none" w:sz="0" w:space="0" w:color="auto"/>
        <w:right w:val="none" w:sz="0" w:space="0" w:color="auto"/>
      </w:divBdr>
    </w:div>
    <w:div w:id="826094540">
      <w:bodyDiv w:val="1"/>
      <w:marLeft w:val="0"/>
      <w:marRight w:val="0"/>
      <w:marTop w:val="0"/>
      <w:marBottom w:val="0"/>
      <w:divBdr>
        <w:top w:val="none" w:sz="0" w:space="0" w:color="auto"/>
        <w:left w:val="none" w:sz="0" w:space="0" w:color="auto"/>
        <w:bottom w:val="none" w:sz="0" w:space="0" w:color="auto"/>
        <w:right w:val="none" w:sz="0" w:space="0" w:color="auto"/>
      </w:divBdr>
    </w:div>
    <w:div w:id="827209658">
      <w:bodyDiv w:val="1"/>
      <w:marLeft w:val="0"/>
      <w:marRight w:val="0"/>
      <w:marTop w:val="0"/>
      <w:marBottom w:val="0"/>
      <w:divBdr>
        <w:top w:val="none" w:sz="0" w:space="0" w:color="auto"/>
        <w:left w:val="none" w:sz="0" w:space="0" w:color="auto"/>
        <w:bottom w:val="none" w:sz="0" w:space="0" w:color="auto"/>
        <w:right w:val="none" w:sz="0" w:space="0" w:color="auto"/>
      </w:divBdr>
    </w:div>
    <w:div w:id="831026828">
      <w:bodyDiv w:val="1"/>
      <w:marLeft w:val="0"/>
      <w:marRight w:val="0"/>
      <w:marTop w:val="0"/>
      <w:marBottom w:val="0"/>
      <w:divBdr>
        <w:top w:val="none" w:sz="0" w:space="0" w:color="auto"/>
        <w:left w:val="none" w:sz="0" w:space="0" w:color="auto"/>
        <w:bottom w:val="none" w:sz="0" w:space="0" w:color="auto"/>
        <w:right w:val="none" w:sz="0" w:space="0" w:color="auto"/>
      </w:divBdr>
    </w:div>
    <w:div w:id="831994432">
      <w:bodyDiv w:val="1"/>
      <w:marLeft w:val="0"/>
      <w:marRight w:val="0"/>
      <w:marTop w:val="0"/>
      <w:marBottom w:val="0"/>
      <w:divBdr>
        <w:top w:val="none" w:sz="0" w:space="0" w:color="auto"/>
        <w:left w:val="none" w:sz="0" w:space="0" w:color="auto"/>
        <w:bottom w:val="none" w:sz="0" w:space="0" w:color="auto"/>
        <w:right w:val="none" w:sz="0" w:space="0" w:color="auto"/>
      </w:divBdr>
    </w:div>
    <w:div w:id="835612428">
      <w:bodyDiv w:val="1"/>
      <w:marLeft w:val="0"/>
      <w:marRight w:val="0"/>
      <w:marTop w:val="0"/>
      <w:marBottom w:val="0"/>
      <w:divBdr>
        <w:top w:val="none" w:sz="0" w:space="0" w:color="auto"/>
        <w:left w:val="none" w:sz="0" w:space="0" w:color="auto"/>
        <w:bottom w:val="none" w:sz="0" w:space="0" w:color="auto"/>
        <w:right w:val="none" w:sz="0" w:space="0" w:color="auto"/>
      </w:divBdr>
      <w:divsChild>
        <w:div w:id="1389649921">
          <w:marLeft w:val="0"/>
          <w:marRight w:val="0"/>
          <w:marTop w:val="0"/>
          <w:marBottom w:val="0"/>
          <w:divBdr>
            <w:top w:val="none" w:sz="0" w:space="0" w:color="auto"/>
            <w:left w:val="none" w:sz="0" w:space="0" w:color="auto"/>
            <w:bottom w:val="none" w:sz="0" w:space="0" w:color="auto"/>
            <w:right w:val="none" w:sz="0" w:space="0" w:color="auto"/>
          </w:divBdr>
        </w:div>
      </w:divsChild>
    </w:div>
    <w:div w:id="839926371">
      <w:bodyDiv w:val="1"/>
      <w:marLeft w:val="0"/>
      <w:marRight w:val="0"/>
      <w:marTop w:val="0"/>
      <w:marBottom w:val="0"/>
      <w:divBdr>
        <w:top w:val="none" w:sz="0" w:space="0" w:color="auto"/>
        <w:left w:val="none" w:sz="0" w:space="0" w:color="auto"/>
        <w:bottom w:val="none" w:sz="0" w:space="0" w:color="auto"/>
        <w:right w:val="none" w:sz="0" w:space="0" w:color="auto"/>
      </w:divBdr>
    </w:div>
    <w:div w:id="843861979">
      <w:bodyDiv w:val="1"/>
      <w:marLeft w:val="0"/>
      <w:marRight w:val="0"/>
      <w:marTop w:val="0"/>
      <w:marBottom w:val="0"/>
      <w:divBdr>
        <w:top w:val="none" w:sz="0" w:space="0" w:color="auto"/>
        <w:left w:val="none" w:sz="0" w:space="0" w:color="auto"/>
        <w:bottom w:val="none" w:sz="0" w:space="0" w:color="auto"/>
        <w:right w:val="none" w:sz="0" w:space="0" w:color="auto"/>
      </w:divBdr>
    </w:div>
    <w:div w:id="844436915">
      <w:bodyDiv w:val="1"/>
      <w:marLeft w:val="0"/>
      <w:marRight w:val="0"/>
      <w:marTop w:val="0"/>
      <w:marBottom w:val="0"/>
      <w:divBdr>
        <w:top w:val="none" w:sz="0" w:space="0" w:color="auto"/>
        <w:left w:val="none" w:sz="0" w:space="0" w:color="auto"/>
        <w:bottom w:val="none" w:sz="0" w:space="0" w:color="auto"/>
        <w:right w:val="none" w:sz="0" w:space="0" w:color="auto"/>
      </w:divBdr>
      <w:divsChild>
        <w:div w:id="852383201">
          <w:marLeft w:val="274"/>
          <w:marRight w:val="0"/>
          <w:marTop w:val="40"/>
          <w:marBottom w:val="40"/>
          <w:divBdr>
            <w:top w:val="none" w:sz="0" w:space="0" w:color="auto"/>
            <w:left w:val="none" w:sz="0" w:space="0" w:color="auto"/>
            <w:bottom w:val="none" w:sz="0" w:space="0" w:color="auto"/>
            <w:right w:val="none" w:sz="0" w:space="0" w:color="auto"/>
          </w:divBdr>
        </w:div>
      </w:divsChild>
    </w:div>
    <w:div w:id="851145648">
      <w:bodyDiv w:val="1"/>
      <w:marLeft w:val="0"/>
      <w:marRight w:val="0"/>
      <w:marTop w:val="0"/>
      <w:marBottom w:val="0"/>
      <w:divBdr>
        <w:top w:val="none" w:sz="0" w:space="0" w:color="auto"/>
        <w:left w:val="none" w:sz="0" w:space="0" w:color="auto"/>
        <w:bottom w:val="none" w:sz="0" w:space="0" w:color="auto"/>
        <w:right w:val="none" w:sz="0" w:space="0" w:color="auto"/>
      </w:divBdr>
    </w:div>
    <w:div w:id="851993272">
      <w:bodyDiv w:val="1"/>
      <w:marLeft w:val="0"/>
      <w:marRight w:val="0"/>
      <w:marTop w:val="0"/>
      <w:marBottom w:val="0"/>
      <w:divBdr>
        <w:top w:val="none" w:sz="0" w:space="0" w:color="auto"/>
        <w:left w:val="none" w:sz="0" w:space="0" w:color="auto"/>
        <w:bottom w:val="none" w:sz="0" w:space="0" w:color="auto"/>
        <w:right w:val="none" w:sz="0" w:space="0" w:color="auto"/>
      </w:divBdr>
      <w:divsChild>
        <w:div w:id="1947423701">
          <w:marLeft w:val="274"/>
          <w:marRight w:val="0"/>
          <w:marTop w:val="40"/>
          <w:marBottom w:val="40"/>
          <w:divBdr>
            <w:top w:val="none" w:sz="0" w:space="0" w:color="auto"/>
            <w:left w:val="none" w:sz="0" w:space="0" w:color="auto"/>
            <w:bottom w:val="none" w:sz="0" w:space="0" w:color="auto"/>
            <w:right w:val="none" w:sz="0" w:space="0" w:color="auto"/>
          </w:divBdr>
        </w:div>
      </w:divsChild>
    </w:div>
    <w:div w:id="853496278">
      <w:bodyDiv w:val="1"/>
      <w:marLeft w:val="0"/>
      <w:marRight w:val="0"/>
      <w:marTop w:val="0"/>
      <w:marBottom w:val="0"/>
      <w:divBdr>
        <w:top w:val="none" w:sz="0" w:space="0" w:color="auto"/>
        <w:left w:val="none" w:sz="0" w:space="0" w:color="auto"/>
        <w:bottom w:val="none" w:sz="0" w:space="0" w:color="auto"/>
        <w:right w:val="none" w:sz="0" w:space="0" w:color="auto"/>
      </w:divBdr>
    </w:div>
    <w:div w:id="858273882">
      <w:bodyDiv w:val="1"/>
      <w:marLeft w:val="0"/>
      <w:marRight w:val="0"/>
      <w:marTop w:val="0"/>
      <w:marBottom w:val="0"/>
      <w:divBdr>
        <w:top w:val="none" w:sz="0" w:space="0" w:color="auto"/>
        <w:left w:val="none" w:sz="0" w:space="0" w:color="auto"/>
        <w:bottom w:val="none" w:sz="0" w:space="0" w:color="auto"/>
        <w:right w:val="none" w:sz="0" w:space="0" w:color="auto"/>
      </w:divBdr>
    </w:div>
    <w:div w:id="860554580">
      <w:bodyDiv w:val="1"/>
      <w:marLeft w:val="0"/>
      <w:marRight w:val="0"/>
      <w:marTop w:val="0"/>
      <w:marBottom w:val="0"/>
      <w:divBdr>
        <w:top w:val="none" w:sz="0" w:space="0" w:color="auto"/>
        <w:left w:val="none" w:sz="0" w:space="0" w:color="auto"/>
        <w:bottom w:val="none" w:sz="0" w:space="0" w:color="auto"/>
        <w:right w:val="none" w:sz="0" w:space="0" w:color="auto"/>
      </w:divBdr>
    </w:div>
    <w:div w:id="862867774">
      <w:bodyDiv w:val="1"/>
      <w:marLeft w:val="0"/>
      <w:marRight w:val="0"/>
      <w:marTop w:val="0"/>
      <w:marBottom w:val="0"/>
      <w:divBdr>
        <w:top w:val="none" w:sz="0" w:space="0" w:color="auto"/>
        <w:left w:val="none" w:sz="0" w:space="0" w:color="auto"/>
        <w:bottom w:val="none" w:sz="0" w:space="0" w:color="auto"/>
        <w:right w:val="none" w:sz="0" w:space="0" w:color="auto"/>
      </w:divBdr>
    </w:div>
    <w:div w:id="864908654">
      <w:bodyDiv w:val="1"/>
      <w:marLeft w:val="0"/>
      <w:marRight w:val="0"/>
      <w:marTop w:val="0"/>
      <w:marBottom w:val="0"/>
      <w:divBdr>
        <w:top w:val="none" w:sz="0" w:space="0" w:color="auto"/>
        <w:left w:val="none" w:sz="0" w:space="0" w:color="auto"/>
        <w:bottom w:val="none" w:sz="0" w:space="0" w:color="auto"/>
        <w:right w:val="none" w:sz="0" w:space="0" w:color="auto"/>
      </w:divBdr>
    </w:div>
    <w:div w:id="868418665">
      <w:bodyDiv w:val="1"/>
      <w:marLeft w:val="0"/>
      <w:marRight w:val="0"/>
      <w:marTop w:val="0"/>
      <w:marBottom w:val="0"/>
      <w:divBdr>
        <w:top w:val="none" w:sz="0" w:space="0" w:color="auto"/>
        <w:left w:val="none" w:sz="0" w:space="0" w:color="auto"/>
        <w:bottom w:val="none" w:sz="0" w:space="0" w:color="auto"/>
        <w:right w:val="none" w:sz="0" w:space="0" w:color="auto"/>
      </w:divBdr>
    </w:div>
    <w:div w:id="870340533">
      <w:bodyDiv w:val="1"/>
      <w:marLeft w:val="0"/>
      <w:marRight w:val="0"/>
      <w:marTop w:val="0"/>
      <w:marBottom w:val="0"/>
      <w:divBdr>
        <w:top w:val="none" w:sz="0" w:space="0" w:color="auto"/>
        <w:left w:val="none" w:sz="0" w:space="0" w:color="auto"/>
        <w:bottom w:val="none" w:sz="0" w:space="0" w:color="auto"/>
        <w:right w:val="none" w:sz="0" w:space="0" w:color="auto"/>
      </w:divBdr>
    </w:div>
    <w:div w:id="872500835">
      <w:bodyDiv w:val="1"/>
      <w:marLeft w:val="0"/>
      <w:marRight w:val="0"/>
      <w:marTop w:val="0"/>
      <w:marBottom w:val="0"/>
      <w:divBdr>
        <w:top w:val="none" w:sz="0" w:space="0" w:color="auto"/>
        <w:left w:val="none" w:sz="0" w:space="0" w:color="auto"/>
        <w:bottom w:val="none" w:sz="0" w:space="0" w:color="auto"/>
        <w:right w:val="none" w:sz="0" w:space="0" w:color="auto"/>
      </w:divBdr>
    </w:div>
    <w:div w:id="873999610">
      <w:bodyDiv w:val="1"/>
      <w:marLeft w:val="0"/>
      <w:marRight w:val="0"/>
      <w:marTop w:val="0"/>
      <w:marBottom w:val="0"/>
      <w:divBdr>
        <w:top w:val="none" w:sz="0" w:space="0" w:color="auto"/>
        <w:left w:val="none" w:sz="0" w:space="0" w:color="auto"/>
        <w:bottom w:val="none" w:sz="0" w:space="0" w:color="auto"/>
        <w:right w:val="none" w:sz="0" w:space="0" w:color="auto"/>
      </w:divBdr>
    </w:div>
    <w:div w:id="874847529">
      <w:bodyDiv w:val="1"/>
      <w:marLeft w:val="0"/>
      <w:marRight w:val="0"/>
      <w:marTop w:val="0"/>
      <w:marBottom w:val="0"/>
      <w:divBdr>
        <w:top w:val="none" w:sz="0" w:space="0" w:color="auto"/>
        <w:left w:val="none" w:sz="0" w:space="0" w:color="auto"/>
        <w:bottom w:val="none" w:sz="0" w:space="0" w:color="auto"/>
        <w:right w:val="none" w:sz="0" w:space="0" w:color="auto"/>
      </w:divBdr>
    </w:div>
    <w:div w:id="879318091">
      <w:bodyDiv w:val="1"/>
      <w:marLeft w:val="0"/>
      <w:marRight w:val="0"/>
      <w:marTop w:val="0"/>
      <w:marBottom w:val="0"/>
      <w:divBdr>
        <w:top w:val="none" w:sz="0" w:space="0" w:color="auto"/>
        <w:left w:val="none" w:sz="0" w:space="0" w:color="auto"/>
        <w:bottom w:val="none" w:sz="0" w:space="0" w:color="auto"/>
        <w:right w:val="none" w:sz="0" w:space="0" w:color="auto"/>
      </w:divBdr>
    </w:div>
    <w:div w:id="882597101">
      <w:bodyDiv w:val="1"/>
      <w:marLeft w:val="0"/>
      <w:marRight w:val="0"/>
      <w:marTop w:val="0"/>
      <w:marBottom w:val="0"/>
      <w:divBdr>
        <w:top w:val="none" w:sz="0" w:space="0" w:color="auto"/>
        <w:left w:val="none" w:sz="0" w:space="0" w:color="auto"/>
        <w:bottom w:val="none" w:sz="0" w:space="0" w:color="auto"/>
        <w:right w:val="none" w:sz="0" w:space="0" w:color="auto"/>
      </w:divBdr>
    </w:div>
    <w:div w:id="894269485">
      <w:bodyDiv w:val="1"/>
      <w:marLeft w:val="0"/>
      <w:marRight w:val="0"/>
      <w:marTop w:val="0"/>
      <w:marBottom w:val="0"/>
      <w:divBdr>
        <w:top w:val="none" w:sz="0" w:space="0" w:color="auto"/>
        <w:left w:val="none" w:sz="0" w:space="0" w:color="auto"/>
        <w:bottom w:val="none" w:sz="0" w:space="0" w:color="auto"/>
        <w:right w:val="none" w:sz="0" w:space="0" w:color="auto"/>
      </w:divBdr>
      <w:divsChild>
        <w:div w:id="663977163">
          <w:marLeft w:val="0"/>
          <w:marRight w:val="0"/>
          <w:marTop w:val="0"/>
          <w:marBottom w:val="0"/>
          <w:divBdr>
            <w:top w:val="none" w:sz="0" w:space="0" w:color="auto"/>
            <w:left w:val="none" w:sz="0" w:space="0" w:color="auto"/>
            <w:bottom w:val="none" w:sz="0" w:space="0" w:color="auto"/>
            <w:right w:val="none" w:sz="0" w:space="0" w:color="auto"/>
          </w:divBdr>
        </w:div>
      </w:divsChild>
    </w:div>
    <w:div w:id="907767803">
      <w:bodyDiv w:val="1"/>
      <w:marLeft w:val="0"/>
      <w:marRight w:val="0"/>
      <w:marTop w:val="0"/>
      <w:marBottom w:val="0"/>
      <w:divBdr>
        <w:top w:val="none" w:sz="0" w:space="0" w:color="auto"/>
        <w:left w:val="none" w:sz="0" w:space="0" w:color="auto"/>
        <w:bottom w:val="none" w:sz="0" w:space="0" w:color="auto"/>
        <w:right w:val="none" w:sz="0" w:space="0" w:color="auto"/>
      </w:divBdr>
      <w:divsChild>
        <w:div w:id="482238332">
          <w:marLeft w:val="274"/>
          <w:marRight w:val="0"/>
          <w:marTop w:val="40"/>
          <w:marBottom w:val="40"/>
          <w:divBdr>
            <w:top w:val="none" w:sz="0" w:space="0" w:color="auto"/>
            <w:left w:val="none" w:sz="0" w:space="0" w:color="auto"/>
            <w:bottom w:val="none" w:sz="0" w:space="0" w:color="auto"/>
            <w:right w:val="none" w:sz="0" w:space="0" w:color="auto"/>
          </w:divBdr>
        </w:div>
        <w:div w:id="732698085">
          <w:marLeft w:val="274"/>
          <w:marRight w:val="0"/>
          <w:marTop w:val="40"/>
          <w:marBottom w:val="40"/>
          <w:divBdr>
            <w:top w:val="none" w:sz="0" w:space="0" w:color="auto"/>
            <w:left w:val="none" w:sz="0" w:space="0" w:color="auto"/>
            <w:bottom w:val="none" w:sz="0" w:space="0" w:color="auto"/>
            <w:right w:val="none" w:sz="0" w:space="0" w:color="auto"/>
          </w:divBdr>
        </w:div>
        <w:div w:id="945887333">
          <w:marLeft w:val="274"/>
          <w:marRight w:val="0"/>
          <w:marTop w:val="40"/>
          <w:marBottom w:val="40"/>
          <w:divBdr>
            <w:top w:val="none" w:sz="0" w:space="0" w:color="auto"/>
            <w:left w:val="none" w:sz="0" w:space="0" w:color="auto"/>
            <w:bottom w:val="none" w:sz="0" w:space="0" w:color="auto"/>
            <w:right w:val="none" w:sz="0" w:space="0" w:color="auto"/>
          </w:divBdr>
        </w:div>
        <w:div w:id="1178691811">
          <w:marLeft w:val="274"/>
          <w:marRight w:val="0"/>
          <w:marTop w:val="40"/>
          <w:marBottom w:val="40"/>
          <w:divBdr>
            <w:top w:val="none" w:sz="0" w:space="0" w:color="auto"/>
            <w:left w:val="none" w:sz="0" w:space="0" w:color="auto"/>
            <w:bottom w:val="none" w:sz="0" w:space="0" w:color="auto"/>
            <w:right w:val="none" w:sz="0" w:space="0" w:color="auto"/>
          </w:divBdr>
        </w:div>
      </w:divsChild>
    </w:div>
    <w:div w:id="909466357">
      <w:bodyDiv w:val="1"/>
      <w:marLeft w:val="0"/>
      <w:marRight w:val="0"/>
      <w:marTop w:val="0"/>
      <w:marBottom w:val="0"/>
      <w:divBdr>
        <w:top w:val="none" w:sz="0" w:space="0" w:color="auto"/>
        <w:left w:val="none" w:sz="0" w:space="0" w:color="auto"/>
        <w:bottom w:val="none" w:sz="0" w:space="0" w:color="auto"/>
        <w:right w:val="none" w:sz="0" w:space="0" w:color="auto"/>
      </w:divBdr>
    </w:div>
    <w:div w:id="916859438">
      <w:bodyDiv w:val="1"/>
      <w:marLeft w:val="0"/>
      <w:marRight w:val="0"/>
      <w:marTop w:val="0"/>
      <w:marBottom w:val="0"/>
      <w:divBdr>
        <w:top w:val="none" w:sz="0" w:space="0" w:color="auto"/>
        <w:left w:val="none" w:sz="0" w:space="0" w:color="auto"/>
        <w:bottom w:val="none" w:sz="0" w:space="0" w:color="auto"/>
        <w:right w:val="none" w:sz="0" w:space="0" w:color="auto"/>
      </w:divBdr>
    </w:div>
    <w:div w:id="922877957">
      <w:bodyDiv w:val="1"/>
      <w:marLeft w:val="0"/>
      <w:marRight w:val="0"/>
      <w:marTop w:val="0"/>
      <w:marBottom w:val="0"/>
      <w:divBdr>
        <w:top w:val="none" w:sz="0" w:space="0" w:color="auto"/>
        <w:left w:val="none" w:sz="0" w:space="0" w:color="auto"/>
        <w:bottom w:val="none" w:sz="0" w:space="0" w:color="auto"/>
        <w:right w:val="none" w:sz="0" w:space="0" w:color="auto"/>
      </w:divBdr>
    </w:div>
    <w:div w:id="925115692">
      <w:bodyDiv w:val="1"/>
      <w:marLeft w:val="0"/>
      <w:marRight w:val="0"/>
      <w:marTop w:val="0"/>
      <w:marBottom w:val="0"/>
      <w:divBdr>
        <w:top w:val="none" w:sz="0" w:space="0" w:color="auto"/>
        <w:left w:val="none" w:sz="0" w:space="0" w:color="auto"/>
        <w:bottom w:val="none" w:sz="0" w:space="0" w:color="auto"/>
        <w:right w:val="none" w:sz="0" w:space="0" w:color="auto"/>
      </w:divBdr>
    </w:div>
    <w:div w:id="925265585">
      <w:bodyDiv w:val="1"/>
      <w:marLeft w:val="0"/>
      <w:marRight w:val="0"/>
      <w:marTop w:val="0"/>
      <w:marBottom w:val="0"/>
      <w:divBdr>
        <w:top w:val="none" w:sz="0" w:space="0" w:color="auto"/>
        <w:left w:val="none" w:sz="0" w:space="0" w:color="auto"/>
        <w:bottom w:val="none" w:sz="0" w:space="0" w:color="auto"/>
        <w:right w:val="none" w:sz="0" w:space="0" w:color="auto"/>
      </w:divBdr>
    </w:div>
    <w:div w:id="925307445">
      <w:bodyDiv w:val="1"/>
      <w:marLeft w:val="0"/>
      <w:marRight w:val="0"/>
      <w:marTop w:val="0"/>
      <w:marBottom w:val="0"/>
      <w:divBdr>
        <w:top w:val="none" w:sz="0" w:space="0" w:color="auto"/>
        <w:left w:val="none" w:sz="0" w:space="0" w:color="auto"/>
        <w:bottom w:val="none" w:sz="0" w:space="0" w:color="auto"/>
        <w:right w:val="none" w:sz="0" w:space="0" w:color="auto"/>
      </w:divBdr>
    </w:div>
    <w:div w:id="934706207">
      <w:bodyDiv w:val="1"/>
      <w:marLeft w:val="0"/>
      <w:marRight w:val="0"/>
      <w:marTop w:val="0"/>
      <w:marBottom w:val="0"/>
      <w:divBdr>
        <w:top w:val="none" w:sz="0" w:space="0" w:color="auto"/>
        <w:left w:val="none" w:sz="0" w:space="0" w:color="auto"/>
        <w:bottom w:val="none" w:sz="0" w:space="0" w:color="auto"/>
        <w:right w:val="none" w:sz="0" w:space="0" w:color="auto"/>
      </w:divBdr>
    </w:div>
    <w:div w:id="937836049">
      <w:bodyDiv w:val="1"/>
      <w:marLeft w:val="0"/>
      <w:marRight w:val="0"/>
      <w:marTop w:val="0"/>
      <w:marBottom w:val="0"/>
      <w:divBdr>
        <w:top w:val="none" w:sz="0" w:space="0" w:color="auto"/>
        <w:left w:val="none" w:sz="0" w:space="0" w:color="auto"/>
        <w:bottom w:val="none" w:sz="0" w:space="0" w:color="auto"/>
        <w:right w:val="none" w:sz="0" w:space="0" w:color="auto"/>
      </w:divBdr>
      <w:divsChild>
        <w:div w:id="933198558">
          <w:marLeft w:val="0"/>
          <w:marRight w:val="0"/>
          <w:marTop w:val="0"/>
          <w:marBottom w:val="0"/>
          <w:divBdr>
            <w:top w:val="none" w:sz="0" w:space="0" w:color="auto"/>
            <w:left w:val="none" w:sz="0" w:space="0" w:color="auto"/>
            <w:bottom w:val="none" w:sz="0" w:space="0" w:color="auto"/>
            <w:right w:val="none" w:sz="0" w:space="0" w:color="auto"/>
          </w:divBdr>
          <w:divsChild>
            <w:div w:id="1959876222">
              <w:marLeft w:val="0"/>
              <w:marRight w:val="0"/>
              <w:marTop w:val="0"/>
              <w:marBottom w:val="0"/>
              <w:divBdr>
                <w:top w:val="none" w:sz="0" w:space="0" w:color="auto"/>
                <w:left w:val="none" w:sz="0" w:space="0" w:color="auto"/>
                <w:bottom w:val="none" w:sz="0" w:space="0" w:color="auto"/>
                <w:right w:val="none" w:sz="0" w:space="0" w:color="auto"/>
              </w:divBdr>
              <w:divsChild>
                <w:div w:id="3484998">
                  <w:marLeft w:val="0"/>
                  <w:marRight w:val="0"/>
                  <w:marTop w:val="0"/>
                  <w:marBottom w:val="0"/>
                  <w:divBdr>
                    <w:top w:val="none" w:sz="0" w:space="0" w:color="auto"/>
                    <w:left w:val="none" w:sz="0" w:space="0" w:color="auto"/>
                    <w:bottom w:val="none" w:sz="0" w:space="0" w:color="auto"/>
                    <w:right w:val="none" w:sz="0" w:space="0" w:color="auto"/>
                  </w:divBdr>
                  <w:divsChild>
                    <w:div w:id="1008559862">
                      <w:marLeft w:val="0"/>
                      <w:marRight w:val="0"/>
                      <w:marTop w:val="0"/>
                      <w:marBottom w:val="0"/>
                      <w:divBdr>
                        <w:top w:val="none" w:sz="0" w:space="0" w:color="auto"/>
                        <w:left w:val="none" w:sz="0" w:space="0" w:color="auto"/>
                        <w:bottom w:val="none" w:sz="0" w:space="0" w:color="auto"/>
                        <w:right w:val="none" w:sz="0" w:space="0" w:color="auto"/>
                      </w:divBdr>
                      <w:divsChild>
                        <w:div w:id="1220899202">
                          <w:marLeft w:val="13380"/>
                          <w:marRight w:val="0"/>
                          <w:marTop w:val="0"/>
                          <w:marBottom w:val="0"/>
                          <w:divBdr>
                            <w:top w:val="none" w:sz="0" w:space="0" w:color="auto"/>
                            <w:left w:val="none" w:sz="0" w:space="0" w:color="auto"/>
                            <w:bottom w:val="none" w:sz="0" w:space="0" w:color="auto"/>
                            <w:right w:val="none" w:sz="0" w:space="0" w:color="auto"/>
                          </w:divBdr>
                          <w:divsChild>
                            <w:div w:id="521747585">
                              <w:marLeft w:val="0"/>
                              <w:marRight w:val="0"/>
                              <w:marTop w:val="0"/>
                              <w:marBottom w:val="0"/>
                              <w:divBdr>
                                <w:top w:val="none" w:sz="0" w:space="0" w:color="auto"/>
                                <w:left w:val="none" w:sz="0" w:space="0" w:color="auto"/>
                                <w:bottom w:val="none" w:sz="0" w:space="0" w:color="auto"/>
                                <w:right w:val="none" w:sz="0" w:space="0" w:color="auto"/>
                              </w:divBdr>
                              <w:divsChild>
                                <w:div w:id="1806921443">
                                  <w:marLeft w:val="0"/>
                                  <w:marRight w:val="0"/>
                                  <w:marTop w:val="0"/>
                                  <w:marBottom w:val="0"/>
                                  <w:divBdr>
                                    <w:top w:val="none" w:sz="0" w:space="0" w:color="auto"/>
                                    <w:left w:val="none" w:sz="0" w:space="0" w:color="auto"/>
                                    <w:bottom w:val="none" w:sz="0" w:space="0" w:color="auto"/>
                                    <w:right w:val="none" w:sz="0" w:space="0" w:color="auto"/>
                                  </w:divBdr>
                                  <w:divsChild>
                                    <w:div w:id="1544904957">
                                      <w:marLeft w:val="0"/>
                                      <w:marRight w:val="0"/>
                                      <w:marTop w:val="0"/>
                                      <w:marBottom w:val="0"/>
                                      <w:divBdr>
                                        <w:top w:val="none" w:sz="0" w:space="0" w:color="auto"/>
                                        <w:left w:val="none" w:sz="0" w:space="0" w:color="auto"/>
                                        <w:bottom w:val="none" w:sz="0" w:space="0" w:color="auto"/>
                                        <w:right w:val="none" w:sz="0" w:space="0" w:color="auto"/>
                                      </w:divBdr>
                                      <w:divsChild>
                                        <w:div w:id="248077261">
                                          <w:marLeft w:val="0"/>
                                          <w:marRight w:val="0"/>
                                          <w:marTop w:val="0"/>
                                          <w:marBottom w:val="0"/>
                                          <w:divBdr>
                                            <w:top w:val="none" w:sz="0" w:space="0" w:color="auto"/>
                                            <w:left w:val="none" w:sz="0" w:space="0" w:color="auto"/>
                                            <w:bottom w:val="none" w:sz="0" w:space="0" w:color="auto"/>
                                            <w:right w:val="none" w:sz="0" w:space="0" w:color="auto"/>
                                          </w:divBdr>
                                          <w:divsChild>
                                            <w:div w:id="1461268297">
                                              <w:marLeft w:val="0"/>
                                              <w:marRight w:val="0"/>
                                              <w:marTop w:val="0"/>
                                              <w:marBottom w:val="0"/>
                                              <w:divBdr>
                                                <w:top w:val="none" w:sz="0" w:space="0" w:color="auto"/>
                                                <w:left w:val="none" w:sz="0" w:space="0" w:color="auto"/>
                                                <w:bottom w:val="none" w:sz="0" w:space="0" w:color="auto"/>
                                                <w:right w:val="none" w:sz="0" w:space="0" w:color="auto"/>
                                              </w:divBdr>
                                              <w:divsChild>
                                                <w:div w:id="845484225">
                                                  <w:marLeft w:val="0"/>
                                                  <w:marRight w:val="0"/>
                                                  <w:marTop w:val="0"/>
                                                  <w:marBottom w:val="0"/>
                                                  <w:divBdr>
                                                    <w:top w:val="none" w:sz="0" w:space="0" w:color="auto"/>
                                                    <w:left w:val="none" w:sz="0" w:space="0" w:color="auto"/>
                                                    <w:bottom w:val="none" w:sz="0" w:space="0" w:color="auto"/>
                                                    <w:right w:val="none" w:sz="0" w:space="0" w:color="auto"/>
                                                  </w:divBdr>
                                                  <w:divsChild>
                                                    <w:div w:id="690037397">
                                                      <w:marLeft w:val="0"/>
                                                      <w:marRight w:val="0"/>
                                                      <w:marTop w:val="0"/>
                                                      <w:marBottom w:val="0"/>
                                                      <w:divBdr>
                                                        <w:top w:val="none" w:sz="0" w:space="0" w:color="auto"/>
                                                        <w:left w:val="none" w:sz="0" w:space="0" w:color="auto"/>
                                                        <w:bottom w:val="none" w:sz="0" w:space="0" w:color="auto"/>
                                                        <w:right w:val="none" w:sz="0" w:space="0" w:color="auto"/>
                                                      </w:divBdr>
                                                      <w:divsChild>
                                                        <w:div w:id="598949380">
                                                          <w:marLeft w:val="0"/>
                                                          <w:marRight w:val="0"/>
                                                          <w:marTop w:val="0"/>
                                                          <w:marBottom w:val="0"/>
                                                          <w:divBdr>
                                                            <w:top w:val="none" w:sz="0" w:space="0" w:color="auto"/>
                                                            <w:left w:val="none" w:sz="0" w:space="0" w:color="auto"/>
                                                            <w:bottom w:val="none" w:sz="0" w:space="0" w:color="auto"/>
                                                            <w:right w:val="none" w:sz="0" w:space="0" w:color="auto"/>
                                                          </w:divBdr>
                                                          <w:divsChild>
                                                            <w:div w:id="191026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3243363">
      <w:bodyDiv w:val="1"/>
      <w:marLeft w:val="0"/>
      <w:marRight w:val="0"/>
      <w:marTop w:val="0"/>
      <w:marBottom w:val="0"/>
      <w:divBdr>
        <w:top w:val="none" w:sz="0" w:space="0" w:color="auto"/>
        <w:left w:val="none" w:sz="0" w:space="0" w:color="auto"/>
        <w:bottom w:val="none" w:sz="0" w:space="0" w:color="auto"/>
        <w:right w:val="none" w:sz="0" w:space="0" w:color="auto"/>
      </w:divBdr>
      <w:divsChild>
        <w:div w:id="1833835914">
          <w:marLeft w:val="274"/>
          <w:marRight w:val="0"/>
          <w:marTop w:val="40"/>
          <w:marBottom w:val="40"/>
          <w:divBdr>
            <w:top w:val="none" w:sz="0" w:space="0" w:color="auto"/>
            <w:left w:val="none" w:sz="0" w:space="0" w:color="auto"/>
            <w:bottom w:val="none" w:sz="0" w:space="0" w:color="auto"/>
            <w:right w:val="none" w:sz="0" w:space="0" w:color="auto"/>
          </w:divBdr>
        </w:div>
      </w:divsChild>
    </w:div>
    <w:div w:id="956718716">
      <w:bodyDiv w:val="1"/>
      <w:marLeft w:val="0"/>
      <w:marRight w:val="0"/>
      <w:marTop w:val="0"/>
      <w:marBottom w:val="0"/>
      <w:divBdr>
        <w:top w:val="none" w:sz="0" w:space="0" w:color="auto"/>
        <w:left w:val="none" w:sz="0" w:space="0" w:color="auto"/>
        <w:bottom w:val="none" w:sz="0" w:space="0" w:color="auto"/>
        <w:right w:val="none" w:sz="0" w:space="0" w:color="auto"/>
      </w:divBdr>
    </w:div>
    <w:div w:id="958875945">
      <w:bodyDiv w:val="1"/>
      <w:marLeft w:val="0"/>
      <w:marRight w:val="0"/>
      <w:marTop w:val="0"/>
      <w:marBottom w:val="0"/>
      <w:divBdr>
        <w:top w:val="none" w:sz="0" w:space="0" w:color="auto"/>
        <w:left w:val="none" w:sz="0" w:space="0" w:color="auto"/>
        <w:bottom w:val="none" w:sz="0" w:space="0" w:color="auto"/>
        <w:right w:val="none" w:sz="0" w:space="0" w:color="auto"/>
      </w:divBdr>
      <w:divsChild>
        <w:div w:id="259215284">
          <w:marLeft w:val="274"/>
          <w:marRight w:val="0"/>
          <w:marTop w:val="0"/>
          <w:marBottom w:val="0"/>
          <w:divBdr>
            <w:top w:val="none" w:sz="0" w:space="0" w:color="auto"/>
            <w:left w:val="none" w:sz="0" w:space="0" w:color="auto"/>
            <w:bottom w:val="none" w:sz="0" w:space="0" w:color="auto"/>
            <w:right w:val="none" w:sz="0" w:space="0" w:color="auto"/>
          </w:divBdr>
        </w:div>
      </w:divsChild>
    </w:div>
    <w:div w:id="977959547">
      <w:bodyDiv w:val="1"/>
      <w:marLeft w:val="0"/>
      <w:marRight w:val="0"/>
      <w:marTop w:val="0"/>
      <w:marBottom w:val="0"/>
      <w:divBdr>
        <w:top w:val="none" w:sz="0" w:space="0" w:color="auto"/>
        <w:left w:val="none" w:sz="0" w:space="0" w:color="auto"/>
        <w:bottom w:val="none" w:sz="0" w:space="0" w:color="auto"/>
        <w:right w:val="none" w:sz="0" w:space="0" w:color="auto"/>
      </w:divBdr>
    </w:div>
    <w:div w:id="980770444">
      <w:bodyDiv w:val="1"/>
      <w:marLeft w:val="0"/>
      <w:marRight w:val="0"/>
      <w:marTop w:val="0"/>
      <w:marBottom w:val="0"/>
      <w:divBdr>
        <w:top w:val="none" w:sz="0" w:space="0" w:color="auto"/>
        <w:left w:val="none" w:sz="0" w:space="0" w:color="auto"/>
        <w:bottom w:val="none" w:sz="0" w:space="0" w:color="auto"/>
        <w:right w:val="none" w:sz="0" w:space="0" w:color="auto"/>
      </w:divBdr>
    </w:div>
    <w:div w:id="981272964">
      <w:bodyDiv w:val="1"/>
      <w:marLeft w:val="0"/>
      <w:marRight w:val="0"/>
      <w:marTop w:val="0"/>
      <w:marBottom w:val="0"/>
      <w:divBdr>
        <w:top w:val="none" w:sz="0" w:space="0" w:color="auto"/>
        <w:left w:val="none" w:sz="0" w:space="0" w:color="auto"/>
        <w:bottom w:val="none" w:sz="0" w:space="0" w:color="auto"/>
        <w:right w:val="none" w:sz="0" w:space="0" w:color="auto"/>
      </w:divBdr>
    </w:div>
    <w:div w:id="984236382">
      <w:bodyDiv w:val="1"/>
      <w:marLeft w:val="0"/>
      <w:marRight w:val="0"/>
      <w:marTop w:val="0"/>
      <w:marBottom w:val="0"/>
      <w:divBdr>
        <w:top w:val="none" w:sz="0" w:space="0" w:color="auto"/>
        <w:left w:val="none" w:sz="0" w:space="0" w:color="auto"/>
        <w:bottom w:val="none" w:sz="0" w:space="0" w:color="auto"/>
        <w:right w:val="none" w:sz="0" w:space="0" w:color="auto"/>
      </w:divBdr>
    </w:div>
    <w:div w:id="1002973238">
      <w:bodyDiv w:val="1"/>
      <w:marLeft w:val="0"/>
      <w:marRight w:val="0"/>
      <w:marTop w:val="0"/>
      <w:marBottom w:val="0"/>
      <w:divBdr>
        <w:top w:val="none" w:sz="0" w:space="0" w:color="auto"/>
        <w:left w:val="none" w:sz="0" w:space="0" w:color="auto"/>
        <w:bottom w:val="none" w:sz="0" w:space="0" w:color="auto"/>
        <w:right w:val="none" w:sz="0" w:space="0" w:color="auto"/>
      </w:divBdr>
    </w:div>
    <w:div w:id="1006593540">
      <w:bodyDiv w:val="1"/>
      <w:marLeft w:val="0"/>
      <w:marRight w:val="0"/>
      <w:marTop w:val="0"/>
      <w:marBottom w:val="0"/>
      <w:divBdr>
        <w:top w:val="none" w:sz="0" w:space="0" w:color="auto"/>
        <w:left w:val="none" w:sz="0" w:space="0" w:color="auto"/>
        <w:bottom w:val="none" w:sz="0" w:space="0" w:color="auto"/>
        <w:right w:val="none" w:sz="0" w:space="0" w:color="auto"/>
      </w:divBdr>
    </w:div>
    <w:div w:id="1007944050">
      <w:bodyDiv w:val="1"/>
      <w:marLeft w:val="0"/>
      <w:marRight w:val="0"/>
      <w:marTop w:val="0"/>
      <w:marBottom w:val="0"/>
      <w:divBdr>
        <w:top w:val="none" w:sz="0" w:space="0" w:color="auto"/>
        <w:left w:val="none" w:sz="0" w:space="0" w:color="auto"/>
        <w:bottom w:val="none" w:sz="0" w:space="0" w:color="auto"/>
        <w:right w:val="none" w:sz="0" w:space="0" w:color="auto"/>
      </w:divBdr>
    </w:div>
    <w:div w:id="1009984025">
      <w:bodyDiv w:val="1"/>
      <w:marLeft w:val="0"/>
      <w:marRight w:val="0"/>
      <w:marTop w:val="0"/>
      <w:marBottom w:val="0"/>
      <w:divBdr>
        <w:top w:val="none" w:sz="0" w:space="0" w:color="auto"/>
        <w:left w:val="none" w:sz="0" w:space="0" w:color="auto"/>
        <w:bottom w:val="none" w:sz="0" w:space="0" w:color="auto"/>
        <w:right w:val="none" w:sz="0" w:space="0" w:color="auto"/>
      </w:divBdr>
    </w:div>
    <w:div w:id="1018848199">
      <w:bodyDiv w:val="1"/>
      <w:marLeft w:val="0"/>
      <w:marRight w:val="0"/>
      <w:marTop w:val="0"/>
      <w:marBottom w:val="0"/>
      <w:divBdr>
        <w:top w:val="none" w:sz="0" w:space="0" w:color="auto"/>
        <w:left w:val="none" w:sz="0" w:space="0" w:color="auto"/>
        <w:bottom w:val="none" w:sz="0" w:space="0" w:color="auto"/>
        <w:right w:val="none" w:sz="0" w:space="0" w:color="auto"/>
      </w:divBdr>
    </w:div>
    <w:div w:id="1024017935">
      <w:bodyDiv w:val="1"/>
      <w:marLeft w:val="0"/>
      <w:marRight w:val="0"/>
      <w:marTop w:val="0"/>
      <w:marBottom w:val="0"/>
      <w:divBdr>
        <w:top w:val="none" w:sz="0" w:space="0" w:color="auto"/>
        <w:left w:val="none" w:sz="0" w:space="0" w:color="auto"/>
        <w:bottom w:val="none" w:sz="0" w:space="0" w:color="auto"/>
        <w:right w:val="none" w:sz="0" w:space="0" w:color="auto"/>
      </w:divBdr>
    </w:div>
    <w:div w:id="1035279173">
      <w:bodyDiv w:val="1"/>
      <w:marLeft w:val="0"/>
      <w:marRight w:val="0"/>
      <w:marTop w:val="0"/>
      <w:marBottom w:val="0"/>
      <w:divBdr>
        <w:top w:val="none" w:sz="0" w:space="0" w:color="auto"/>
        <w:left w:val="none" w:sz="0" w:space="0" w:color="auto"/>
        <w:bottom w:val="none" w:sz="0" w:space="0" w:color="auto"/>
        <w:right w:val="none" w:sz="0" w:space="0" w:color="auto"/>
      </w:divBdr>
    </w:div>
    <w:div w:id="1042436335">
      <w:bodyDiv w:val="1"/>
      <w:marLeft w:val="0"/>
      <w:marRight w:val="0"/>
      <w:marTop w:val="0"/>
      <w:marBottom w:val="0"/>
      <w:divBdr>
        <w:top w:val="none" w:sz="0" w:space="0" w:color="auto"/>
        <w:left w:val="none" w:sz="0" w:space="0" w:color="auto"/>
        <w:bottom w:val="none" w:sz="0" w:space="0" w:color="auto"/>
        <w:right w:val="none" w:sz="0" w:space="0" w:color="auto"/>
      </w:divBdr>
      <w:divsChild>
        <w:div w:id="38752173">
          <w:marLeft w:val="274"/>
          <w:marRight w:val="0"/>
          <w:marTop w:val="60"/>
          <w:marBottom w:val="60"/>
          <w:divBdr>
            <w:top w:val="none" w:sz="0" w:space="0" w:color="auto"/>
            <w:left w:val="none" w:sz="0" w:space="0" w:color="auto"/>
            <w:bottom w:val="none" w:sz="0" w:space="0" w:color="auto"/>
            <w:right w:val="none" w:sz="0" w:space="0" w:color="auto"/>
          </w:divBdr>
        </w:div>
        <w:div w:id="1126579503">
          <w:marLeft w:val="274"/>
          <w:marRight w:val="0"/>
          <w:marTop w:val="60"/>
          <w:marBottom w:val="60"/>
          <w:divBdr>
            <w:top w:val="none" w:sz="0" w:space="0" w:color="auto"/>
            <w:left w:val="none" w:sz="0" w:space="0" w:color="auto"/>
            <w:bottom w:val="none" w:sz="0" w:space="0" w:color="auto"/>
            <w:right w:val="none" w:sz="0" w:space="0" w:color="auto"/>
          </w:divBdr>
        </w:div>
      </w:divsChild>
    </w:div>
    <w:div w:id="1056047356">
      <w:bodyDiv w:val="1"/>
      <w:marLeft w:val="0"/>
      <w:marRight w:val="0"/>
      <w:marTop w:val="0"/>
      <w:marBottom w:val="0"/>
      <w:divBdr>
        <w:top w:val="none" w:sz="0" w:space="0" w:color="auto"/>
        <w:left w:val="none" w:sz="0" w:space="0" w:color="auto"/>
        <w:bottom w:val="none" w:sz="0" w:space="0" w:color="auto"/>
        <w:right w:val="none" w:sz="0" w:space="0" w:color="auto"/>
      </w:divBdr>
    </w:div>
    <w:div w:id="1056706092">
      <w:bodyDiv w:val="1"/>
      <w:marLeft w:val="0"/>
      <w:marRight w:val="0"/>
      <w:marTop w:val="0"/>
      <w:marBottom w:val="0"/>
      <w:divBdr>
        <w:top w:val="none" w:sz="0" w:space="0" w:color="auto"/>
        <w:left w:val="none" w:sz="0" w:space="0" w:color="auto"/>
        <w:bottom w:val="none" w:sz="0" w:space="0" w:color="auto"/>
        <w:right w:val="none" w:sz="0" w:space="0" w:color="auto"/>
      </w:divBdr>
    </w:div>
    <w:div w:id="1059401040">
      <w:bodyDiv w:val="1"/>
      <w:marLeft w:val="0"/>
      <w:marRight w:val="0"/>
      <w:marTop w:val="0"/>
      <w:marBottom w:val="0"/>
      <w:divBdr>
        <w:top w:val="none" w:sz="0" w:space="0" w:color="auto"/>
        <w:left w:val="none" w:sz="0" w:space="0" w:color="auto"/>
        <w:bottom w:val="none" w:sz="0" w:space="0" w:color="auto"/>
        <w:right w:val="none" w:sz="0" w:space="0" w:color="auto"/>
      </w:divBdr>
    </w:div>
    <w:div w:id="1059672754">
      <w:bodyDiv w:val="1"/>
      <w:marLeft w:val="0"/>
      <w:marRight w:val="0"/>
      <w:marTop w:val="0"/>
      <w:marBottom w:val="0"/>
      <w:divBdr>
        <w:top w:val="none" w:sz="0" w:space="0" w:color="auto"/>
        <w:left w:val="none" w:sz="0" w:space="0" w:color="auto"/>
        <w:bottom w:val="none" w:sz="0" w:space="0" w:color="auto"/>
        <w:right w:val="none" w:sz="0" w:space="0" w:color="auto"/>
      </w:divBdr>
    </w:div>
    <w:div w:id="1061902425">
      <w:bodyDiv w:val="1"/>
      <w:marLeft w:val="0"/>
      <w:marRight w:val="0"/>
      <w:marTop w:val="0"/>
      <w:marBottom w:val="0"/>
      <w:divBdr>
        <w:top w:val="none" w:sz="0" w:space="0" w:color="auto"/>
        <w:left w:val="none" w:sz="0" w:space="0" w:color="auto"/>
        <w:bottom w:val="none" w:sz="0" w:space="0" w:color="auto"/>
        <w:right w:val="none" w:sz="0" w:space="0" w:color="auto"/>
      </w:divBdr>
    </w:div>
    <w:div w:id="1063288030">
      <w:bodyDiv w:val="1"/>
      <w:marLeft w:val="0"/>
      <w:marRight w:val="0"/>
      <w:marTop w:val="0"/>
      <w:marBottom w:val="0"/>
      <w:divBdr>
        <w:top w:val="none" w:sz="0" w:space="0" w:color="auto"/>
        <w:left w:val="none" w:sz="0" w:space="0" w:color="auto"/>
        <w:bottom w:val="none" w:sz="0" w:space="0" w:color="auto"/>
        <w:right w:val="none" w:sz="0" w:space="0" w:color="auto"/>
      </w:divBdr>
    </w:div>
    <w:div w:id="1068767482">
      <w:bodyDiv w:val="1"/>
      <w:marLeft w:val="0"/>
      <w:marRight w:val="0"/>
      <w:marTop w:val="0"/>
      <w:marBottom w:val="0"/>
      <w:divBdr>
        <w:top w:val="none" w:sz="0" w:space="0" w:color="auto"/>
        <w:left w:val="none" w:sz="0" w:space="0" w:color="auto"/>
        <w:bottom w:val="none" w:sz="0" w:space="0" w:color="auto"/>
        <w:right w:val="none" w:sz="0" w:space="0" w:color="auto"/>
      </w:divBdr>
    </w:div>
    <w:div w:id="1072236474">
      <w:bodyDiv w:val="1"/>
      <w:marLeft w:val="0"/>
      <w:marRight w:val="0"/>
      <w:marTop w:val="0"/>
      <w:marBottom w:val="0"/>
      <w:divBdr>
        <w:top w:val="none" w:sz="0" w:space="0" w:color="auto"/>
        <w:left w:val="none" w:sz="0" w:space="0" w:color="auto"/>
        <w:bottom w:val="none" w:sz="0" w:space="0" w:color="auto"/>
        <w:right w:val="none" w:sz="0" w:space="0" w:color="auto"/>
      </w:divBdr>
    </w:div>
    <w:div w:id="1074350761">
      <w:bodyDiv w:val="1"/>
      <w:marLeft w:val="0"/>
      <w:marRight w:val="0"/>
      <w:marTop w:val="0"/>
      <w:marBottom w:val="0"/>
      <w:divBdr>
        <w:top w:val="none" w:sz="0" w:space="0" w:color="auto"/>
        <w:left w:val="none" w:sz="0" w:space="0" w:color="auto"/>
        <w:bottom w:val="none" w:sz="0" w:space="0" w:color="auto"/>
        <w:right w:val="none" w:sz="0" w:space="0" w:color="auto"/>
      </w:divBdr>
    </w:div>
    <w:div w:id="1075738103">
      <w:bodyDiv w:val="1"/>
      <w:marLeft w:val="0"/>
      <w:marRight w:val="0"/>
      <w:marTop w:val="0"/>
      <w:marBottom w:val="0"/>
      <w:divBdr>
        <w:top w:val="none" w:sz="0" w:space="0" w:color="auto"/>
        <w:left w:val="none" w:sz="0" w:space="0" w:color="auto"/>
        <w:bottom w:val="none" w:sz="0" w:space="0" w:color="auto"/>
        <w:right w:val="none" w:sz="0" w:space="0" w:color="auto"/>
      </w:divBdr>
    </w:div>
    <w:div w:id="1082793300">
      <w:bodyDiv w:val="1"/>
      <w:marLeft w:val="0"/>
      <w:marRight w:val="0"/>
      <w:marTop w:val="0"/>
      <w:marBottom w:val="0"/>
      <w:divBdr>
        <w:top w:val="none" w:sz="0" w:space="0" w:color="auto"/>
        <w:left w:val="none" w:sz="0" w:space="0" w:color="auto"/>
        <w:bottom w:val="none" w:sz="0" w:space="0" w:color="auto"/>
        <w:right w:val="none" w:sz="0" w:space="0" w:color="auto"/>
      </w:divBdr>
      <w:divsChild>
        <w:div w:id="179010827">
          <w:marLeft w:val="288"/>
          <w:marRight w:val="0"/>
          <w:marTop w:val="0"/>
          <w:marBottom w:val="0"/>
          <w:divBdr>
            <w:top w:val="none" w:sz="0" w:space="0" w:color="auto"/>
            <w:left w:val="none" w:sz="0" w:space="0" w:color="auto"/>
            <w:bottom w:val="none" w:sz="0" w:space="0" w:color="auto"/>
            <w:right w:val="none" w:sz="0" w:space="0" w:color="auto"/>
          </w:divBdr>
        </w:div>
        <w:div w:id="874003360">
          <w:marLeft w:val="288"/>
          <w:marRight w:val="0"/>
          <w:marTop w:val="0"/>
          <w:marBottom w:val="0"/>
          <w:divBdr>
            <w:top w:val="none" w:sz="0" w:space="0" w:color="auto"/>
            <w:left w:val="none" w:sz="0" w:space="0" w:color="auto"/>
            <w:bottom w:val="none" w:sz="0" w:space="0" w:color="auto"/>
            <w:right w:val="none" w:sz="0" w:space="0" w:color="auto"/>
          </w:divBdr>
        </w:div>
        <w:div w:id="964392209">
          <w:marLeft w:val="288"/>
          <w:marRight w:val="0"/>
          <w:marTop w:val="0"/>
          <w:marBottom w:val="0"/>
          <w:divBdr>
            <w:top w:val="none" w:sz="0" w:space="0" w:color="auto"/>
            <w:left w:val="none" w:sz="0" w:space="0" w:color="auto"/>
            <w:bottom w:val="none" w:sz="0" w:space="0" w:color="auto"/>
            <w:right w:val="none" w:sz="0" w:space="0" w:color="auto"/>
          </w:divBdr>
        </w:div>
        <w:div w:id="1565027581">
          <w:marLeft w:val="288"/>
          <w:marRight w:val="0"/>
          <w:marTop w:val="0"/>
          <w:marBottom w:val="0"/>
          <w:divBdr>
            <w:top w:val="none" w:sz="0" w:space="0" w:color="auto"/>
            <w:left w:val="none" w:sz="0" w:space="0" w:color="auto"/>
            <w:bottom w:val="none" w:sz="0" w:space="0" w:color="auto"/>
            <w:right w:val="none" w:sz="0" w:space="0" w:color="auto"/>
          </w:divBdr>
        </w:div>
      </w:divsChild>
    </w:div>
    <w:div w:id="1085690830">
      <w:bodyDiv w:val="1"/>
      <w:marLeft w:val="0"/>
      <w:marRight w:val="0"/>
      <w:marTop w:val="0"/>
      <w:marBottom w:val="0"/>
      <w:divBdr>
        <w:top w:val="none" w:sz="0" w:space="0" w:color="auto"/>
        <w:left w:val="none" w:sz="0" w:space="0" w:color="auto"/>
        <w:bottom w:val="none" w:sz="0" w:space="0" w:color="auto"/>
        <w:right w:val="none" w:sz="0" w:space="0" w:color="auto"/>
      </w:divBdr>
    </w:div>
    <w:div w:id="1088845352">
      <w:bodyDiv w:val="1"/>
      <w:marLeft w:val="0"/>
      <w:marRight w:val="0"/>
      <w:marTop w:val="0"/>
      <w:marBottom w:val="0"/>
      <w:divBdr>
        <w:top w:val="none" w:sz="0" w:space="0" w:color="auto"/>
        <w:left w:val="none" w:sz="0" w:space="0" w:color="auto"/>
        <w:bottom w:val="none" w:sz="0" w:space="0" w:color="auto"/>
        <w:right w:val="none" w:sz="0" w:space="0" w:color="auto"/>
      </w:divBdr>
      <w:divsChild>
        <w:div w:id="1518303465">
          <w:marLeft w:val="274"/>
          <w:marRight w:val="0"/>
          <w:marTop w:val="0"/>
          <w:marBottom w:val="0"/>
          <w:divBdr>
            <w:top w:val="none" w:sz="0" w:space="0" w:color="auto"/>
            <w:left w:val="none" w:sz="0" w:space="0" w:color="auto"/>
            <w:bottom w:val="none" w:sz="0" w:space="0" w:color="auto"/>
            <w:right w:val="none" w:sz="0" w:space="0" w:color="auto"/>
          </w:divBdr>
        </w:div>
      </w:divsChild>
    </w:div>
    <w:div w:id="1094202622">
      <w:bodyDiv w:val="1"/>
      <w:marLeft w:val="0"/>
      <w:marRight w:val="0"/>
      <w:marTop w:val="0"/>
      <w:marBottom w:val="0"/>
      <w:divBdr>
        <w:top w:val="none" w:sz="0" w:space="0" w:color="auto"/>
        <w:left w:val="none" w:sz="0" w:space="0" w:color="auto"/>
        <w:bottom w:val="none" w:sz="0" w:space="0" w:color="auto"/>
        <w:right w:val="none" w:sz="0" w:space="0" w:color="auto"/>
      </w:divBdr>
      <w:divsChild>
        <w:div w:id="177082147">
          <w:marLeft w:val="274"/>
          <w:marRight w:val="0"/>
          <w:marTop w:val="60"/>
          <w:marBottom w:val="60"/>
          <w:divBdr>
            <w:top w:val="none" w:sz="0" w:space="0" w:color="auto"/>
            <w:left w:val="none" w:sz="0" w:space="0" w:color="auto"/>
            <w:bottom w:val="none" w:sz="0" w:space="0" w:color="auto"/>
            <w:right w:val="none" w:sz="0" w:space="0" w:color="auto"/>
          </w:divBdr>
        </w:div>
        <w:div w:id="1222252556">
          <w:marLeft w:val="274"/>
          <w:marRight w:val="0"/>
          <w:marTop w:val="60"/>
          <w:marBottom w:val="60"/>
          <w:divBdr>
            <w:top w:val="none" w:sz="0" w:space="0" w:color="auto"/>
            <w:left w:val="none" w:sz="0" w:space="0" w:color="auto"/>
            <w:bottom w:val="none" w:sz="0" w:space="0" w:color="auto"/>
            <w:right w:val="none" w:sz="0" w:space="0" w:color="auto"/>
          </w:divBdr>
        </w:div>
        <w:div w:id="1325359386">
          <w:marLeft w:val="274"/>
          <w:marRight w:val="0"/>
          <w:marTop w:val="60"/>
          <w:marBottom w:val="60"/>
          <w:divBdr>
            <w:top w:val="none" w:sz="0" w:space="0" w:color="auto"/>
            <w:left w:val="none" w:sz="0" w:space="0" w:color="auto"/>
            <w:bottom w:val="none" w:sz="0" w:space="0" w:color="auto"/>
            <w:right w:val="none" w:sz="0" w:space="0" w:color="auto"/>
          </w:divBdr>
        </w:div>
        <w:div w:id="1681472231">
          <w:marLeft w:val="274"/>
          <w:marRight w:val="0"/>
          <w:marTop w:val="60"/>
          <w:marBottom w:val="60"/>
          <w:divBdr>
            <w:top w:val="none" w:sz="0" w:space="0" w:color="auto"/>
            <w:left w:val="none" w:sz="0" w:space="0" w:color="auto"/>
            <w:bottom w:val="none" w:sz="0" w:space="0" w:color="auto"/>
            <w:right w:val="none" w:sz="0" w:space="0" w:color="auto"/>
          </w:divBdr>
        </w:div>
      </w:divsChild>
    </w:div>
    <w:div w:id="1097597387">
      <w:bodyDiv w:val="1"/>
      <w:marLeft w:val="0"/>
      <w:marRight w:val="0"/>
      <w:marTop w:val="0"/>
      <w:marBottom w:val="0"/>
      <w:divBdr>
        <w:top w:val="none" w:sz="0" w:space="0" w:color="auto"/>
        <w:left w:val="none" w:sz="0" w:space="0" w:color="auto"/>
        <w:bottom w:val="none" w:sz="0" w:space="0" w:color="auto"/>
        <w:right w:val="none" w:sz="0" w:space="0" w:color="auto"/>
      </w:divBdr>
    </w:div>
    <w:div w:id="1099638949">
      <w:bodyDiv w:val="1"/>
      <w:marLeft w:val="0"/>
      <w:marRight w:val="0"/>
      <w:marTop w:val="0"/>
      <w:marBottom w:val="0"/>
      <w:divBdr>
        <w:top w:val="none" w:sz="0" w:space="0" w:color="auto"/>
        <w:left w:val="none" w:sz="0" w:space="0" w:color="auto"/>
        <w:bottom w:val="none" w:sz="0" w:space="0" w:color="auto"/>
        <w:right w:val="none" w:sz="0" w:space="0" w:color="auto"/>
      </w:divBdr>
    </w:div>
    <w:div w:id="1105923962">
      <w:bodyDiv w:val="1"/>
      <w:marLeft w:val="0"/>
      <w:marRight w:val="0"/>
      <w:marTop w:val="0"/>
      <w:marBottom w:val="0"/>
      <w:divBdr>
        <w:top w:val="none" w:sz="0" w:space="0" w:color="auto"/>
        <w:left w:val="none" w:sz="0" w:space="0" w:color="auto"/>
        <w:bottom w:val="none" w:sz="0" w:space="0" w:color="auto"/>
        <w:right w:val="none" w:sz="0" w:space="0" w:color="auto"/>
      </w:divBdr>
    </w:div>
    <w:div w:id="1106652332">
      <w:bodyDiv w:val="1"/>
      <w:marLeft w:val="0"/>
      <w:marRight w:val="0"/>
      <w:marTop w:val="0"/>
      <w:marBottom w:val="0"/>
      <w:divBdr>
        <w:top w:val="none" w:sz="0" w:space="0" w:color="auto"/>
        <w:left w:val="none" w:sz="0" w:space="0" w:color="auto"/>
        <w:bottom w:val="none" w:sz="0" w:space="0" w:color="auto"/>
        <w:right w:val="none" w:sz="0" w:space="0" w:color="auto"/>
      </w:divBdr>
    </w:div>
    <w:div w:id="1114710034">
      <w:bodyDiv w:val="1"/>
      <w:marLeft w:val="0"/>
      <w:marRight w:val="0"/>
      <w:marTop w:val="0"/>
      <w:marBottom w:val="0"/>
      <w:divBdr>
        <w:top w:val="none" w:sz="0" w:space="0" w:color="auto"/>
        <w:left w:val="none" w:sz="0" w:space="0" w:color="auto"/>
        <w:bottom w:val="none" w:sz="0" w:space="0" w:color="auto"/>
        <w:right w:val="none" w:sz="0" w:space="0" w:color="auto"/>
      </w:divBdr>
    </w:div>
    <w:div w:id="1115296644">
      <w:bodyDiv w:val="1"/>
      <w:marLeft w:val="0"/>
      <w:marRight w:val="0"/>
      <w:marTop w:val="0"/>
      <w:marBottom w:val="0"/>
      <w:divBdr>
        <w:top w:val="none" w:sz="0" w:space="0" w:color="auto"/>
        <w:left w:val="none" w:sz="0" w:space="0" w:color="auto"/>
        <w:bottom w:val="none" w:sz="0" w:space="0" w:color="auto"/>
        <w:right w:val="none" w:sz="0" w:space="0" w:color="auto"/>
      </w:divBdr>
    </w:div>
    <w:div w:id="1121345578">
      <w:bodyDiv w:val="1"/>
      <w:marLeft w:val="0"/>
      <w:marRight w:val="0"/>
      <w:marTop w:val="0"/>
      <w:marBottom w:val="0"/>
      <w:divBdr>
        <w:top w:val="none" w:sz="0" w:space="0" w:color="auto"/>
        <w:left w:val="none" w:sz="0" w:space="0" w:color="auto"/>
        <w:bottom w:val="none" w:sz="0" w:space="0" w:color="auto"/>
        <w:right w:val="none" w:sz="0" w:space="0" w:color="auto"/>
      </w:divBdr>
    </w:div>
    <w:div w:id="1124545471">
      <w:bodyDiv w:val="1"/>
      <w:marLeft w:val="0"/>
      <w:marRight w:val="0"/>
      <w:marTop w:val="0"/>
      <w:marBottom w:val="0"/>
      <w:divBdr>
        <w:top w:val="none" w:sz="0" w:space="0" w:color="auto"/>
        <w:left w:val="none" w:sz="0" w:space="0" w:color="auto"/>
        <w:bottom w:val="none" w:sz="0" w:space="0" w:color="auto"/>
        <w:right w:val="none" w:sz="0" w:space="0" w:color="auto"/>
      </w:divBdr>
    </w:div>
    <w:div w:id="1126507462">
      <w:bodyDiv w:val="1"/>
      <w:marLeft w:val="0"/>
      <w:marRight w:val="0"/>
      <w:marTop w:val="0"/>
      <w:marBottom w:val="0"/>
      <w:divBdr>
        <w:top w:val="none" w:sz="0" w:space="0" w:color="auto"/>
        <w:left w:val="none" w:sz="0" w:space="0" w:color="auto"/>
        <w:bottom w:val="none" w:sz="0" w:space="0" w:color="auto"/>
        <w:right w:val="none" w:sz="0" w:space="0" w:color="auto"/>
      </w:divBdr>
    </w:div>
    <w:div w:id="1127819388">
      <w:bodyDiv w:val="1"/>
      <w:marLeft w:val="0"/>
      <w:marRight w:val="0"/>
      <w:marTop w:val="0"/>
      <w:marBottom w:val="0"/>
      <w:divBdr>
        <w:top w:val="none" w:sz="0" w:space="0" w:color="auto"/>
        <w:left w:val="none" w:sz="0" w:space="0" w:color="auto"/>
        <w:bottom w:val="none" w:sz="0" w:space="0" w:color="auto"/>
        <w:right w:val="none" w:sz="0" w:space="0" w:color="auto"/>
      </w:divBdr>
    </w:div>
    <w:div w:id="1139034724">
      <w:bodyDiv w:val="1"/>
      <w:marLeft w:val="0"/>
      <w:marRight w:val="0"/>
      <w:marTop w:val="0"/>
      <w:marBottom w:val="0"/>
      <w:divBdr>
        <w:top w:val="none" w:sz="0" w:space="0" w:color="auto"/>
        <w:left w:val="none" w:sz="0" w:space="0" w:color="auto"/>
        <w:bottom w:val="none" w:sz="0" w:space="0" w:color="auto"/>
        <w:right w:val="none" w:sz="0" w:space="0" w:color="auto"/>
      </w:divBdr>
    </w:div>
    <w:div w:id="1174799784">
      <w:bodyDiv w:val="1"/>
      <w:marLeft w:val="0"/>
      <w:marRight w:val="0"/>
      <w:marTop w:val="0"/>
      <w:marBottom w:val="0"/>
      <w:divBdr>
        <w:top w:val="none" w:sz="0" w:space="0" w:color="auto"/>
        <w:left w:val="none" w:sz="0" w:space="0" w:color="auto"/>
        <w:bottom w:val="none" w:sz="0" w:space="0" w:color="auto"/>
        <w:right w:val="none" w:sz="0" w:space="0" w:color="auto"/>
      </w:divBdr>
    </w:div>
    <w:div w:id="1174877513">
      <w:bodyDiv w:val="1"/>
      <w:marLeft w:val="0"/>
      <w:marRight w:val="0"/>
      <w:marTop w:val="0"/>
      <w:marBottom w:val="0"/>
      <w:divBdr>
        <w:top w:val="none" w:sz="0" w:space="0" w:color="auto"/>
        <w:left w:val="none" w:sz="0" w:space="0" w:color="auto"/>
        <w:bottom w:val="none" w:sz="0" w:space="0" w:color="auto"/>
        <w:right w:val="none" w:sz="0" w:space="0" w:color="auto"/>
      </w:divBdr>
    </w:div>
    <w:div w:id="1176305771">
      <w:bodyDiv w:val="1"/>
      <w:marLeft w:val="0"/>
      <w:marRight w:val="0"/>
      <w:marTop w:val="0"/>
      <w:marBottom w:val="0"/>
      <w:divBdr>
        <w:top w:val="none" w:sz="0" w:space="0" w:color="auto"/>
        <w:left w:val="none" w:sz="0" w:space="0" w:color="auto"/>
        <w:bottom w:val="none" w:sz="0" w:space="0" w:color="auto"/>
        <w:right w:val="none" w:sz="0" w:space="0" w:color="auto"/>
      </w:divBdr>
      <w:divsChild>
        <w:div w:id="324671933">
          <w:marLeft w:val="130"/>
          <w:marRight w:val="0"/>
          <w:marTop w:val="0"/>
          <w:marBottom w:val="0"/>
          <w:divBdr>
            <w:top w:val="none" w:sz="0" w:space="0" w:color="auto"/>
            <w:left w:val="none" w:sz="0" w:space="0" w:color="auto"/>
            <w:bottom w:val="none" w:sz="0" w:space="0" w:color="auto"/>
            <w:right w:val="none" w:sz="0" w:space="0" w:color="auto"/>
          </w:divBdr>
        </w:div>
        <w:div w:id="846092204">
          <w:marLeft w:val="130"/>
          <w:marRight w:val="0"/>
          <w:marTop w:val="0"/>
          <w:marBottom w:val="0"/>
          <w:divBdr>
            <w:top w:val="none" w:sz="0" w:space="0" w:color="auto"/>
            <w:left w:val="none" w:sz="0" w:space="0" w:color="auto"/>
            <w:bottom w:val="none" w:sz="0" w:space="0" w:color="auto"/>
            <w:right w:val="none" w:sz="0" w:space="0" w:color="auto"/>
          </w:divBdr>
        </w:div>
        <w:div w:id="1133599926">
          <w:marLeft w:val="130"/>
          <w:marRight w:val="0"/>
          <w:marTop w:val="0"/>
          <w:marBottom w:val="0"/>
          <w:divBdr>
            <w:top w:val="none" w:sz="0" w:space="0" w:color="auto"/>
            <w:left w:val="none" w:sz="0" w:space="0" w:color="auto"/>
            <w:bottom w:val="none" w:sz="0" w:space="0" w:color="auto"/>
            <w:right w:val="none" w:sz="0" w:space="0" w:color="auto"/>
          </w:divBdr>
        </w:div>
      </w:divsChild>
    </w:div>
    <w:div w:id="1176919106">
      <w:bodyDiv w:val="1"/>
      <w:marLeft w:val="0"/>
      <w:marRight w:val="0"/>
      <w:marTop w:val="0"/>
      <w:marBottom w:val="0"/>
      <w:divBdr>
        <w:top w:val="none" w:sz="0" w:space="0" w:color="auto"/>
        <w:left w:val="none" w:sz="0" w:space="0" w:color="auto"/>
        <w:bottom w:val="none" w:sz="0" w:space="0" w:color="auto"/>
        <w:right w:val="none" w:sz="0" w:space="0" w:color="auto"/>
      </w:divBdr>
    </w:div>
    <w:div w:id="1179539500">
      <w:bodyDiv w:val="1"/>
      <w:marLeft w:val="0"/>
      <w:marRight w:val="0"/>
      <w:marTop w:val="0"/>
      <w:marBottom w:val="0"/>
      <w:divBdr>
        <w:top w:val="none" w:sz="0" w:space="0" w:color="auto"/>
        <w:left w:val="none" w:sz="0" w:space="0" w:color="auto"/>
        <w:bottom w:val="none" w:sz="0" w:space="0" w:color="auto"/>
        <w:right w:val="none" w:sz="0" w:space="0" w:color="auto"/>
      </w:divBdr>
      <w:divsChild>
        <w:div w:id="2090468287">
          <w:marLeft w:val="1166"/>
          <w:marRight w:val="0"/>
          <w:marTop w:val="0"/>
          <w:marBottom w:val="0"/>
          <w:divBdr>
            <w:top w:val="none" w:sz="0" w:space="0" w:color="auto"/>
            <w:left w:val="none" w:sz="0" w:space="0" w:color="auto"/>
            <w:bottom w:val="none" w:sz="0" w:space="0" w:color="auto"/>
            <w:right w:val="none" w:sz="0" w:space="0" w:color="auto"/>
          </w:divBdr>
        </w:div>
      </w:divsChild>
    </w:div>
    <w:div w:id="1187594545">
      <w:bodyDiv w:val="1"/>
      <w:marLeft w:val="0"/>
      <w:marRight w:val="0"/>
      <w:marTop w:val="0"/>
      <w:marBottom w:val="0"/>
      <w:divBdr>
        <w:top w:val="none" w:sz="0" w:space="0" w:color="auto"/>
        <w:left w:val="none" w:sz="0" w:space="0" w:color="auto"/>
        <w:bottom w:val="none" w:sz="0" w:space="0" w:color="auto"/>
        <w:right w:val="none" w:sz="0" w:space="0" w:color="auto"/>
      </w:divBdr>
    </w:div>
    <w:div w:id="1188131860">
      <w:bodyDiv w:val="1"/>
      <w:marLeft w:val="0"/>
      <w:marRight w:val="0"/>
      <w:marTop w:val="0"/>
      <w:marBottom w:val="0"/>
      <w:divBdr>
        <w:top w:val="none" w:sz="0" w:space="0" w:color="auto"/>
        <w:left w:val="none" w:sz="0" w:space="0" w:color="auto"/>
        <w:bottom w:val="none" w:sz="0" w:space="0" w:color="auto"/>
        <w:right w:val="none" w:sz="0" w:space="0" w:color="auto"/>
      </w:divBdr>
      <w:divsChild>
        <w:div w:id="116022629">
          <w:marLeft w:val="288"/>
          <w:marRight w:val="0"/>
          <w:marTop w:val="0"/>
          <w:marBottom w:val="0"/>
          <w:divBdr>
            <w:top w:val="none" w:sz="0" w:space="0" w:color="auto"/>
            <w:left w:val="none" w:sz="0" w:space="0" w:color="auto"/>
            <w:bottom w:val="none" w:sz="0" w:space="0" w:color="auto"/>
            <w:right w:val="none" w:sz="0" w:space="0" w:color="auto"/>
          </w:divBdr>
        </w:div>
        <w:div w:id="868759066">
          <w:marLeft w:val="288"/>
          <w:marRight w:val="0"/>
          <w:marTop w:val="0"/>
          <w:marBottom w:val="0"/>
          <w:divBdr>
            <w:top w:val="none" w:sz="0" w:space="0" w:color="auto"/>
            <w:left w:val="none" w:sz="0" w:space="0" w:color="auto"/>
            <w:bottom w:val="none" w:sz="0" w:space="0" w:color="auto"/>
            <w:right w:val="none" w:sz="0" w:space="0" w:color="auto"/>
          </w:divBdr>
        </w:div>
        <w:div w:id="1836258524">
          <w:marLeft w:val="288"/>
          <w:marRight w:val="0"/>
          <w:marTop w:val="0"/>
          <w:marBottom w:val="0"/>
          <w:divBdr>
            <w:top w:val="none" w:sz="0" w:space="0" w:color="auto"/>
            <w:left w:val="none" w:sz="0" w:space="0" w:color="auto"/>
            <w:bottom w:val="none" w:sz="0" w:space="0" w:color="auto"/>
            <w:right w:val="none" w:sz="0" w:space="0" w:color="auto"/>
          </w:divBdr>
        </w:div>
      </w:divsChild>
    </w:div>
    <w:div w:id="1196847167">
      <w:bodyDiv w:val="1"/>
      <w:marLeft w:val="0"/>
      <w:marRight w:val="0"/>
      <w:marTop w:val="0"/>
      <w:marBottom w:val="0"/>
      <w:divBdr>
        <w:top w:val="none" w:sz="0" w:space="0" w:color="auto"/>
        <w:left w:val="none" w:sz="0" w:space="0" w:color="auto"/>
        <w:bottom w:val="none" w:sz="0" w:space="0" w:color="auto"/>
        <w:right w:val="none" w:sz="0" w:space="0" w:color="auto"/>
      </w:divBdr>
      <w:divsChild>
        <w:div w:id="1072965346">
          <w:marLeft w:val="274"/>
          <w:marRight w:val="0"/>
          <w:marTop w:val="60"/>
          <w:marBottom w:val="60"/>
          <w:divBdr>
            <w:top w:val="none" w:sz="0" w:space="0" w:color="auto"/>
            <w:left w:val="none" w:sz="0" w:space="0" w:color="auto"/>
            <w:bottom w:val="none" w:sz="0" w:space="0" w:color="auto"/>
            <w:right w:val="none" w:sz="0" w:space="0" w:color="auto"/>
          </w:divBdr>
        </w:div>
        <w:div w:id="1654991654">
          <w:marLeft w:val="274"/>
          <w:marRight w:val="0"/>
          <w:marTop w:val="60"/>
          <w:marBottom w:val="60"/>
          <w:divBdr>
            <w:top w:val="none" w:sz="0" w:space="0" w:color="auto"/>
            <w:left w:val="none" w:sz="0" w:space="0" w:color="auto"/>
            <w:bottom w:val="none" w:sz="0" w:space="0" w:color="auto"/>
            <w:right w:val="none" w:sz="0" w:space="0" w:color="auto"/>
          </w:divBdr>
        </w:div>
        <w:div w:id="2105884035">
          <w:marLeft w:val="274"/>
          <w:marRight w:val="0"/>
          <w:marTop w:val="60"/>
          <w:marBottom w:val="60"/>
          <w:divBdr>
            <w:top w:val="none" w:sz="0" w:space="0" w:color="auto"/>
            <w:left w:val="none" w:sz="0" w:space="0" w:color="auto"/>
            <w:bottom w:val="none" w:sz="0" w:space="0" w:color="auto"/>
            <w:right w:val="none" w:sz="0" w:space="0" w:color="auto"/>
          </w:divBdr>
        </w:div>
      </w:divsChild>
    </w:div>
    <w:div w:id="1197623509">
      <w:bodyDiv w:val="1"/>
      <w:marLeft w:val="0"/>
      <w:marRight w:val="0"/>
      <w:marTop w:val="0"/>
      <w:marBottom w:val="0"/>
      <w:divBdr>
        <w:top w:val="none" w:sz="0" w:space="0" w:color="auto"/>
        <w:left w:val="none" w:sz="0" w:space="0" w:color="auto"/>
        <w:bottom w:val="none" w:sz="0" w:space="0" w:color="auto"/>
        <w:right w:val="none" w:sz="0" w:space="0" w:color="auto"/>
      </w:divBdr>
    </w:div>
    <w:div w:id="1199054107">
      <w:bodyDiv w:val="1"/>
      <w:marLeft w:val="0"/>
      <w:marRight w:val="0"/>
      <w:marTop w:val="0"/>
      <w:marBottom w:val="0"/>
      <w:divBdr>
        <w:top w:val="none" w:sz="0" w:space="0" w:color="auto"/>
        <w:left w:val="none" w:sz="0" w:space="0" w:color="auto"/>
        <w:bottom w:val="none" w:sz="0" w:space="0" w:color="auto"/>
        <w:right w:val="none" w:sz="0" w:space="0" w:color="auto"/>
      </w:divBdr>
    </w:div>
    <w:div w:id="1200633234">
      <w:bodyDiv w:val="1"/>
      <w:marLeft w:val="0"/>
      <w:marRight w:val="0"/>
      <w:marTop w:val="0"/>
      <w:marBottom w:val="0"/>
      <w:divBdr>
        <w:top w:val="none" w:sz="0" w:space="0" w:color="auto"/>
        <w:left w:val="none" w:sz="0" w:space="0" w:color="auto"/>
        <w:bottom w:val="none" w:sz="0" w:space="0" w:color="auto"/>
        <w:right w:val="none" w:sz="0" w:space="0" w:color="auto"/>
      </w:divBdr>
      <w:divsChild>
        <w:div w:id="979111051">
          <w:marLeft w:val="274"/>
          <w:marRight w:val="0"/>
          <w:marTop w:val="0"/>
          <w:marBottom w:val="0"/>
          <w:divBdr>
            <w:top w:val="none" w:sz="0" w:space="0" w:color="auto"/>
            <w:left w:val="none" w:sz="0" w:space="0" w:color="auto"/>
            <w:bottom w:val="none" w:sz="0" w:space="0" w:color="auto"/>
            <w:right w:val="none" w:sz="0" w:space="0" w:color="auto"/>
          </w:divBdr>
        </w:div>
        <w:div w:id="1107234152">
          <w:marLeft w:val="274"/>
          <w:marRight w:val="0"/>
          <w:marTop w:val="0"/>
          <w:marBottom w:val="0"/>
          <w:divBdr>
            <w:top w:val="none" w:sz="0" w:space="0" w:color="auto"/>
            <w:left w:val="none" w:sz="0" w:space="0" w:color="auto"/>
            <w:bottom w:val="none" w:sz="0" w:space="0" w:color="auto"/>
            <w:right w:val="none" w:sz="0" w:space="0" w:color="auto"/>
          </w:divBdr>
        </w:div>
        <w:div w:id="1866362009">
          <w:marLeft w:val="274"/>
          <w:marRight w:val="0"/>
          <w:marTop w:val="0"/>
          <w:marBottom w:val="0"/>
          <w:divBdr>
            <w:top w:val="none" w:sz="0" w:space="0" w:color="auto"/>
            <w:left w:val="none" w:sz="0" w:space="0" w:color="auto"/>
            <w:bottom w:val="none" w:sz="0" w:space="0" w:color="auto"/>
            <w:right w:val="none" w:sz="0" w:space="0" w:color="auto"/>
          </w:divBdr>
        </w:div>
      </w:divsChild>
    </w:div>
    <w:div w:id="1203446092">
      <w:bodyDiv w:val="1"/>
      <w:marLeft w:val="0"/>
      <w:marRight w:val="0"/>
      <w:marTop w:val="0"/>
      <w:marBottom w:val="0"/>
      <w:divBdr>
        <w:top w:val="none" w:sz="0" w:space="0" w:color="auto"/>
        <w:left w:val="none" w:sz="0" w:space="0" w:color="auto"/>
        <w:bottom w:val="none" w:sz="0" w:space="0" w:color="auto"/>
        <w:right w:val="none" w:sz="0" w:space="0" w:color="auto"/>
      </w:divBdr>
    </w:div>
    <w:div w:id="1208688740">
      <w:bodyDiv w:val="1"/>
      <w:marLeft w:val="0"/>
      <w:marRight w:val="0"/>
      <w:marTop w:val="0"/>
      <w:marBottom w:val="0"/>
      <w:divBdr>
        <w:top w:val="none" w:sz="0" w:space="0" w:color="auto"/>
        <w:left w:val="none" w:sz="0" w:space="0" w:color="auto"/>
        <w:bottom w:val="none" w:sz="0" w:space="0" w:color="auto"/>
        <w:right w:val="none" w:sz="0" w:space="0" w:color="auto"/>
      </w:divBdr>
      <w:divsChild>
        <w:div w:id="465126236">
          <w:marLeft w:val="274"/>
          <w:marRight w:val="0"/>
          <w:marTop w:val="40"/>
          <w:marBottom w:val="40"/>
          <w:divBdr>
            <w:top w:val="none" w:sz="0" w:space="0" w:color="auto"/>
            <w:left w:val="none" w:sz="0" w:space="0" w:color="auto"/>
            <w:bottom w:val="none" w:sz="0" w:space="0" w:color="auto"/>
            <w:right w:val="none" w:sz="0" w:space="0" w:color="auto"/>
          </w:divBdr>
        </w:div>
      </w:divsChild>
    </w:div>
    <w:div w:id="1229918935">
      <w:bodyDiv w:val="1"/>
      <w:marLeft w:val="0"/>
      <w:marRight w:val="0"/>
      <w:marTop w:val="0"/>
      <w:marBottom w:val="0"/>
      <w:divBdr>
        <w:top w:val="none" w:sz="0" w:space="0" w:color="auto"/>
        <w:left w:val="none" w:sz="0" w:space="0" w:color="auto"/>
        <w:bottom w:val="none" w:sz="0" w:space="0" w:color="auto"/>
        <w:right w:val="none" w:sz="0" w:space="0" w:color="auto"/>
      </w:divBdr>
      <w:divsChild>
        <w:div w:id="279723258">
          <w:marLeft w:val="274"/>
          <w:marRight w:val="0"/>
          <w:marTop w:val="40"/>
          <w:marBottom w:val="40"/>
          <w:divBdr>
            <w:top w:val="none" w:sz="0" w:space="0" w:color="auto"/>
            <w:left w:val="none" w:sz="0" w:space="0" w:color="auto"/>
            <w:bottom w:val="none" w:sz="0" w:space="0" w:color="auto"/>
            <w:right w:val="none" w:sz="0" w:space="0" w:color="auto"/>
          </w:divBdr>
        </w:div>
        <w:div w:id="738140391">
          <w:marLeft w:val="274"/>
          <w:marRight w:val="0"/>
          <w:marTop w:val="40"/>
          <w:marBottom w:val="40"/>
          <w:divBdr>
            <w:top w:val="none" w:sz="0" w:space="0" w:color="auto"/>
            <w:left w:val="none" w:sz="0" w:space="0" w:color="auto"/>
            <w:bottom w:val="none" w:sz="0" w:space="0" w:color="auto"/>
            <w:right w:val="none" w:sz="0" w:space="0" w:color="auto"/>
          </w:divBdr>
        </w:div>
        <w:div w:id="2080706895">
          <w:marLeft w:val="274"/>
          <w:marRight w:val="0"/>
          <w:marTop w:val="40"/>
          <w:marBottom w:val="40"/>
          <w:divBdr>
            <w:top w:val="none" w:sz="0" w:space="0" w:color="auto"/>
            <w:left w:val="none" w:sz="0" w:space="0" w:color="auto"/>
            <w:bottom w:val="none" w:sz="0" w:space="0" w:color="auto"/>
            <w:right w:val="none" w:sz="0" w:space="0" w:color="auto"/>
          </w:divBdr>
        </w:div>
      </w:divsChild>
    </w:div>
    <w:div w:id="1232693680">
      <w:bodyDiv w:val="1"/>
      <w:marLeft w:val="0"/>
      <w:marRight w:val="0"/>
      <w:marTop w:val="0"/>
      <w:marBottom w:val="0"/>
      <w:divBdr>
        <w:top w:val="none" w:sz="0" w:space="0" w:color="auto"/>
        <w:left w:val="none" w:sz="0" w:space="0" w:color="auto"/>
        <w:bottom w:val="none" w:sz="0" w:space="0" w:color="auto"/>
        <w:right w:val="none" w:sz="0" w:space="0" w:color="auto"/>
      </w:divBdr>
    </w:div>
    <w:div w:id="1239556006">
      <w:bodyDiv w:val="1"/>
      <w:marLeft w:val="0"/>
      <w:marRight w:val="0"/>
      <w:marTop w:val="0"/>
      <w:marBottom w:val="0"/>
      <w:divBdr>
        <w:top w:val="none" w:sz="0" w:space="0" w:color="auto"/>
        <w:left w:val="none" w:sz="0" w:space="0" w:color="auto"/>
        <w:bottom w:val="none" w:sz="0" w:space="0" w:color="auto"/>
        <w:right w:val="none" w:sz="0" w:space="0" w:color="auto"/>
      </w:divBdr>
    </w:div>
    <w:div w:id="1241217382">
      <w:bodyDiv w:val="1"/>
      <w:marLeft w:val="0"/>
      <w:marRight w:val="0"/>
      <w:marTop w:val="0"/>
      <w:marBottom w:val="0"/>
      <w:divBdr>
        <w:top w:val="none" w:sz="0" w:space="0" w:color="auto"/>
        <w:left w:val="none" w:sz="0" w:space="0" w:color="auto"/>
        <w:bottom w:val="none" w:sz="0" w:space="0" w:color="auto"/>
        <w:right w:val="none" w:sz="0" w:space="0" w:color="auto"/>
      </w:divBdr>
    </w:div>
    <w:div w:id="1243685940">
      <w:bodyDiv w:val="1"/>
      <w:marLeft w:val="0"/>
      <w:marRight w:val="0"/>
      <w:marTop w:val="0"/>
      <w:marBottom w:val="0"/>
      <w:divBdr>
        <w:top w:val="none" w:sz="0" w:space="0" w:color="auto"/>
        <w:left w:val="none" w:sz="0" w:space="0" w:color="auto"/>
        <w:bottom w:val="none" w:sz="0" w:space="0" w:color="auto"/>
        <w:right w:val="none" w:sz="0" w:space="0" w:color="auto"/>
      </w:divBdr>
    </w:div>
    <w:div w:id="1246573601">
      <w:bodyDiv w:val="1"/>
      <w:marLeft w:val="0"/>
      <w:marRight w:val="0"/>
      <w:marTop w:val="0"/>
      <w:marBottom w:val="0"/>
      <w:divBdr>
        <w:top w:val="none" w:sz="0" w:space="0" w:color="auto"/>
        <w:left w:val="none" w:sz="0" w:space="0" w:color="auto"/>
        <w:bottom w:val="none" w:sz="0" w:space="0" w:color="auto"/>
        <w:right w:val="none" w:sz="0" w:space="0" w:color="auto"/>
      </w:divBdr>
    </w:div>
    <w:div w:id="1249383974">
      <w:bodyDiv w:val="1"/>
      <w:marLeft w:val="0"/>
      <w:marRight w:val="0"/>
      <w:marTop w:val="0"/>
      <w:marBottom w:val="0"/>
      <w:divBdr>
        <w:top w:val="none" w:sz="0" w:space="0" w:color="auto"/>
        <w:left w:val="none" w:sz="0" w:space="0" w:color="auto"/>
        <w:bottom w:val="none" w:sz="0" w:space="0" w:color="auto"/>
        <w:right w:val="none" w:sz="0" w:space="0" w:color="auto"/>
      </w:divBdr>
    </w:div>
    <w:div w:id="1254704102">
      <w:bodyDiv w:val="1"/>
      <w:marLeft w:val="0"/>
      <w:marRight w:val="0"/>
      <w:marTop w:val="0"/>
      <w:marBottom w:val="0"/>
      <w:divBdr>
        <w:top w:val="none" w:sz="0" w:space="0" w:color="auto"/>
        <w:left w:val="none" w:sz="0" w:space="0" w:color="auto"/>
        <w:bottom w:val="none" w:sz="0" w:space="0" w:color="auto"/>
        <w:right w:val="none" w:sz="0" w:space="0" w:color="auto"/>
      </w:divBdr>
    </w:div>
    <w:div w:id="1255090638">
      <w:bodyDiv w:val="1"/>
      <w:marLeft w:val="0"/>
      <w:marRight w:val="0"/>
      <w:marTop w:val="0"/>
      <w:marBottom w:val="0"/>
      <w:divBdr>
        <w:top w:val="none" w:sz="0" w:space="0" w:color="auto"/>
        <w:left w:val="none" w:sz="0" w:space="0" w:color="auto"/>
        <w:bottom w:val="none" w:sz="0" w:space="0" w:color="auto"/>
        <w:right w:val="none" w:sz="0" w:space="0" w:color="auto"/>
      </w:divBdr>
    </w:div>
    <w:div w:id="1264613850">
      <w:bodyDiv w:val="1"/>
      <w:marLeft w:val="0"/>
      <w:marRight w:val="0"/>
      <w:marTop w:val="0"/>
      <w:marBottom w:val="0"/>
      <w:divBdr>
        <w:top w:val="none" w:sz="0" w:space="0" w:color="auto"/>
        <w:left w:val="none" w:sz="0" w:space="0" w:color="auto"/>
        <w:bottom w:val="none" w:sz="0" w:space="0" w:color="auto"/>
        <w:right w:val="none" w:sz="0" w:space="0" w:color="auto"/>
      </w:divBdr>
    </w:div>
    <w:div w:id="1267468089">
      <w:bodyDiv w:val="1"/>
      <w:marLeft w:val="0"/>
      <w:marRight w:val="0"/>
      <w:marTop w:val="0"/>
      <w:marBottom w:val="0"/>
      <w:divBdr>
        <w:top w:val="none" w:sz="0" w:space="0" w:color="auto"/>
        <w:left w:val="none" w:sz="0" w:space="0" w:color="auto"/>
        <w:bottom w:val="none" w:sz="0" w:space="0" w:color="auto"/>
        <w:right w:val="none" w:sz="0" w:space="0" w:color="auto"/>
      </w:divBdr>
    </w:div>
    <w:div w:id="1275013298">
      <w:bodyDiv w:val="1"/>
      <w:marLeft w:val="0"/>
      <w:marRight w:val="0"/>
      <w:marTop w:val="0"/>
      <w:marBottom w:val="0"/>
      <w:divBdr>
        <w:top w:val="none" w:sz="0" w:space="0" w:color="auto"/>
        <w:left w:val="none" w:sz="0" w:space="0" w:color="auto"/>
        <w:bottom w:val="none" w:sz="0" w:space="0" w:color="auto"/>
        <w:right w:val="none" w:sz="0" w:space="0" w:color="auto"/>
      </w:divBdr>
    </w:div>
    <w:div w:id="1284965381">
      <w:bodyDiv w:val="1"/>
      <w:marLeft w:val="0"/>
      <w:marRight w:val="0"/>
      <w:marTop w:val="0"/>
      <w:marBottom w:val="0"/>
      <w:divBdr>
        <w:top w:val="none" w:sz="0" w:space="0" w:color="auto"/>
        <w:left w:val="none" w:sz="0" w:space="0" w:color="auto"/>
        <w:bottom w:val="none" w:sz="0" w:space="0" w:color="auto"/>
        <w:right w:val="none" w:sz="0" w:space="0" w:color="auto"/>
      </w:divBdr>
    </w:div>
    <w:div w:id="1294481529">
      <w:bodyDiv w:val="1"/>
      <w:marLeft w:val="0"/>
      <w:marRight w:val="0"/>
      <w:marTop w:val="0"/>
      <w:marBottom w:val="0"/>
      <w:divBdr>
        <w:top w:val="none" w:sz="0" w:space="0" w:color="auto"/>
        <w:left w:val="none" w:sz="0" w:space="0" w:color="auto"/>
        <w:bottom w:val="none" w:sz="0" w:space="0" w:color="auto"/>
        <w:right w:val="none" w:sz="0" w:space="0" w:color="auto"/>
      </w:divBdr>
    </w:div>
    <w:div w:id="1298415350">
      <w:bodyDiv w:val="1"/>
      <w:marLeft w:val="0"/>
      <w:marRight w:val="0"/>
      <w:marTop w:val="0"/>
      <w:marBottom w:val="0"/>
      <w:divBdr>
        <w:top w:val="none" w:sz="0" w:space="0" w:color="auto"/>
        <w:left w:val="none" w:sz="0" w:space="0" w:color="auto"/>
        <w:bottom w:val="none" w:sz="0" w:space="0" w:color="auto"/>
        <w:right w:val="none" w:sz="0" w:space="0" w:color="auto"/>
      </w:divBdr>
    </w:div>
    <w:div w:id="1299799692">
      <w:bodyDiv w:val="1"/>
      <w:marLeft w:val="0"/>
      <w:marRight w:val="0"/>
      <w:marTop w:val="0"/>
      <w:marBottom w:val="0"/>
      <w:divBdr>
        <w:top w:val="none" w:sz="0" w:space="0" w:color="auto"/>
        <w:left w:val="none" w:sz="0" w:space="0" w:color="auto"/>
        <w:bottom w:val="none" w:sz="0" w:space="0" w:color="auto"/>
        <w:right w:val="none" w:sz="0" w:space="0" w:color="auto"/>
      </w:divBdr>
    </w:div>
    <w:div w:id="1300111375">
      <w:bodyDiv w:val="1"/>
      <w:marLeft w:val="0"/>
      <w:marRight w:val="0"/>
      <w:marTop w:val="0"/>
      <w:marBottom w:val="0"/>
      <w:divBdr>
        <w:top w:val="none" w:sz="0" w:space="0" w:color="auto"/>
        <w:left w:val="none" w:sz="0" w:space="0" w:color="auto"/>
        <w:bottom w:val="none" w:sz="0" w:space="0" w:color="auto"/>
        <w:right w:val="none" w:sz="0" w:space="0" w:color="auto"/>
      </w:divBdr>
    </w:div>
    <w:div w:id="1303269792">
      <w:bodyDiv w:val="1"/>
      <w:marLeft w:val="0"/>
      <w:marRight w:val="0"/>
      <w:marTop w:val="0"/>
      <w:marBottom w:val="0"/>
      <w:divBdr>
        <w:top w:val="none" w:sz="0" w:space="0" w:color="auto"/>
        <w:left w:val="none" w:sz="0" w:space="0" w:color="auto"/>
        <w:bottom w:val="none" w:sz="0" w:space="0" w:color="auto"/>
        <w:right w:val="none" w:sz="0" w:space="0" w:color="auto"/>
      </w:divBdr>
      <w:divsChild>
        <w:div w:id="366877289">
          <w:marLeft w:val="274"/>
          <w:marRight w:val="0"/>
          <w:marTop w:val="40"/>
          <w:marBottom w:val="40"/>
          <w:divBdr>
            <w:top w:val="none" w:sz="0" w:space="0" w:color="auto"/>
            <w:left w:val="none" w:sz="0" w:space="0" w:color="auto"/>
            <w:bottom w:val="none" w:sz="0" w:space="0" w:color="auto"/>
            <w:right w:val="none" w:sz="0" w:space="0" w:color="auto"/>
          </w:divBdr>
        </w:div>
        <w:div w:id="375859889">
          <w:marLeft w:val="274"/>
          <w:marRight w:val="0"/>
          <w:marTop w:val="40"/>
          <w:marBottom w:val="40"/>
          <w:divBdr>
            <w:top w:val="none" w:sz="0" w:space="0" w:color="auto"/>
            <w:left w:val="none" w:sz="0" w:space="0" w:color="auto"/>
            <w:bottom w:val="none" w:sz="0" w:space="0" w:color="auto"/>
            <w:right w:val="none" w:sz="0" w:space="0" w:color="auto"/>
          </w:divBdr>
        </w:div>
        <w:div w:id="1043290394">
          <w:marLeft w:val="274"/>
          <w:marRight w:val="0"/>
          <w:marTop w:val="40"/>
          <w:marBottom w:val="40"/>
          <w:divBdr>
            <w:top w:val="none" w:sz="0" w:space="0" w:color="auto"/>
            <w:left w:val="none" w:sz="0" w:space="0" w:color="auto"/>
            <w:bottom w:val="none" w:sz="0" w:space="0" w:color="auto"/>
            <w:right w:val="none" w:sz="0" w:space="0" w:color="auto"/>
          </w:divBdr>
        </w:div>
      </w:divsChild>
    </w:div>
    <w:div w:id="1307321447">
      <w:bodyDiv w:val="1"/>
      <w:marLeft w:val="0"/>
      <w:marRight w:val="0"/>
      <w:marTop w:val="0"/>
      <w:marBottom w:val="0"/>
      <w:divBdr>
        <w:top w:val="none" w:sz="0" w:space="0" w:color="auto"/>
        <w:left w:val="none" w:sz="0" w:space="0" w:color="auto"/>
        <w:bottom w:val="none" w:sz="0" w:space="0" w:color="auto"/>
        <w:right w:val="none" w:sz="0" w:space="0" w:color="auto"/>
      </w:divBdr>
    </w:div>
    <w:div w:id="1311255869">
      <w:bodyDiv w:val="1"/>
      <w:marLeft w:val="0"/>
      <w:marRight w:val="0"/>
      <w:marTop w:val="0"/>
      <w:marBottom w:val="0"/>
      <w:divBdr>
        <w:top w:val="none" w:sz="0" w:space="0" w:color="auto"/>
        <w:left w:val="none" w:sz="0" w:space="0" w:color="auto"/>
        <w:bottom w:val="none" w:sz="0" w:space="0" w:color="auto"/>
        <w:right w:val="none" w:sz="0" w:space="0" w:color="auto"/>
      </w:divBdr>
    </w:div>
    <w:div w:id="1313020771">
      <w:bodyDiv w:val="1"/>
      <w:marLeft w:val="0"/>
      <w:marRight w:val="0"/>
      <w:marTop w:val="0"/>
      <w:marBottom w:val="0"/>
      <w:divBdr>
        <w:top w:val="none" w:sz="0" w:space="0" w:color="auto"/>
        <w:left w:val="none" w:sz="0" w:space="0" w:color="auto"/>
        <w:bottom w:val="none" w:sz="0" w:space="0" w:color="auto"/>
        <w:right w:val="none" w:sz="0" w:space="0" w:color="auto"/>
      </w:divBdr>
    </w:div>
    <w:div w:id="1318074170">
      <w:bodyDiv w:val="1"/>
      <w:marLeft w:val="0"/>
      <w:marRight w:val="0"/>
      <w:marTop w:val="0"/>
      <w:marBottom w:val="0"/>
      <w:divBdr>
        <w:top w:val="none" w:sz="0" w:space="0" w:color="auto"/>
        <w:left w:val="none" w:sz="0" w:space="0" w:color="auto"/>
        <w:bottom w:val="none" w:sz="0" w:space="0" w:color="auto"/>
        <w:right w:val="none" w:sz="0" w:space="0" w:color="auto"/>
      </w:divBdr>
    </w:div>
    <w:div w:id="1318344079">
      <w:bodyDiv w:val="1"/>
      <w:marLeft w:val="0"/>
      <w:marRight w:val="0"/>
      <w:marTop w:val="0"/>
      <w:marBottom w:val="0"/>
      <w:divBdr>
        <w:top w:val="none" w:sz="0" w:space="0" w:color="auto"/>
        <w:left w:val="none" w:sz="0" w:space="0" w:color="auto"/>
        <w:bottom w:val="none" w:sz="0" w:space="0" w:color="auto"/>
        <w:right w:val="none" w:sz="0" w:space="0" w:color="auto"/>
      </w:divBdr>
    </w:div>
    <w:div w:id="1325090935">
      <w:bodyDiv w:val="1"/>
      <w:marLeft w:val="0"/>
      <w:marRight w:val="0"/>
      <w:marTop w:val="0"/>
      <w:marBottom w:val="0"/>
      <w:divBdr>
        <w:top w:val="none" w:sz="0" w:space="0" w:color="auto"/>
        <w:left w:val="none" w:sz="0" w:space="0" w:color="auto"/>
        <w:bottom w:val="none" w:sz="0" w:space="0" w:color="auto"/>
        <w:right w:val="none" w:sz="0" w:space="0" w:color="auto"/>
      </w:divBdr>
    </w:div>
    <w:div w:id="1331104269">
      <w:bodyDiv w:val="1"/>
      <w:marLeft w:val="0"/>
      <w:marRight w:val="0"/>
      <w:marTop w:val="0"/>
      <w:marBottom w:val="0"/>
      <w:divBdr>
        <w:top w:val="none" w:sz="0" w:space="0" w:color="auto"/>
        <w:left w:val="none" w:sz="0" w:space="0" w:color="auto"/>
        <w:bottom w:val="none" w:sz="0" w:space="0" w:color="auto"/>
        <w:right w:val="none" w:sz="0" w:space="0" w:color="auto"/>
      </w:divBdr>
    </w:div>
    <w:div w:id="1333069401">
      <w:bodyDiv w:val="1"/>
      <w:marLeft w:val="0"/>
      <w:marRight w:val="0"/>
      <w:marTop w:val="0"/>
      <w:marBottom w:val="0"/>
      <w:divBdr>
        <w:top w:val="none" w:sz="0" w:space="0" w:color="auto"/>
        <w:left w:val="none" w:sz="0" w:space="0" w:color="auto"/>
        <w:bottom w:val="none" w:sz="0" w:space="0" w:color="auto"/>
        <w:right w:val="none" w:sz="0" w:space="0" w:color="auto"/>
      </w:divBdr>
      <w:divsChild>
        <w:div w:id="218176893">
          <w:marLeft w:val="274"/>
          <w:marRight w:val="0"/>
          <w:marTop w:val="40"/>
          <w:marBottom w:val="40"/>
          <w:divBdr>
            <w:top w:val="none" w:sz="0" w:space="0" w:color="auto"/>
            <w:left w:val="none" w:sz="0" w:space="0" w:color="auto"/>
            <w:bottom w:val="none" w:sz="0" w:space="0" w:color="auto"/>
            <w:right w:val="none" w:sz="0" w:space="0" w:color="auto"/>
          </w:divBdr>
        </w:div>
        <w:div w:id="1003624559">
          <w:marLeft w:val="274"/>
          <w:marRight w:val="0"/>
          <w:marTop w:val="40"/>
          <w:marBottom w:val="40"/>
          <w:divBdr>
            <w:top w:val="none" w:sz="0" w:space="0" w:color="auto"/>
            <w:left w:val="none" w:sz="0" w:space="0" w:color="auto"/>
            <w:bottom w:val="none" w:sz="0" w:space="0" w:color="auto"/>
            <w:right w:val="none" w:sz="0" w:space="0" w:color="auto"/>
          </w:divBdr>
        </w:div>
        <w:div w:id="1104348933">
          <w:marLeft w:val="274"/>
          <w:marRight w:val="0"/>
          <w:marTop w:val="40"/>
          <w:marBottom w:val="40"/>
          <w:divBdr>
            <w:top w:val="none" w:sz="0" w:space="0" w:color="auto"/>
            <w:left w:val="none" w:sz="0" w:space="0" w:color="auto"/>
            <w:bottom w:val="none" w:sz="0" w:space="0" w:color="auto"/>
            <w:right w:val="none" w:sz="0" w:space="0" w:color="auto"/>
          </w:divBdr>
        </w:div>
        <w:div w:id="2079670866">
          <w:marLeft w:val="274"/>
          <w:marRight w:val="0"/>
          <w:marTop w:val="40"/>
          <w:marBottom w:val="40"/>
          <w:divBdr>
            <w:top w:val="none" w:sz="0" w:space="0" w:color="auto"/>
            <w:left w:val="none" w:sz="0" w:space="0" w:color="auto"/>
            <w:bottom w:val="none" w:sz="0" w:space="0" w:color="auto"/>
            <w:right w:val="none" w:sz="0" w:space="0" w:color="auto"/>
          </w:divBdr>
        </w:div>
      </w:divsChild>
    </w:div>
    <w:div w:id="1333221641">
      <w:bodyDiv w:val="1"/>
      <w:marLeft w:val="0"/>
      <w:marRight w:val="0"/>
      <w:marTop w:val="0"/>
      <w:marBottom w:val="0"/>
      <w:divBdr>
        <w:top w:val="none" w:sz="0" w:space="0" w:color="auto"/>
        <w:left w:val="none" w:sz="0" w:space="0" w:color="auto"/>
        <w:bottom w:val="none" w:sz="0" w:space="0" w:color="auto"/>
        <w:right w:val="none" w:sz="0" w:space="0" w:color="auto"/>
      </w:divBdr>
    </w:div>
    <w:div w:id="1334451964">
      <w:bodyDiv w:val="1"/>
      <w:marLeft w:val="0"/>
      <w:marRight w:val="0"/>
      <w:marTop w:val="0"/>
      <w:marBottom w:val="0"/>
      <w:divBdr>
        <w:top w:val="none" w:sz="0" w:space="0" w:color="auto"/>
        <w:left w:val="none" w:sz="0" w:space="0" w:color="auto"/>
        <w:bottom w:val="none" w:sz="0" w:space="0" w:color="auto"/>
        <w:right w:val="none" w:sz="0" w:space="0" w:color="auto"/>
      </w:divBdr>
      <w:divsChild>
        <w:div w:id="308480213">
          <w:marLeft w:val="288"/>
          <w:marRight w:val="0"/>
          <w:marTop w:val="0"/>
          <w:marBottom w:val="0"/>
          <w:divBdr>
            <w:top w:val="none" w:sz="0" w:space="0" w:color="auto"/>
            <w:left w:val="none" w:sz="0" w:space="0" w:color="auto"/>
            <w:bottom w:val="none" w:sz="0" w:space="0" w:color="auto"/>
            <w:right w:val="none" w:sz="0" w:space="0" w:color="auto"/>
          </w:divBdr>
        </w:div>
      </w:divsChild>
    </w:div>
    <w:div w:id="1338002362">
      <w:bodyDiv w:val="1"/>
      <w:marLeft w:val="0"/>
      <w:marRight w:val="0"/>
      <w:marTop w:val="0"/>
      <w:marBottom w:val="0"/>
      <w:divBdr>
        <w:top w:val="none" w:sz="0" w:space="0" w:color="auto"/>
        <w:left w:val="none" w:sz="0" w:space="0" w:color="auto"/>
        <w:bottom w:val="none" w:sz="0" w:space="0" w:color="auto"/>
        <w:right w:val="none" w:sz="0" w:space="0" w:color="auto"/>
      </w:divBdr>
      <w:divsChild>
        <w:div w:id="1239947524">
          <w:marLeft w:val="0"/>
          <w:marRight w:val="0"/>
          <w:marTop w:val="0"/>
          <w:marBottom w:val="0"/>
          <w:divBdr>
            <w:top w:val="single" w:sz="6" w:space="0" w:color="D2D2D2"/>
            <w:left w:val="single" w:sz="6" w:space="0" w:color="D2D2D2"/>
            <w:bottom w:val="single" w:sz="6" w:space="11" w:color="D2D2D2"/>
            <w:right w:val="single" w:sz="6" w:space="0" w:color="D2D2D2"/>
          </w:divBdr>
          <w:divsChild>
            <w:div w:id="2010212515">
              <w:marLeft w:val="0"/>
              <w:marRight w:val="150"/>
              <w:marTop w:val="0"/>
              <w:marBottom w:val="0"/>
              <w:divBdr>
                <w:top w:val="none" w:sz="0" w:space="0" w:color="auto"/>
                <w:left w:val="none" w:sz="0" w:space="0" w:color="auto"/>
                <w:bottom w:val="none" w:sz="0" w:space="0" w:color="auto"/>
                <w:right w:val="none" w:sz="0" w:space="0" w:color="auto"/>
              </w:divBdr>
              <w:divsChild>
                <w:div w:id="3911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119746">
      <w:bodyDiv w:val="1"/>
      <w:marLeft w:val="0"/>
      <w:marRight w:val="0"/>
      <w:marTop w:val="0"/>
      <w:marBottom w:val="0"/>
      <w:divBdr>
        <w:top w:val="none" w:sz="0" w:space="0" w:color="auto"/>
        <w:left w:val="none" w:sz="0" w:space="0" w:color="auto"/>
        <w:bottom w:val="none" w:sz="0" w:space="0" w:color="auto"/>
        <w:right w:val="none" w:sz="0" w:space="0" w:color="auto"/>
      </w:divBdr>
    </w:div>
    <w:div w:id="1343584964">
      <w:bodyDiv w:val="1"/>
      <w:marLeft w:val="0"/>
      <w:marRight w:val="0"/>
      <w:marTop w:val="0"/>
      <w:marBottom w:val="0"/>
      <w:divBdr>
        <w:top w:val="none" w:sz="0" w:space="0" w:color="auto"/>
        <w:left w:val="none" w:sz="0" w:space="0" w:color="auto"/>
        <w:bottom w:val="none" w:sz="0" w:space="0" w:color="auto"/>
        <w:right w:val="none" w:sz="0" w:space="0" w:color="auto"/>
      </w:divBdr>
    </w:div>
    <w:div w:id="1348799295">
      <w:bodyDiv w:val="1"/>
      <w:marLeft w:val="0"/>
      <w:marRight w:val="0"/>
      <w:marTop w:val="0"/>
      <w:marBottom w:val="0"/>
      <w:divBdr>
        <w:top w:val="none" w:sz="0" w:space="0" w:color="auto"/>
        <w:left w:val="none" w:sz="0" w:space="0" w:color="auto"/>
        <w:bottom w:val="none" w:sz="0" w:space="0" w:color="auto"/>
        <w:right w:val="none" w:sz="0" w:space="0" w:color="auto"/>
      </w:divBdr>
      <w:divsChild>
        <w:div w:id="2083260197">
          <w:marLeft w:val="0"/>
          <w:marRight w:val="0"/>
          <w:marTop w:val="0"/>
          <w:marBottom w:val="0"/>
          <w:divBdr>
            <w:top w:val="none" w:sz="0" w:space="0" w:color="auto"/>
            <w:left w:val="none" w:sz="0" w:space="0" w:color="auto"/>
            <w:bottom w:val="none" w:sz="0" w:space="0" w:color="auto"/>
            <w:right w:val="none" w:sz="0" w:space="0" w:color="auto"/>
          </w:divBdr>
          <w:divsChild>
            <w:div w:id="1538078810">
              <w:marLeft w:val="0"/>
              <w:marRight w:val="0"/>
              <w:marTop w:val="0"/>
              <w:marBottom w:val="0"/>
              <w:divBdr>
                <w:top w:val="none" w:sz="0" w:space="0" w:color="auto"/>
                <w:left w:val="none" w:sz="0" w:space="0" w:color="auto"/>
                <w:bottom w:val="none" w:sz="0" w:space="0" w:color="auto"/>
                <w:right w:val="none" w:sz="0" w:space="0" w:color="auto"/>
              </w:divBdr>
              <w:divsChild>
                <w:div w:id="40517428">
                  <w:marLeft w:val="0"/>
                  <w:marRight w:val="0"/>
                  <w:marTop w:val="0"/>
                  <w:marBottom w:val="0"/>
                  <w:divBdr>
                    <w:top w:val="single" w:sz="8" w:space="3" w:color="FFFFFF"/>
                    <w:left w:val="none" w:sz="0" w:space="0" w:color="auto"/>
                    <w:bottom w:val="none" w:sz="0" w:space="0" w:color="auto"/>
                    <w:right w:val="none" w:sz="0" w:space="0" w:color="auto"/>
                  </w:divBdr>
                  <w:divsChild>
                    <w:div w:id="171816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26275">
      <w:bodyDiv w:val="1"/>
      <w:marLeft w:val="0"/>
      <w:marRight w:val="0"/>
      <w:marTop w:val="0"/>
      <w:marBottom w:val="0"/>
      <w:divBdr>
        <w:top w:val="none" w:sz="0" w:space="0" w:color="auto"/>
        <w:left w:val="none" w:sz="0" w:space="0" w:color="auto"/>
        <w:bottom w:val="none" w:sz="0" w:space="0" w:color="auto"/>
        <w:right w:val="none" w:sz="0" w:space="0" w:color="auto"/>
      </w:divBdr>
    </w:div>
    <w:div w:id="1357345862">
      <w:bodyDiv w:val="1"/>
      <w:marLeft w:val="0"/>
      <w:marRight w:val="0"/>
      <w:marTop w:val="0"/>
      <w:marBottom w:val="0"/>
      <w:divBdr>
        <w:top w:val="none" w:sz="0" w:space="0" w:color="auto"/>
        <w:left w:val="none" w:sz="0" w:space="0" w:color="auto"/>
        <w:bottom w:val="none" w:sz="0" w:space="0" w:color="auto"/>
        <w:right w:val="none" w:sz="0" w:space="0" w:color="auto"/>
      </w:divBdr>
    </w:div>
    <w:div w:id="1361273317">
      <w:bodyDiv w:val="1"/>
      <w:marLeft w:val="0"/>
      <w:marRight w:val="0"/>
      <w:marTop w:val="0"/>
      <w:marBottom w:val="0"/>
      <w:divBdr>
        <w:top w:val="none" w:sz="0" w:space="0" w:color="auto"/>
        <w:left w:val="none" w:sz="0" w:space="0" w:color="auto"/>
        <w:bottom w:val="none" w:sz="0" w:space="0" w:color="auto"/>
        <w:right w:val="none" w:sz="0" w:space="0" w:color="auto"/>
      </w:divBdr>
    </w:div>
    <w:div w:id="1361391448">
      <w:bodyDiv w:val="1"/>
      <w:marLeft w:val="0"/>
      <w:marRight w:val="0"/>
      <w:marTop w:val="0"/>
      <w:marBottom w:val="0"/>
      <w:divBdr>
        <w:top w:val="none" w:sz="0" w:space="0" w:color="auto"/>
        <w:left w:val="none" w:sz="0" w:space="0" w:color="auto"/>
        <w:bottom w:val="none" w:sz="0" w:space="0" w:color="auto"/>
        <w:right w:val="none" w:sz="0" w:space="0" w:color="auto"/>
      </w:divBdr>
    </w:div>
    <w:div w:id="1372346202">
      <w:bodyDiv w:val="1"/>
      <w:marLeft w:val="0"/>
      <w:marRight w:val="0"/>
      <w:marTop w:val="0"/>
      <w:marBottom w:val="0"/>
      <w:divBdr>
        <w:top w:val="none" w:sz="0" w:space="0" w:color="auto"/>
        <w:left w:val="none" w:sz="0" w:space="0" w:color="auto"/>
        <w:bottom w:val="none" w:sz="0" w:space="0" w:color="auto"/>
        <w:right w:val="none" w:sz="0" w:space="0" w:color="auto"/>
      </w:divBdr>
    </w:div>
    <w:div w:id="1376929276">
      <w:bodyDiv w:val="1"/>
      <w:marLeft w:val="0"/>
      <w:marRight w:val="0"/>
      <w:marTop w:val="0"/>
      <w:marBottom w:val="0"/>
      <w:divBdr>
        <w:top w:val="none" w:sz="0" w:space="0" w:color="auto"/>
        <w:left w:val="none" w:sz="0" w:space="0" w:color="auto"/>
        <w:bottom w:val="none" w:sz="0" w:space="0" w:color="auto"/>
        <w:right w:val="none" w:sz="0" w:space="0" w:color="auto"/>
      </w:divBdr>
    </w:div>
    <w:div w:id="1384021341">
      <w:bodyDiv w:val="1"/>
      <w:marLeft w:val="0"/>
      <w:marRight w:val="0"/>
      <w:marTop w:val="0"/>
      <w:marBottom w:val="0"/>
      <w:divBdr>
        <w:top w:val="none" w:sz="0" w:space="0" w:color="auto"/>
        <w:left w:val="none" w:sz="0" w:space="0" w:color="auto"/>
        <w:bottom w:val="none" w:sz="0" w:space="0" w:color="auto"/>
        <w:right w:val="none" w:sz="0" w:space="0" w:color="auto"/>
      </w:divBdr>
      <w:divsChild>
        <w:div w:id="527723524">
          <w:marLeft w:val="130"/>
          <w:marRight w:val="0"/>
          <w:marTop w:val="0"/>
          <w:marBottom w:val="0"/>
          <w:divBdr>
            <w:top w:val="none" w:sz="0" w:space="0" w:color="auto"/>
            <w:left w:val="none" w:sz="0" w:space="0" w:color="auto"/>
            <w:bottom w:val="none" w:sz="0" w:space="0" w:color="auto"/>
            <w:right w:val="none" w:sz="0" w:space="0" w:color="auto"/>
          </w:divBdr>
        </w:div>
        <w:div w:id="808472505">
          <w:marLeft w:val="130"/>
          <w:marRight w:val="0"/>
          <w:marTop w:val="0"/>
          <w:marBottom w:val="0"/>
          <w:divBdr>
            <w:top w:val="none" w:sz="0" w:space="0" w:color="auto"/>
            <w:left w:val="none" w:sz="0" w:space="0" w:color="auto"/>
            <w:bottom w:val="none" w:sz="0" w:space="0" w:color="auto"/>
            <w:right w:val="none" w:sz="0" w:space="0" w:color="auto"/>
          </w:divBdr>
        </w:div>
        <w:div w:id="1230731936">
          <w:marLeft w:val="130"/>
          <w:marRight w:val="0"/>
          <w:marTop w:val="0"/>
          <w:marBottom w:val="0"/>
          <w:divBdr>
            <w:top w:val="none" w:sz="0" w:space="0" w:color="auto"/>
            <w:left w:val="none" w:sz="0" w:space="0" w:color="auto"/>
            <w:bottom w:val="none" w:sz="0" w:space="0" w:color="auto"/>
            <w:right w:val="none" w:sz="0" w:space="0" w:color="auto"/>
          </w:divBdr>
        </w:div>
        <w:div w:id="1649742281">
          <w:marLeft w:val="130"/>
          <w:marRight w:val="0"/>
          <w:marTop w:val="0"/>
          <w:marBottom w:val="0"/>
          <w:divBdr>
            <w:top w:val="none" w:sz="0" w:space="0" w:color="auto"/>
            <w:left w:val="none" w:sz="0" w:space="0" w:color="auto"/>
            <w:bottom w:val="none" w:sz="0" w:space="0" w:color="auto"/>
            <w:right w:val="none" w:sz="0" w:space="0" w:color="auto"/>
          </w:divBdr>
        </w:div>
      </w:divsChild>
    </w:div>
    <w:div w:id="1385253612">
      <w:bodyDiv w:val="1"/>
      <w:marLeft w:val="0"/>
      <w:marRight w:val="0"/>
      <w:marTop w:val="0"/>
      <w:marBottom w:val="0"/>
      <w:divBdr>
        <w:top w:val="none" w:sz="0" w:space="0" w:color="auto"/>
        <w:left w:val="none" w:sz="0" w:space="0" w:color="auto"/>
        <w:bottom w:val="none" w:sz="0" w:space="0" w:color="auto"/>
        <w:right w:val="none" w:sz="0" w:space="0" w:color="auto"/>
      </w:divBdr>
    </w:div>
    <w:div w:id="1386879018">
      <w:bodyDiv w:val="1"/>
      <w:marLeft w:val="0"/>
      <w:marRight w:val="0"/>
      <w:marTop w:val="0"/>
      <w:marBottom w:val="0"/>
      <w:divBdr>
        <w:top w:val="none" w:sz="0" w:space="0" w:color="auto"/>
        <w:left w:val="none" w:sz="0" w:space="0" w:color="auto"/>
        <w:bottom w:val="none" w:sz="0" w:space="0" w:color="auto"/>
        <w:right w:val="none" w:sz="0" w:space="0" w:color="auto"/>
      </w:divBdr>
    </w:div>
    <w:div w:id="1387797487">
      <w:bodyDiv w:val="1"/>
      <w:marLeft w:val="0"/>
      <w:marRight w:val="0"/>
      <w:marTop w:val="0"/>
      <w:marBottom w:val="0"/>
      <w:divBdr>
        <w:top w:val="none" w:sz="0" w:space="0" w:color="auto"/>
        <w:left w:val="none" w:sz="0" w:space="0" w:color="auto"/>
        <w:bottom w:val="none" w:sz="0" w:space="0" w:color="auto"/>
        <w:right w:val="none" w:sz="0" w:space="0" w:color="auto"/>
      </w:divBdr>
    </w:div>
    <w:div w:id="1389304479">
      <w:bodyDiv w:val="1"/>
      <w:marLeft w:val="0"/>
      <w:marRight w:val="0"/>
      <w:marTop w:val="0"/>
      <w:marBottom w:val="0"/>
      <w:divBdr>
        <w:top w:val="none" w:sz="0" w:space="0" w:color="auto"/>
        <w:left w:val="none" w:sz="0" w:space="0" w:color="auto"/>
        <w:bottom w:val="none" w:sz="0" w:space="0" w:color="auto"/>
        <w:right w:val="none" w:sz="0" w:space="0" w:color="auto"/>
      </w:divBdr>
    </w:div>
    <w:div w:id="1396123962">
      <w:bodyDiv w:val="1"/>
      <w:marLeft w:val="0"/>
      <w:marRight w:val="0"/>
      <w:marTop w:val="0"/>
      <w:marBottom w:val="0"/>
      <w:divBdr>
        <w:top w:val="none" w:sz="0" w:space="0" w:color="auto"/>
        <w:left w:val="none" w:sz="0" w:space="0" w:color="auto"/>
        <w:bottom w:val="none" w:sz="0" w:space="0" w:color="auto"/>
        <w:right w:val="none" w:sz="0" w:space="0" w:color="auto"/>
      </w:divBdr>
    </w:div>
    <w:div w:id="1409159495">
      <w:bodyDiv w:val="1"/>
      <w:marLeft w:val="0"/>
      <w:marRight w:val="0"/>
      <w:marTop w:val="0"/>
      <w:marBottom w:val="0"/>
      <w:divBdr>
        <w:top w:val="none" w:sz="0" w:space="0" w:color="auto"/>
        <w:left w:val="none" w:sz="0" w:space="0" w:color="auto"/>
        <w:bottom w:val="none" w:sz="0" w:space="0" w:color="auto"/>
        <w:right w:val="none" w:sz="0" w:space="0" w:color="auto"/>
      </w:divBdr>
    </w:div>
    <w:div w:id="1414278101">
      <w:bodyDiv w:val="1"/>
      <w:marLeft w:val="0"/>
      <w:marRight w:val="0"/>
      <w:marTop w:val="0"/>
      <w:marBottom w:val="0"/>
      <w:divBdr>
        <w:top w:val="none" w:sz="0" w:space="0" w:color="auto"/>
        <w:left w:val="none" w:sz="0" w:space="0" w:color="auto"/>
        <w:bottom w:val="none" w:sz="0" w:space="0" w:color="auto"/>
        <w:right w:val="none" w:sz="0" w:space="0" w:color="auto"/>
      </w:divBdr>
    </w:div>
    <w:div w:id="1416123615">
      <w:bodyDiv w:val="1"/>
      <w:marLeft w:val="0"/>
      <w:marRight w:val="0"/>
      <w:marTop w:val="0"/>
      <w:marBottom w:val="0"/>
      <w:divBdr>
        <w:top w:val="none" w:sz="0" w:space="0" w:color="auto"/>
        <w:left w:val="none" w:sz="0" w:space="0" w:color="auto"/>
        <w:bottom w:val="none" w:sz="0" w:space="0" w:color="auto"/>
        <w:right w:val="none" w:sz="0" w:space="0" w:color="auto"/>
      </w:divBdr>
    </w:div>
    <w:div w:id="1417634481">
      <w:bodyDiv w:val="1"/>
      <w:marLeft w:val="0"/>
      <w:marRight w:val="0"/>
      <w:marTop w:val="0"/>
      <w:marBottom w:val="0"/>
      <w:divBdr>
        <w:top w:val="none" w:sz="0" w:space="0" w:color="auto"/>
        <w:left w:val="none" w:sz="0" w:space="0" w:color="auto"/>
        <w:bottom w:val="none" w:sz="0" w:space="0" w:color="auto"/>
        <w:right w:val="none" w:sz="0" w:space="0" w:color="auto"/>
      </w:divBdr>
      <w:divsChild>
        <w:div w:id="288249460">
          <w:marLeft w:val="274"/>
          <w:marRight w:val="0"/>
          <w:marTop w:val="40"/>
          <w:marBottom w:val="40"/>
          <w:divBdr>
            <w:top w:val="none" w:sz="0" w:space="0" w:color="auto"/>
            <w:left w:val="none" w:sz="0" w:space="0" w:color="auto"/>
            <w:bottom w:val="none" w:sz="0" w:space="0" w:color="auto"/>
            <w:right w:val="none" w:sz="0" w:space="0" w:color="auto"/>
          </w:divBdr>
        </w:div>
      </w:divsChild>
    </w:div>
    <w:div w:id="1417827454">
      <w:bodyDiv w:val="1"/>
      <w:marLeft w:val="0"/>
      <w:marRight w:val="0"/>
      <w:marTop w:val="0"/>
      <w:marBottom w:val="0"/>
      <w:divBdr>
        <w:top w:val="none" w:sz="0" w:space="0" w:color="auto"/>
        <w:left w:val="none" w:sz="0" w:space="0" w:color="auto"/>
        <w:bottom w:val="none" w:sz="0" w:space="0" w:color="auto"/>
        <w:right w:val="none" w:sz="0" w:space="0" w:color="auto"/>
      </w:divBdr>
    </w:div>
    <w:div w:id="1420059618">
      <w:bodyDiv w:val="1"/>
      <w:marLeft w:val="0"/>
      <w:marRight w:val="0"/>
      <w:marTop w:val="0"/>
      <w:marBottom w:val="0"/>
      <w:divBdr>
        <w:top w:val="none" w:sz="0" w:space="0" w:color="auto"/>
        <w:left w:val="none" w:sz="0" w:space="0" w:color="auto"/>
        <w:bottom w:val="none" w:sz="0" w:space="0" w:color="auto"/>
        <w:right w:val="none" w:sz="0" w:space="0" w:color="auto"/>
      </w:divBdr>
    </w:div>
    <w:div w:id="1420102580">
      <w:bodyDiv w:val="1"/>
      <w:marLeft w:val="0"/>
      <w:marRight w:val="0"/>
      <w:marTop w:val="0"/>
      <w:marBottom w:val="0"/>
      <w:divBdr>
        <w:top w:val="none" w:sz="0" w:space="0" w:color="auto"/>
        <w:left w:val="none" w:sz="0" w:space="0" w:color="auto"/>
        <w:bottom w:val="none" w:sz="0" w:space="0" w:color="auto"/>
        <w:right w:val="none" w:sz="0" w:space="0" w:color="auto"/>
      </w:divBdr>
    </w:div>
    <w:div w:id="1426657721">
      <w:bodyDiv w:val="1"/>
      <w:marLeft w:val="0"/>
      <w:marRight w:val="0"/>
      <w:marTop w:val="0"/>
      <w:marBottom w:val="0"/>
      <w:divBdr>
        <w:top w:val="none" w:sz="0" w:space="0" w:color="auto"/>
        <w:left w:val="none" w:sz="0" w:space="0" w:color="auto"/>
        <w:bottom w:val="none" w:sz="0" w:space="0" w:color="auto"/>
        <w:right w:val="none" w:sz="0" w:space="0" w:color="auto"/>
      </w:divBdr>
    </w:div>
    <w:div w:id="1427967639">
      <w:bodyDiv w:val="1"/>
      <w:marLeft w:val="0"/>
      <w:marRight w:val="0"/>
      <w:marTop w:val="0"/>
      <w:marBottom w:val="0"/>
      <w:divBdr>
        <w:top w:val="none" w:sz="0" w:space="0" w:color="auto"/>
        <w:left w:val="none" w:sz="0" w:space="0" w:color="auto"/>
        <w:bottom w:val="none" w:sz="0" w:space="0" w:color="auto"/>
        <w:right w:val="none" w:sz="0" w:space="0" w:color="auto"/>
      </w:divBdr>
    </w:div>
    <w:div w:id="1430857370">
      <w:bodyDiv w:val="1"/>
      <w:marLeft w:val="0"/>
      <w:marRight w:val="0"/>
      <w:marTop w:val="0"/>
      <w:marBottom w:val="0"/>
      <w:divBdr>
        <w:top w:val="none" w:sz="0" w:space="0" w:color="auto"/>
        <w:left w:val="none" w:sz="0" w:space="0" w:color="auto"/>
        <w:bottom w:val="none" w:sz="0" w:space="0" w:color="auto"/>
        <w:right w:val="none" w:sz="0" w:space="0" w:color="auto"/>
      </w:divBdr>
    </w:div>
    <w:div w:id="1430857981">
      <w:bodyDiv w:val="1"/>
      <w:marLeft w:val="0"/>
      <w:marRight w:val="0"/>
      <w:marTop w:val="0"/>
      <w:marBottom w:val="0"/>
      <w:divBdr>
        <w:top w:val="none" w:sz="0" w:space="0" w:color="auto"/>
        <w:left w:val="none" w:sz="0" w:space="0" w:color="auto"/>
        <w:bottom w:val="none" w:sz="0" w:space="0" w:color="auto"/>
        <w:right w:val="none" w:sz="0" w:space="0" w:color="auto"/>
      </w:divBdr>
    </w:div>
    <w:div w:id="1436051047">
      <w:bodyDiv w:val="1"/>
      <w:marLeft w:val="0"/>
      <w:marRight w:val="0"/>
      <w:marTop w:val="0"/>
      <w:marBottom w:val="0"/>
      <w:divBdr>
        <w:top w:val="none" w:sz="0" w:space="0" w:color="auto"/>
        <w:left w:val="none" w:sz="0" w:space="0" w:color="auto"/>
        <w:bottom w:val="none" w:sz="0" w:space="0" w:color="auto"/>
        <w:right w:val="none" w:sz="0" w:space="0" w:color="auto"/>
      </w:divBdr>
      <w:divsChild>
        <w:div w:id="51273667">
          <w:marLeft w:val="274"/>
          <w:marRight w:val="0"/>
          <w:marTop w:val="40"/>
          <w:marBottom w:val="40"/>
          <w:divBdr>
            <w:top w:val="none" w:sz="0" w:space="0" w:color="auto"/>
            <w:left w:val="none" w:sz="0" w:space="0" w:color="auto"/>
            <w:bottom w:val="none" w:sz="0" w:space="0" w:color="auto"/>
            <w:right w:val="none" w:sz="0" w:space="0" w:color="auto"/>
          </w:divBdr>
        </w:div>
        <w:div w:id="836306195">
          <w:marLeft w:val="274"/>
          <w:marRight w:val="0"/>
          <w:marTop w:val="40"/>
          <w:marBottom w:val="40"/>
          <w:divBdr>
            <w:top w:val="none" w:sz="0" w:space="0" w:color="auto"/>
            <w:left w:val="none" w:sz="0" w:space="0" w:color="auto"/>
            <w:bottom w:val="none" w:sz="0" w:space="0" w:color="auto"/>
            <w:right w:val="none" w:sz="0" w:space="0" w:color="auto"/>
          </w:divBdr>
        </w:div>
        <w:div w:id="1166483245">
          <w:marLeft w:val="274"/>
          <w:marRight w:val="0"/>
          <w:marTop w:val="40"/>
          <w:marBottom w:val="40"/>
          <w:divBdr>
            <w:top w:val="none" w:sz="0" w:space="0" w:color="auto"/>
            <w:left w:val="none" w:sz="0" w:space="0" w:color="auto"/>
            <w:bottom w:val="none" w:sz="0" w:space="0" w:color="auto"/>
            <w:right w:val="none" w:sz="0" w:space="0" w:color="auto"/>
          </w:divBdr>
        </w:div>
        <w:div w:id="1924945829">
          <w:marLeft w:val="274"/>
          <w:marRight w:val="0"/>
          <w:marTop w:val="40"/>
          <w:marBottom w:val="40"/>
          <w:divBdr>
            <w:top w:val="none" w:sz="0" w:space="0" w:color="auto"/>
            <w:left w:val="none" w:sz="0" w:space="0" w:color="auto"/>
            <w:bottom w:val="none" w:sz="0" w:space="0" w:color="auto"/>
            <w:right w:val="none" w:sz="0" w:space="0" w:color="auto"/>
          </w:divBdr>
        </w:div>
      </w:divsChild>
    </w:div>
    <w:div w:id="1436363652">
      <w:bodyDiv w:val="1"/>
      <w:marLeft w:val="0"/>
      <w:marRight w:val="0"/>
      <w:marTop w:val="0"/>
      <w:marBottom w:val="0"/>
      <w:divBdr>
        <w:top w:val="none" w:sz="0" w:space="0" w:color="auto"/>
        <w:left w:val="none" w:sz="0" w:space="0" w:color="auto"/>
        <w:bottom w:val="none" w:sz="0" w:space="0" w:color="auto"/>
        <w:right w:val="none" w:sz="0" w:space="0" w:color="auto"/>
      </w:divBdr>
    </w:div>
    <w:div w:id="1448235790">
      <w:bodyDiv w:val="1"/>
      <w:marLeft w:val="0"/>
      <w:marRight w:val="0"/>
      <w:marTop w:val="0"/>
      <w:marBottom w:val="0"/>
      <w:divBdr>
        <w:top w:val="none" w:sz="0" w:space="0" w:color="auto"/>
        <w:left w:val="none" w:sz="0" w:space="0" w:color="auto"/>
        <w:bottom w:val="none" w:sz="0" w:space="0" w:color="auto"/>
        <w:right w:val="none" w:sz="0" w:space="0" w:color="auto"/>
      </w:divBdr>
    </w:div>
    <w:div w:id="1457480210">
      <w:bodyDiv w:val="1"/>
      <w:marLeft w:val="0"/>
      <w:marRight w:val="0"/>
      <w:marTop w:val="0"/>
      <w:marBottom w:val="0"/>
      <w:divBdr>
        <w:top w:val="none" w:sz="0" w:space="0" w:color="auto"/>
        <w:left w:val="none" w:sz="0" w:space="0" w:color="auto"/>
        <w:bottom w:val="none" w:sz="0" w:space="0" w:color="auto"/>
        <w:right w:val="none" w:sz="0" w:space="0" w:color="auto"/>
      </w:divBdr>
    </w:div>
    <w:div w:id="1458260756">
      <w:bodyDiv w:val="1"/>
      <w:marLeft w:val="0"/>
      <w:marRight w:val="0"/>
      <w:marTop w:val="0"/>
      <w:marBottom w:val="0"/>
      <w:divBdr>
        <w:top w:val="none" w:sz="0" w:space="0" w:color="auto"/>
        <w:left w:val="none" w:sz="0" w:space="0" w:color="auto"/>
        <w:bottom w:val="none" w:sz="0" w:space="0" w:color="auto"/>
        <w:right w:val="none" w:sz="0" w:space="0" w:color="auto"/>
      </w:divBdr>
    </w:div>
    <w:div w:id="1459645344">
      <w:bodyDiv w:val="1"/>
      <w:marLeft w:val="0"/>
      <w:marRight w:val="0"/>
      <w:marTop w:val="0"/>
      <w:marBottom w:val="0"/>
      <w:divBdr>
        <w:top w:val="none" w:sz="0" w:space="0" w:color="auto"/>
        <w:left w:val="none" w:sz="0" w:space="0" w:color="auto"/>
        <w:bottom w:val="none" w:sz="0" w:space="0" w:color="auto"/>
        <w:right w:val="none" w:sz="0" w:space="0" w:color="auto"/>
      </w:divBdr>
    </w:div>
    <w:div w:id="1467506345">
      <w:bodyDiv w:val="1"/>
      <w:marLeft w:val="0"/>
      <w:marRight w:val="0"/>
      <w:marTop w:val="0"/>
      <w:marBottom w:val="0"/>
      <w:divBdr>
        <w:top w:val="none" w:sz="0" w:space="0" w:color="auto"/>
        <w:left w:val="none" w:sz="0" w:space="0" w:color="auto"/>
        <w:bottom w:val="none" w:sz="0" w:space="0" w:color="auto"/>
        <w:right w:val="none" w:sz="0" w:space="0" w:color="auto"/>
      </w:divBdr>
    </w:div>
    <w:div w:id="1467550957">
      <w:bodyDiv w:val="1"/>
      <w:marLeft w:val="0"/>
      <w:marRight w:val="0"/>
      <w:marTop w:val="0"/>
      <w:marBottom w:val="0"/>
      <w:divBdr>
        <w:top w:val="none" w:sz="0" w:space="0" w:color="auto"/>
        <w:left w:val="none" w:sz="0" w:space="0" w:color="auto"/>
        <w:bottom w:val="none" w:sz="0" w:space="0" w:color="auto"/>
        <w:right w:val="none" w:sz="0" w:space="0" w:color="auto"/>
      </w:divBdr>
      <w:divsChild>
        <w:div w:id="558591630">
          <w:marLeft w:val="130"/>
          <w:marRight w:val="0"/>
          <w:marTop w:val="0"/>
          <w:marBottom w:val="0"/>
          <w:divBdr>
            <w:top w:val="none" w:sz="0" w:space="0" w:color="auto"/>
            <w:left w:val="none" w:sz="0" w:space="0" w:color="auto"/>
            <w:bottom w:val="none" w:sz="0" w:space="0" w:color="auto"/>
            <w:right w:val="none" w:sz="0" w:space="0" w:color="auto"/>
          </w:divBdr>
        </w:div>
        <w:div w:id="1637488320">
          <w:marLeft w:val="130"/>
          <w:marRight w:val="0"/>
          <w:marTop w:val="0"/>
          <w:marBottom w:val="0"/>
          <w:divBdr>
            <w:top w:val="none" w:sz="0" w:space="0" w:color="auto"/>
            <w:left w:val="none" w:sz="0" w:space="0" w:color="auto"/>
            <w:bottom w:val="none" w:sz="0" w:space="0" w:color="auto"/>
            <w:right w:val="none" w:sz="0" w:space="0" w:color="auto"/>
          </w:divBdr>
        </w:div>
        <w:div w:id="1776897640">
          <w:marLeft w:val="130"/>
          <w:marRight w:val="0"/>
          <w:marTop w:val="0"/>
          <w:marBottom w:val="0"/>
          <w:divBdr>
            <w:top w:val="none" w:sz="0" w:space="0" w:color="auto"/>
            <w:left w:val="none" w:sz="0" w:space="0" w:color="auto"/>
            <w:bottom w:val="none" w:sz="0" w:space="0" w:color="auto"/>
            <w:right w:val="none" w:sz="0" w:space="0" w:color="auto"/>
          </w:divBdr>
        </w:div>
      </w:divsChild>
    </w:div>
    <w:div w:id="1473863213">
      <w:bodyDiv w:val="1"/>
      <w:marLeft w:val="0"/>
      <w:marRight w:val="0"/>
      <w:marTop w:val="0"/>
      <w:marBottom w:val="0"/>
      <w:divBdr>
        <w:top w:val="none" w:sz="0" w:space="0" w:color="auto"/>
        <w:left w:val="none" w:sz="0" w:space="0" w:color="auto"/>
        <w:bottom w:val="none" w:sz="0" w:space="0" w:color="auto"/>
        <w:right w:val="none" w:sz="0" w:space="0" w:color="auto"/>
      </w:divBdr>
    </w:div>
    <w:div w:id="1477337667">
      <w:bodyDiv w:val="1"/>
      <w:marLeft w:val="0"/>
      <w:marRight w:val="0"/>
      <w:marTop w:val="0"/>
      <w:marBottom w:val="0"/>
      <w:divBdr>
        <w:top w:val="none" w:sz="0" w:space="0" w:color="auto"/>
        <w:left w:val="none" w:sz="0" w:space="0" w:color="auto"/>
        <w:bottom w:val="none" w:sz="0" w:space="0" w:color="auto"/>
        <w:right w:val="none" w:sz="0" w:space="0" w:color="auto"/>
      </w:divBdr>
    </w:div>
    <w:div w:id="1480225777">
      <w:bodyDiv w:val="1"/>
      <w:marLeft w:val="0"/>
      <w:marRight w:val="0"/>
      <w:marTop w:val="0"/>
      <w:marBottom w:val="0"/>
      <w:divBdr>
        <w:top w:val="none" w:sz="0" w:space="0" w:color="auto"/>
        <w:left w:val="none" w:sz="0" w:space="0" w:color="auto"/>
        <w:bottom w:val="none" w:sz="0" w:space="0" w:color="auto"/>
        <w:right w:val="none" w:sz="0" w:space="0" w:color="auto"/>
      </w:divBdr>
      <w:divsChild>
        <w:div w:id="106897823">
          <w:marLeft w:val="274"/>
          <w:marRight w:val="0"/>
          <w:marTop w:val="40"/>
          <w:marBottom w:val="40"/>
          <w:divBdr>
            <w:top w:val="none" w:sz="0" w:space="0" w:color="auto"/>
            <w:left w:val="none" w:sz="0" w:space="0" w:color="auto"/>
            <w:bottom w:val="none" w:sz="0" w:space="0" w:color="auto"/>
            <w:right w:val="none" w:sz="0" w:space="0" w:color="auto"/>
          </w:divBdr>
        </w:div>
        <w:div w:id="789906628">
          <w:marLeft w:val="274"/>
          <w:marRight w:val="0"/>
          <w:marTop w:val="40"/>
          <w:marBottom w:val="40"/>
          <w:divBdr>
            <w:top w:val="none" w:sz="0" w:space="0" w:color="auto"/>
            <w:left w:val="none" w:sz="0" w:space="0" w:color="auto"/>
            <w:bottom w:val="none" w:sz="0" w:space="0" w:color="auto"/>
            <w:right w:val="none" w:sz="0" w:space="0" w:color="auto"/>
          </w:divBdr>
        </w:div>
        <w:div w:id="1830050799">
          <w:marLeft w:val="274"/>
          <w:marRight w:val="0"/>
          <w:marTop w:val="40"/>
          <w:marBottom w:val="40"/>
          <w:divBdr>
            <w:top w:val="none" w:sz="0" w:space="0" w:color="auto"/>
            <w:left w:val="none" w:sz="0" w:space="0" w:color="auto"/>
            <w:bottom w:val="none" w:sz="0" w:space="0" w:color="auto"/>
            <w:right w:val="none" w:sz="0" w:space="0" w:color="auto"/>
          </w:divBdr>
        </w:div>
      </w:divsChild>
    </w:div>
    <w:div w:id="1480417337">
      <w:bodyDiv w:val="1"/>
      <w:marLeft w:val="0"/>
      <w:marRight w:val="0"/>
      <w:marTop w:val="0"/>
      <w:marBottom w:val="0"/>
      <w:divBdr>
        <w:top w:val="none" w:sz="0" w:space="0" w:color="auto"/>
        <w:left w:val="none" w:sz="0" w:space="0" w:color="auto"/>
        <w:bottom w:val="none" w:sz="0" w:space="0" w:color="auto"/>
        <w:right w:val="none" w:sz="0" w:space="0" w:color="auto"/>
      </w:divBdr>
    </w:div>
    <w:div w:id="1487358194">
      <w:bodyDiv w:val="1"/>
      <w:marLeft w:val="0"/>
      <w:marRight w:val="0"/>
      <w:marTop w:val="0"/>
      <w:marBottom w:val="0"/>
      <w:divBdr>
        <w:top w:val="none" w:sz="0" w:space="0" w:color="auto"/>
        <w:left w:val="none" w:sz="0" w:space="0" w:color="auto"/>
        <w:bottom w:val="none" w:sz="0" w:space="0" w:color="auto"/>
        <w:right w:val="none" w:sz="0" w:space="0" w:color="auto"/>
      </w:divBdr>
    </w:div>
    <w:div w:id="1494834486">
      <w:bodyDiv w:val="1"/>
      <w:marLeft w:val="0"/>
      <w:marRight w:val="0"/>
      <w:marTop w:val="0"/>
      <w:marBottom w:val="0"/>
      <w:divBdr>
        <w:top w:val="none" w:sz="0" w:space="0" w:color="auto"/>
        <w:left w:val="none" w:sz="0" w:space="0" w:color="auto"/>
        <w:bottom w:val="none" w:sz="0" w:space="0" w:color="auto"/>
        <w:right w:val="none" w:sz="0" w:space="0" w:color="auto"/>
      </w:divBdr>
    </w:div>
    <w:div w:id="1495875241">
      <w:bodyDiv w:val="1"/>
      <w:marLeft w:val="0"/>
      <w:marRight w:val="0"/>
      <w:marTop w:val="0"/>
      <w:marBottom w:val="0"/>
      <w:divBdr>
        <w:top w:val="none" w:sz="0" w:space="0" w:color="auto"/>
        <w:left w:val="none" w:sz="0" w:space="0" w:color="auto"/>
        <w:bottom w:val="none" w:sz="0" w:space="0" w:color="auto"/>
        <w:right w:val="none" w:sz="0" w:space="0" w:color="auto"/>
      </w:divBdr>
      <w:divsChild>
        <w:div w:id="1809399484">
          <w:marLeft w:val="274"/>
          <w:marRight w:val="0"/>
          <w:marTop w:val="120"/>
          <w:marBottom w:val="120"/>
          <w:divBdr>
            <w:top w:val="none" w:sz="0" w:space="0" w:color="auto"/>
            <w:left w:val="none" w:sz="0" w:space="0" w:color="auto"/>
            <w:bottom w:val="none" w:sz="0" w:space="0" w:color="auto"/>
            <w:right w:val="none" w:sz="0" w:space="0" w:color="auto"/>
          </w:divBdr>
        </w:div>
      </w:divsChild>
    </w:div>
    <w:div w:id="1498883362">
      <w:bodyDiv w:val="1"/>
      <w:marLeft w:val="0"/>
      <w:marRight w:val="0"/>
      <w:marTop w:val="0"/>
      <w:marBottom w:val="0"/>
      <w:divBdr>
        <w:top w:val="none" w:sz="0" w:space="0" w:color="auto"/>
        <w:left w:val="none" w:sz="0" w:space="0" w:color="auto"/>
        <w:bottom w:val="none" w:sz="0" w:space="0" w:color="auto"/>
        <w:right w:val="none" w:sz="0" w:space="0" w:color="auto"/>
      </w:divBdr>
      <w:divsChild>
        <w:div w:id="1877620188">
          <w:marLeft w:val="274"/>
          <w:marRight w:val="0"/>
          <w:marTop w:val="0"/>
          <w:marBottom w:val="0"/>
          <w:divBdr>
            <w:top w:val="none" w:sz="0" w:space="0" w:color="auto"/>
            <w:left w:val="none" w:sz="0" w:space="0" w:color="auto"/>
            <w:bottom w:val="none" w:sz="0" w:space="0" w:color="auto"/>
            <w:right w:val="none" w:sz="0" w:space="0" w:color="auto"/>
          </w:divBdr>
        </w:div>
      </w:divsChild>
    </w:div>
    <w:div w:id="1500190944">
      <w:bodyDiv w:val="1"/>
      <w:marLeft w:val="0"/>
      <w:marRight w:val="0"/>
      <w:marTop w:val="0"/>
      <w:marBottom w:val="0"/>
      <w:divBdr>
        <w:top w:val="none" w:sz="0" w:space="0" w:color="auto"/>
        <w:left w:val="none" w:sz="0" w:space="0" w:color="auto"/>
        <w:bottom w:val="none" w:sz="0" w:space="0" w:color="auto"/>
        <w:right w:val="none" w:sz="0" w:space="0" w:color="auto"/>
      </w:divBdr>
    </w:div>
    <w:div w:id="1504583611">
      <w:bodyDiv w:val="1"/>
      <w:marLeft w:val="0"/>
      <w:marRight w:val="0"/>
      <w:marTop w:val="0"/>
      <w:marBottom w:val="0"/>
      <w:divBdr>
        <w:top w:val="none" w:sz="0" w:space="0" w:color="auto"/>
        <w:left w:val="none" w:sz="0" w:space="0" w:color="auto"/>
        <w:bottom w:val="none" w:sz="0" w:space="0" w:color="auto"/>
        <w:right w:val="none" w:sz="0" w:space="0" w:color="auto"/>
      </w:divBdr>
    </w:div>
    <w:div w:id="1504976276">
      <w:bodyDiv w:val="1"/>
      <w:marLeft w:val="0"/>
      <w:marRight w:val="0"/>
      <w:marTop w:val="0"/>
      <w:marBottom w:val="0"/>
      <w:divBdr>
        <w:top w:val="none" w:sz="0" w:space="0" w:color="auto"/>
        <w:left w:val="none" w:sz="0" w:space="0" w:color="auto"/>
        <w:bottom w:val="none" w:sz="0" w:space="0" w:color="auto"/>
        <w:right w:val="none" w:sz="0" w:space="0" w:color="auto"/>
      </w:divBdr>
    </w:div>
    <w:div w:id="1506673707">
      <w:bodyDiv w:val="1"/>
      <w:marLeft w:val="0"/>
      <w:marRight w:val="0"/>
      <w:marTop w:val="0"/>
      <w:marBottom w:val="0"/>
      <w:divBdr>
        <w:top w:val="none" w:sz="0" w:space="0" w:color="auto"/>
        <w:left w:val="none" w:sz="0" w:space="0" w:color="auto"/>
        <w:bottom w:val="none" w:sz="0" w:space="0" w:color="auto"/>
        <w:right w:val="none" w:sz="0" w:space="0" w:color="auto"/>
      </w:divBdr>
    </w:div>
    <w:div w:id="1508061535">
      <w:bodyDiv w:val="1"/>
      <w:marLeft w:val="0"/>
      <w:marRight w:val="0"/>
      <w:marTop w:val="0"/>
      <w:marBottom w:val="0"/>
      <w:divBdr>
        <w:top w:val="none" w:sz="0" w:space="0" w:color="auto"/>
        <w:left w:val="none" w:sz="0" w:space="0" w:color="auto"/>
        <w:bottom w:val="none" w:sz="0" w:space="0" w:color="auto"/>
        <w:right w:val="none" w:sz="0" w:space="0" w:color="auto"/>
      </w:divBdr>
      <w:divsChild>
        <w:div w:id="133062351">
          <w:marLeft w:val="274"/>
          <w:marRight w:val="0"/>
          <w:marTop w:val="40"/>
          <w:marBottom w:val="40"/>
          <w:divBdr>
            <w:top w:val="none" w:sz="0" w:space="0" w:color="auto"/>
            <w:left w:val="none" w:sz="0" w:space="0" w:color="auto"/>
            <w:bottom w:val="none" w:sz="0" w:space="0" w:color="auto"/>
            <w:right w:val="none" w:sz="0" w:space="0" w:color="auto"/>
          </w:divBdr>
        </w:div>
      </w:divsChild>
    </w:div>
    <w:div w:id="1510411794">
      <w:bodyDiv w:val="1"/>
      <w:marLeft w:val="0"/>
      <w:marRight w:val="0"/>
      <w:marTop w:val="0"/>
      <w:marBottom w:val="0"/>
      <w:divBdr>
        <w:top w:val="none" w:sz="0" w:space="0" w:color="auto"/>
        <w:left w:val="none" w:sz="0" w:space="0" w:color="auto"/>
        <w:bottom w:val="none" w:sz="0" w:space="0" w:color="auto"/>
        <w:right w:val="none" w:sz="0" w:space="0" w:color="auto"/>
      </w:divBdr>
    </w:div>
    <w:div w:id="1513493773">
      <w:bodyDiv w:val="1"/>
      <w:marLeft w:val="0"/>
      <w:marRight w:val="0"/>
      <w:marTop w:val="0"/>
      <w:marBottom w:val="0"/>
      <w:divBdr>
        <w:top w:val="none" w:sz="0" w:space="0" w:color="auto"/>
        <w:left w:val="none" w:sz="0" w:space="0" w:color="auto"/>
        <w:bottom w:val="none" w:sz="0" w:space="0" w:color="auto"/>
        <w:right w:val="none" w:sz="0" w:space="0" w:color="auto"/>
      </w:divBdr>
    </w:div>
    <w:div w:id="1514564242">
      <w:bodyDiv w:val="1"/>
      <w:marLeft w:val="0"/>
      <w:marRight w:val="0"/>
      <w:marTop w:val="0"/>
      <w:marBottom w:val="0"/>
      <w:divBdr>
        <w:top w:val="none" w:sz="0" w:space="0" w:color="auto"/>
        <w:left w:val="none" w:sz="0" w:space="0" w:color="auto"/>
        <w:bottom w:val="none" w:sz="0" w:space="0" w:color="auto"/>
        <w:right w:val="none" w:sz="0" w:space="0" w:color="auto"/>
      </w:divBdr>
    </w:div>
    <w:div w:id="1519469869">
      <w:bodyDiv w:val="1"/>
      <w:marLeft w:val="0"/>
      <w:marRight w:val="0"/>
      <w:marTop w:val="0"/>
      <w:marBottom w:val="0"/>
      <w:divBdr>
        <w:top w:val="none" w:sz="0" w:space="0" w:color="auto"/>
        <w:left w:val="none" w:sz="0" w:space="0" w:color="auto"/>
        <w:bottom w:val="none" w:sz="0" w:space="0" w:color="auto"/>
        <w:right w:val="none" w:sz="0" w:space="0" w:color="auto"/>
      </w:divBdr>
      <w:divsChild>
        <w:div w:id="670525900">
          <w:marLeft w:val="274"/>
          <w:marRight w:val="0"/>
          <w:marTop w:val="40"/>
          <w:marBottom w:val="40"/>
          <w:divBdr>
            <w:top w:val="none" w:sz="0" w:space="0" w:color="auto"/>
            <w:left w:val="none" w:sz="0" w:space="0" w:color="auto"/>
            <w:bottom w:val="none" w:sz="0" w:space="0" w:color="auto"/>
            <w:right w:val="none" w:sz="0" w:space="0" w:color="auto"/>
          </w:divBdr>
        </w:div>
        <w:div w:id="875461112">
          <w:marLeft w:val="274"/>
          <w:marRight w:val="0"/>
          <w:marTop w:val="40"/>
          <w:marBottom w:val="40"/>
          <w:divBdr>
            <w:top w:val="none" w:sz="0" w:space="0" w:color="auto"/>
            <w:left w:val="none" w:sz="0" w:space="0" w:color="auto"/>
            <w:bottom w:val="none" w:sz="0" w:space="0" w:color="auto"/>
            <w:right w:val="none" w:sz="0" w:space="0" w:color="auto"/>
          </w:divBdr>
        </w:div>
        <w:div w:id="1314532091">
          <w:marLeft w:val="274"/>
          <w:marRight w:val="0"/>
          <w:marTop w:val="40"/>
          <w:marBottom w:val="40"/>
          <w:divBdr>
            <w:top w:val="none" w:sz="0" w:space="0" w:color="auto"/>
            <w:left w:val="none" w:sz="0" w:space="0" w:color="auto"/>
            <w:bottom w:val="none" w:sz="0" w:space="0" w:color="auto"/>
            <w:right w:val="none" w:sz="0" w:space="0" w:color="auto"/>
          </w:divBdr>
        </w:div>
        <w:div w:id="1518814901">
          <w:marLeft w:val="274"/>
          <w:marRight w:val="0"/>
          <w:marTop w:val="40"/>
          <w:marBottom w:val="40"/>
          <w:divBdr>
            <w:top w:val="none" w:sz="0" w:space="0" w:color="auto"/>
            <w:left w:val="none" w:sz="0" w:space="0" w:color="auto"/>
            <w:bottom w:val="none" w:sz="0" w:space="0" w:color="auto"/>
            <w:right w:val="none" w:sz="0" w:space="0" w:color="auto"/>
          </w:divBdr>
        </w:div>
      </w:divsChild>
    </w:div>
    <w:div w:id="1519736742">
      <w:bodyDiv w:val="1"/>
      <w:marLeft w:val="0"/>
      <w:marRight w:val="0"/>
      <w:marTop w:val="0"/>
      <w:marBottom w:val="0"/>
      <w:divBdr>
        <w:top w:val="none" w:sz="0" w:space="0" w:color="auto"/>
        <w:left w:val="none" w:sz="0" w:space="0" w:color="auto"/>
        <w:bottom w:val="none" w:sz="0" w:space="0" w:color="auto"/>
        <w:right w:val="none" w:sz="0" w:space="0" w:color="auto"/>
      </w:divBdr>
    </w:div>
    <w:div w:id="1521316209">
      <w:bodyDiv w:val="1"/>
      <w:marLeft w:val="0"/>
      <w:marRight w:val="0"/>
      <w:marTop w:val="0"/>
      <w:marBottom w:val="0"/>
      <w:divBdr>
        <w:top w:val="none" w:sz="0" w:space="0" w:color="auto"/>
        <w:left w:val="none" w:sz="0" w:space="0" w:color="auto"/>
        <w:bottom w:val="none" w:sz="0" w:space="0" w:color="auto"/>
        <w:right w:val="none" w:sz="0" w:space="0" w:color="auto"/>
      </w:divBdr>
    </w:div>
    <w:div w:id="1523006937">
      <w:bodyDiv w:val="1"/>
      <w:marLeft w:val="0"/>
      <w:marRight w:val="0"/>
      <w:marTop w:val="0"/>
      <w:marBottom w:val="0"/>
      <w:divBdr>
        <w:top w:val="none" w:sz="0" w:space="0" w:color="auto"/>
        <w:left w:val="none" w:sz="0" w:space="0" w:color="auto"/>
        <w:bottom w:val="none" w:sz="0" w:space="0" w:color="auto"/>
        <w:right w:val="none" w:sz="0" w:space="0" w:color="auto"/>
      </w:divBdr>
    </w:div>
    <w:div w:id="1525679299">
      <w:bodyDiv w:val="1"/>
      <w:marLeft w:val="0"/>
      <w:marRight w:val="0"/>
      <w:marTop w:val="0"/>
      <w:marBottom w:val="0"/>
      <w:divBdr>
        <w:top w:val="none" w:sz="0" w:space="0" w:color="auto"/>
        <w:left w:val="none" w:sz="0" w:space="0" w:color="auto"/>
        <w:bottom w:val="none" w:sz="0" w:space="0" w:color="auto"/>
        <w:right w:val="none" w:sz="0" w:space="0" w:color="auto"/>
      </w:divBdr>
      <w:divsChild>
        <w:div w:id="486241964">
          <w:marLeft w:val="0"/>
          <w:marRight w:val="0"/>
          <w:marTop w:val="0"/>
          <w:marBottom w:val="0"/>
          <w:divBdr>
            <w:top w:val="none" w:sz="0" w:space="0" w:color="auto"/>
            <w:left w:val="none" w:sz="0" w:space="0" w:color="auto"/>
            <w:bottom w:val="none" w:sz="0" w:space="0" w:color="auto"/>
            <w:right w:val="none" w:sz="0" w:space="0" w:color="auto"/>
          </w:divBdr>
          <w:divsChild>
            <w:div w:id="1758285727">
              <w:marLeft w:val="0"/>
              <w:marRight w:val="0"/>
              <w:marTop w:val="0"/>
              <w:marBottom w:val="0"/>
              <w:divBdr>
                <w:top w:val="single" w:sz="8" w:space="3" w:color="FFFFFF"/>
                <w:left w:val="none" w:sz="0" w:space="0" w:color="auto"/>
                <w:bottom w:val="none" w:sz="0" w:space="0" w:color="auto"/>
                <w:right w:val="none" w:sz="0" w:space="0" w:color="auto"/>
              </w:divBdr>
            </w:div>
          </w:divsChild>
        </w:div>
      </w:divsChild>
    </w:div>
    <w:div w:id="1540623212">
      <w:bodyDiv w:val="1"/>
      <w:marLeft w:val="0"/>
      <w:marRight w:val="0"/>
      <w:marTop w:val="0"/>
      <w:marBottom w:val="0"/>
      <w:divBdr>
        <w:top w:val="none" w:sz="0" w:space="0" w:color="auto"/>
        <w:left w:val="none" w:sz="0" w:space="0" w:color="auto"/>
        <w:bottom w:val="none" w:sz="0" w:space="0" w:color="auto"/>
        <w:right w:val="none" w:sz="0" w:space="0" w:color="auto"/>
      </w:divBdr>
    </w:div>
    <w:div w:id="1541480758">
      <w:bodyDiv w:val="1"/>
      <w:marLeft w:val="0"/>
      <w:marRight w:val="0"/>
      <w:marTop w:val="0"/>
      <w:marBottom w:val="0"/>
      <w:divBdr>
        <w:top w:val="none" w:sz="0" w:space="0" w:color="auto"/>
        <w:left w:val="none" w:sz="0" w:space="0" w:color="auto"/>
        <w:bottom w:val="none" w:sz="0" w:space="0" w:color="auto"/>
        <w:right w:val="none" w:sz="0" w:space="0" w:color="auto"/>
      </w:divBdr>
    </w:div>
    <w:div w:id="1547251128">
      <w:bodyDiv w:val="1"/>
      <w:marLeft w:val="0"/>
      <w:marRight w:val="0"/>
      <w:marTop w:val="0"/>
      <w:marBottom w:val="0"/>
      <w:divBdr>
        <w:top w:val="none" w:sz="0" w:space="0" w:color="auto"/>
        <w:left w:val="none" w:sz="0" w:space="0" w:color="auto"/>
        <w:bottom w:val="none" w:sz="0" w:space="0" w:color="auto"/>
        <w:right w:val="none" w:sz="0" w:space="0" w:color="auto"/>
      </w:divBdr>
      <w:divsChild>
        <w:div w:id="1057898853">
          <w:marLeft w:val="274"/>
          <w:marRight w:val="0"/>
          <w:marTop w:val="40"/>
          <w:marBottom w:val="40"/>
          <w:divBdr>
            <w:top w:val="none" w:sz="0" w:space="0" w:color="auto"/>
            <w:left w:val="none" w:sz="0" w:space="0" w:color="auto"/>
            <w:bottom w:val="none" w:sz="0" w:space="0" w:color="auto"/>
            <w:right w:val="none" w:sz="0" w:space="0" w:color="auto"/>
          </w:divBdr>
        </w:div>
      </w:divsChild>
    </w:div>
    <w:div w:id="1557084246">
      <w:bodyDiv w:val="1"/>
      <w:marLeft w:val="0"/>
      <w:marRight w:val="0"/>
      <w:marTop w:val="0"/>
      <w:marBottom w:val="0"/>
      <w:divBdr>
        <w:top w:val="none" w:sz="0" w:space="0" w:color="auto"/>
        <w:left w:val="none" w:sz="0" w:space="0" w:color="auto"/>
        <w:bottom w:val="none" w:sz="0" w:space="0" w:color="auto"/>
        <w:right w:val="none" w:sz="0" w:space="0" w:color="auto"/>
      </w:divBdr>
    </w:div>
    <w:div w:id="1560819448">
      <w:bodyDiv w:val="1"/>
      <w:marLeft w:val="0"/>
      <w:marRight w:val="0"/>
      <w:marTop w:val="0"/>
      <w:marBottom w:val="0"/>
      <w:divBdr>
        <w:top w:val="none" w:sz="0" w:space="0" w:color="auto"/>
        <w:left w:val="none" w:sz="0" w:space="0" w:color="auto"/>
        <w:bottom w:val="none" w:sz="0" w:space="0" w:color="auto"/>
        <w:right w:val="none" w:sz="0" w:space="0" w:color="auto"/>
      </w:divBdr>
    </w:div>
    <w:div w:id="1562596308">
      <w:bodyDiv w:val="1"/>
      <w:marLeft w:val="0"/>
      <w:marRight w:val="0"/>
      <w:marTop w:val="0"/>
      <w:marBottom w:val="0"/>
      <w:divBdr>
        <w:top w:val="none" w:sz="0" w:space="0" w:color="auto"/>
        <w:left w:val="none" w:sz="0" w:space="0" w:color="auto"/>
        <w:bottom w:val="none" w:sz="0" w:space="0" w:color="auto"/>
        <w:right w:val="none" w:sz="0" w:space="0" w:color="auto"/>
      </w:divBdr>
    </w:div>
    <w:div w:id="1564634521">
      <w:bodyDiv w:val="1"/>
      <w:marLeft w:val="0"/>
      <w:marRight w:val="0"/>
      <w:marTop w:val="0"/>
      <w:marBottom w:val="0"/>
      <w:divBdr>
        <w:top w:val="none" w:sz="0" w:space="0" w:color="auto"/>
        <w:left w:val="none" w:sz="0" w:space="0" w:color="auto"/>
        <w:bottom w:val="none" w:sz="0" w:space="0" w:color="auto"/>
        <w:right w:val="none" w:sz="0" w:space="0" w:color="auto"/>
      </w:divBdr>
    </w:div>
    <w:div w:id="1564947791">
      <w:bodyDiv w:val="1"/>
      <w:marLeft w:val="0"/>
      <w:marRight w:val="0"/>
      <w:marTop w:val="0"/>
      <w:marBottom w:val="0"/>
      <w:divBdr>
        <w:top w:val="none" w:sz="0" w:space="0" w:color="auto"/>
        <w:left w:val="none" w:sz="0" w:space="0" w:color="auto"/>
        <w:bottom w:val="none" w:sz="0" w:space="0" w:color="auto"/>
        <w:right w:val="none" w:sz="0" w:space="0" w:color="auto"/>
      </w:divBdr>
    </w:div>
    <w:div w:id="1565683430">
      <w:bodyDiv w:val="1"/>
      <w:marLeft w:val="0"/>
      <w:marRight w:val="0"/>
      <w:marTop w:val="0"/>
      <w:marBottom w:val="0"/>
      <w:divBdr>
        <w:top w:val="none" w:sz="0" w:space="0" w:color="auto"/>
        <w:left w:val="none" w:sz="0" w:space="0" w:color="auto"/>
        <w:bottom w:val="none" w:sz="0" w:space="0" w:color="auto"/>
        <w:right w:val="none" w:sz="0" w:space="0" w:color="auto"/>
      </w:divBdr>
    </w:div>
    <w:div w:id="1566528002">
      <w:bodyDiv w:val="1"/>
      <w:marLeft w:val="0"/>
      <w:marRight w:val="0"/>
      <w:marTop w:val="0"/>
      <w:marBottom w:val="0"/>
      <w:divBdr>
        <w:top w:val="none" w:sz="0" w:space="0" w:color="auto"/>
        <w:left w:val="none" w:sz="0" w:space="0" w:color="auto"/>
        <w:bottom w:val="none" w:sz="0" w:space="0" w:color="auto"/>
        <w:right w:val="none" w:sz="0" w:space="0" w:color="auto"/>
      </w:divBdr>
    </w:div>
    <w:div w:id="1572034364">
      <w:bodyDiv w:val="1"/>
      <w:marLeft w:val="0"/>
      <w:marRight w:val="0"/>
      <w:marTop w:val="0"/>
      <w:marBottom w:val="0"/>
      <w:divBdr>
        <w:top w:val="none" w:sz="0" w:space="0" w:color="auto"/>
        <w:left w:val="none" w:sz="0" w:space="0" w:color="auto"/>
        <w:bottom w:val="none" w:sz="0" w:space="0" w:color="auto"/>
        <w:right w:val="none" w:sz="0" w:space="0" w:color="auto"/>
      </w:divBdr>
    </w:div>
    <w:div w:id="1580754787">
      <w:bodyDiv w:val="1"/>
      <w:marLeft w:val="0"/>
      <w:marRight w:val="0"/>
      <w:marTop w:val="0"/>
      <w:marBottom w:val="0"/>
      <w:divBdr>
        <w:top w:val="none" w:sz="0" w:space="0" w:color="auto"/>
        <w:left w:val="none" w:sz="0" w:space="0" w:color="auto"/>
        <w:bottom w:val="none" w:sz="0" w:space="0" w:color="auto"/>
        <w:right w:val="none" w:sz="0" w:space="0" w:color="auto"/>
      </w:divBdr>
    </w:div>
    <w:div w:id="1607883448">
      <w:bodyDiv w:val="1"/>
      <w:marLeft w:val="0"/>
      <w:marRight w:val="0"/>
      <w:marTop w:val="0"/>
      <w:marBottom w:val="0"/>
      <w:divBdr>
        <w:top w:val="none" w:sz="0" w:space="0" w:color="auto"/>
        <w:left w:val="none" w:sz="0" w:space="0" w:color="auto"/>
        <w:bottom w:val="none" w:sz="0" w:space="0" w:color="auto"/>
        <w:right w:val="none" w:sz="0" w:space="0" w:color="auto"/>
      </w:divBdr>
    </w:div>
    <w:div w:id="1618559396">
      <w:bodyDiv w:val="1"/>
      <w:marLeft w:val="0"/>
      <w:marRight w:val="0"/>
      <w:marTop w:val="0"/>
      <w:marBottom w:val="0"/>
      <w:divBdr>
        <w:top w:val="none" w:sz="0" w:space="0" w:color="auto"/>
        <w:left w:val="none" w:sz="0" w:space="0" w:color="auto"/>
        <w:bottom w:val="none" w:sz="0" w:space="0" w:color="auto"/>
        <w:right w:val="none" w:sz="0" w:space="0" w:color="auto"/>
      </w:divBdr>
    </w:div>
    <w:div w:id="1620647279">
      <w:bodyDiv w:val="1"/>
      <w:marLeft w:val="0"/>
      <w:marRight w:val="0"/>
      <w:marTop w:val="0"/>
      <w:marBottom w:val="0"/>
      <w:divBdr>
        <w:top w:val="none" w:sz="0" w:space="0" w:color="auto"/>
        <w:left w:val="none" w:sz="0" w:space="0" w:color="auto"/>
        <w:bottom w:val="none" w:sz="0" w:space="0" w:color="auto"/>
        <w:right w:val="none" w:sz="0" w:space="0" w:color="auto"/>
      </w:divBdr>
    </w:div>
    <w:div w:id="1620868053">
      <w:bodyDiv w:val="1"/>
      <w:marLeft w:val="0"/>
      <w:marRight w:val="0"/>
      <w:marTop w:val="0"/>
      <w:marBottom w:val="0"/>
      <w:divBdr>
        <w:top w:val="none" w:sz="0" w:space="0" w:color="auto"/>
        <w:left w:val="none" w:sz="0" w:space="0" w:color="auto"/>
        <w:bottom w:val="none" w:sz="0" w:space="0" w:color="auto"/>
        <w:right w:val="none" w:sz="0" w:space="0" w:color="auto"/>
      </w:divBdr>
    </w:div>
    <w:div w:id="1624536108">
      <w:bodyDiv w:val="1"/>
      <w:marLeft w:val="0"/>
      <w:marRight w:val="0"/>
      <w:marTop w:val="0"/>
      <w:marBottom w:val="0"/>
      <w:divBdr>
        <w:top w:val="none" w:sz="0" w:space="0" w:color="auto"/>
        <w:left w:val="none" w:sz="0" w:space="0" w:color="auto"/>
        <w:bottom w:val="none" w:sz="0" w:space="0" w:color="auto"/>
        <w:right w:val="none" w:sz="0" w:space="0" w:color="auto"/>
      </w:divBdr>
    </w:div>
    <w:div w:id="1627396363">
      <w:bodyDiv w:val="1"/>
      <w:marLeft w:val="0"/>
      <w:marRight w:val="0"/>
      <w:marTop w:val="0"/>
      <w:marBottom w:val="0"/>
      <w:divBdr>
        <w:top w:val="none" w:sz="0" w:space="0" w:color="auto"/>
        <w:left w:val="none" w:sz="0" w:space="0" w:color="auto"/>
        <w:bottom w:val="none" w:sz="0" w:space="0" w:color="auto"/>
        <w:right w:val="none" w:sz="0" w:space="0" w:color="auto"/>
      </w:divBdr>
    </w:div>
    <w:div w:id="1634362046">
      <w:bodyDiv w:val="1"/>
      <w:marLeft w:val="0"/>
      <w:marRight w:val="0"/>
      <w:marTop w:val="0"/>
      <w:marBottom w:val="0"/>
      <w:divBdr>
        <w:top w:val="none" w:sz="0" w:space="0" w:color="auto"/>
        <w:left w:val="none" w:sz="0" w:space="0" w:color="auto"/>
        <w:bottom w:val="none" w:sz="0" w:space="0" w:color="auto"/>
        <w:right w:val="none" w:sz="0" w:space="0" w:color="auto"/>
      </w:divBdr>
    </w:div>
    <w:div w:id="1644852885">
      <w:bodyDiv w:val="1"/>
      <w:marLeft w:val="0"/>
      <w:marRight w:val="0"/>
      <w:marTop w:val="0"/>
      <w:marBottom w:val="0"/>
      <w:divBdr>
        <w:top w:val="none" w:sz="0" w:space="0" w:color="auto"/>
        <w:left w:val="none" w:sz="0" w:space="0" w:color="auto"/>
        <w:bottom w:val="none" w:sz="0" w:space="0" w:color="auto"/>
        <w:right w:val="none" w:sz="0" w:space="0" w:color="auto"/>
      </w:divBdr>
    </w:div>
    <w:div w:id="1645313734">
      <w:bodyDiv w:val="1"/>
      <w:marLeft w:val="0"/>
      <w:marRight w:val="0"/>
      <w:marTop w:val="0"/>
      <w:marBottom w:val="0"/>
      <w:divBdr>
        <w:top w:val="none" w:sz="0" w:space="0" w:color="auto"/>
        <w:left w:val="none" w:sz="0" w:space="0" w:color="auto"/>
        <w:bottom w:val="none" w:sz="0" w:space="0" w:color="auto"/>
        <w:right w:val="none" w:sz="0" w:space="0" w:color="auto"/>
      </w:divBdr>
    </w:div>
    <w:div w:id="1651790293">
      <w:bodyDiv w:val="1"/>
      <w:marLeft w:val="0"/>
      <w:marRight w:val="0"/>
      <w:marTop w:val="0"/>
      <w:marBottom w:val="0"/>
      <w:divBdr>
        <w:top w:val="none" w:sz="0" w:space="0" w:color="auto"/>
        <w:left w:val="none" w:sz="0" w:space="0" w:color="auto"/>
        <w:bottom w:val="none" w:sz="0" w:space="0" w:color="auto"/>
        <w:right w:val="none" w:sz="0" w:space="0" w:color="auto"/>
      </w:divBdr>
    </w:div>
    <w:div w:id="1654917806">
      <w:bodyDiv w:val="1"/>
      <w:marLeft w:val="0"/>
      <w:marRight w:val="0"/>
      <w:marTop w:val="0"/>
      <w:marBottom w:val="0"/>
      <w:divBdr>
        <w:top w:val="none" w:sz="0" w:space="0" w:color="auto"/>
        <w:left w:val="none" w:sz="0" w:space="0" w:color="auto"/>
        <w:bottom w:val="none" w:sz="0" w:space="0" w:color="auto"/>
        <w:right w:val="none" w:sz="0" w:space="0" w:color="auto"/>
      </w:divBdr>
    </w:div>
    <w:div w:id="1660302566">
      <w:bodyDiv w:val="1"/>
      <w:marLeft w:val="0"/>
      <w:marRight w:val="0"/>
      <w:marTop w:val="0"/>
      <w:marBottom w:val="0"/>
      <w:divBdr>
        <w:top w:val="none" w:sz="0" w:space="0" w:color="auto"/>
        <w:left w:val="none" w:sz="0" w:space="0" w:color="auto"/>
        <w:bottom w:val="none" w:sz="0" w:space="0" w:color="auto"/>
        <w:right w:val="none" w:sz="0" w:space="0" w:color="auto"/>
      </w:divBdr>
    </w:div>
    <w:div w:id="1666086871">
      <w:bodyDiv w:val="1"/>
      <w:marLeft w:val="0"/>
      <w:marRight w:val="0"/>
      <w:marTop w:val="0"/>
      <w:marBottom w:val="0"/>
      <w:divBdr>
        <w:top w:val="none" w:sz="0" w:space="0" w:color="auto"/>
        <w:left w:val="none" w:sz="0" w:space="0" w:color="auto"/>
        <w:bottom w:val="none" w:sz="0" w:space="0" w:color="auto"/>
        <w:right w:val="none" w:sz="0" w:space="0" w:color="auto"/>
      </w:divBdr>
    </w:div>
    <w:div w:id="1667972623">
      <w:bodyDiv w:val="1"/>
      <w:marLeft w:val="0"/>
      <w:marRight w:val="0"/>
      <w:marTop w:val="0"/>
      <w:marBottom w:val="0"/>
      <w:divBdr>
        <w:top w:val="none" w:sz="0" w:space="0" w:color="auto"/>
        <w:left w:val="none" w:sz="0" w:space="0" w:color="auto"/>
        <w:bottom w:val="none" w:sz="0" w:space="0" w:color="auto"/>
        <w:right w:val="none" w:sz="0" w:space="0" w:color="auto"/>
      </w:divBdr>
    </w:div>
    <w:div w:id="1669289512">
      <w:bodyDiv w:val="1"/>
      <w:marLeft w:val="0"/>
      <w:marRight w:val="0"/>
      <w:marTop w:val="0"/>
      <w:marBottom w:val="0"/>
      <w:divBdr>
        <w:top w:val="none" w:sz="0" w:space="0" w:color="auto"/>
        <w:left w:val="none" w:sz="0" w:space="0" w:color="auto"/>
        <w:bottom w:val="none" w:sz="0" w:space="0" w:color="auto"/>
        <w:right w:val="none" w:sz="0" w:space="0" w:color="auto"/>
      </w:divBdr>
    </w:div>
    <w:div w:id="1674214705">
      <w:bodyDiv w:val="1"/>
      <w:marLeft w:val="0"/>
      <w:marRight w:val="0"/>
      <w:marTop w:val="0"/>
      <w:marBottom w:val="0"/>
      <w:divBdr>
        <w:top w:val="none" w:sz="0" w:space="0" w:color="auto"/>
        <w:left w:val="none" w:sz="0" w:space="0" w:color="auto"/>
        <w:bottom w:val="none" w:sz="0" w:space="0" w:color="auto"/>
        <w:right w:val="none" w:sz="0" w:space="0" w:color="auto"/>
      </w:divBdr>
      <w:divsChild>
        <w:div w:id="131799531">
          <w:marLeft w:val="274"/>
          <w:marRight w:val="0"/>
          <w:marTop w:val="40"/>
          <w:marBottom w:val="40"/>
          <w:divBdr>
            <w:top w:val="none" w:sz="0" w:space="0" w:color="auto"/>
            <w:left w:val="none" w:sz="0" w:space="0" w:color="auto"/>
            <w:bottom w:val="none" w:sz="0" w:space="0" w:color="auto"/>
            <w:right w:val="none" w:sz="0" w:space="0" w:color="auto"/>
          </w:divBdr>
        </w:div>
      </w:divsChild>
    </w:div>
    <w:div w:id="1677414521">
      <w:bodyDiv w:val="1"/>
      <w:marLeft w:val="0"/>
      <w:marRight w:val="0"/>
      <w:marTop w:val="0"/>
      <w:marBottom w:val="0"/>
      <w:divBdr>
        <w:top w:val="none" w:sz="0" w:space="0" w:color="auto"/>
        <w:left w:val="none" w:sz="0" w:space="0" w:color="auto"/>
        <w:bottom w:val="none" w:sz="0" w:space="0" w:color="auto"/>
        <w:right w:val="none" w:sz="0" w:space="0" w:color="auto"/>
      </w:divBdr>
      <w:divsChild>
        <w:div w:id="1068462150">
          <w:marLeft w:val="274"/>
          <w:marRight w:val="0"/>
          <w:marTop w:val="0"/>
          <w:marBottom w:val="0"/>
          <w:divBdr>
            <w:top w:val="none" w:sz="0" w:space="0" w:color="auto"/>
            <w:left w:val="none" w:sz="0" w:space="0" w:color="auto"/>
            <w:bottom w:val="none" w:sz="0" w:space="0" w:color="auto"/>
            <w:right w:val="none" w:sz="0" w:space="0" w:color="auto"/>
          </w:divBdr>
        </w:div>
      </w:divsChild>
    </w:div>
    <w:div w:id="1679697804">
      <w:bodyDiv w:val="1"/>
      <w:marLeft w:val="0"/>
      <w:marRight w:val="0"/>
      <w:marTop w:val="0"/>
      <w:marBottom w:val="0"/>
      <w:divBdr>
        <w:top w:val="none" w:sz="0" w:space="0" w:color="auto"/>
        <w:left w:val="none" w:sz="0" w:space="0" w:color="auto"/>
        <w:bottom w:val="none" w:sz="0" w:space="0" w:color="auto"/>
        <w:right w:val="none" w:sz="0" w:space="0" w:color="auto"/>
      </w:divBdr>
      <w:divsChild>
        <w:div w:id="466047388">
          <w:marLeft w:val="274"/>
          <w:marRight w:val="0"/>
          <w:marTop w:val="120"/>
          <w:marBottom w:val="120"/>
          <w:divBdr>
            <w:top w:val="none" w:sz="0" w:space="0" w:color="auto"/>
            <w:left w:val="none" w:sz="0" w:space="0" w:color="auto"/>
            <w:bottom w:val="none" w:sz="0" w:space="0" w:color="auto"/>
            <w:right w:val="none" w:sz="0" w:space="0" w:color="auto"/>
          </w:divBdr>
        </w:div>
      </w:divsChild>
    </w:div>
    <w:div w:id="1681349795">
      <w:bodyDiv w:val="1"/>
      <w:marLeft w:val="0"/>
      <w:marRight w:val="0"/>
      <w:marTop w:val="0"/>
      <w:marBottom w:val="0"/>
      <w:divBdr>
        <w:top w:val="none" w:sz="0" w:space="0" w:color="auto"/>
        <w:left w:val="none" w:sz="0" w:space="0" w:color="auto"/>
        <w:bottom w:val="none" w:sz="0" w:space="0" w:color="auto"/>
        <w:right w:val="none" w:sz="0" w:space="0" w:color="auto"/>
      </w:divBdr>
    </w:div>
    <w:div w:id="1683429845">
      <w:bodyDiv w:val="1"/>
      <w:marLeft w:val="0"/>
      <w:marRight w:val="0"/>
      <w:marTop w:val="0"/>
      <w:marBottom w:val="0"/>
      <w:divBdr>
        <w:top w:val="none" w:sz="0" w:space="0" w:color="auto"/>
        <w:left w:val="none" w:sz="0" w:space="0" w:color="auto"/>
        <w:bottom w:val="none" w:sz="0" w:space="0" w:color="auto"/>
        <w:right w:val="none" w:sz="0" w:space="0" w:color="auto"/>
      </w:divBdr>
    </w:div>
    <w:div w:id="1683774927">
      <w:bodyDiv w:val="1"/>
      <w:marLeft w:val="0"/>
      <w:marRight w:val="0"/>
      <w:marTop w:val="0"/>
      <w:marBottom w:val="0"/>
      <w:divBdr>
        <w:top w:val="none" w:sz="0" w:space="0" w:color="auto"/>
        <w:left w:val="none" w:sz="0" w:space="0" w:color="auto"/>
        <w:bottom w:val="none" w:sz="0" w:space="0" w:color="auto"/>
        <w:right w:val="none" w:sz="0" w:space="0" w:color="auto"/>
      </w:divBdr>
      <w:divsChild>
        <w:div w:id="2089422424">
          <w:marLeft w:val="1166"/>
          <w:marRight w:val="0"/>
          <w:marTop w:val="0"/>
          <w:marBottom w:val="0"/>
          <w:divBdr>
            <w:top w:val="none" w:sz="0" w:space="0" w:color="auto"/>
            <w:left w:val="none" w:sz="0" w:space="0" w:color="auto"/>
            <w:bottom w:val="none" w:sz="0" w:space="0" w:color="auto"/>
            <w:right w:val="none" w:sz="0" w:space="0" w:color="auto"/>
          </w:divBdr>
        </w:div>
      </w:divsChild>
    </w:div>
    <w:div w:id="1688674008">
      <w:bodyDiv w:val="1"/>
      <w:marLeft w:val="0"/>
      <w:marRight w:val="0"/>
      <w:marTop w:val="0"/>
      <w:marBottom w:val="0"/>
      <w:divBdr>
        <w:top w:val="none" w:sz="0" w:space="0" w:color="auto"/>
        <w:left w:val="none" w:sz="0" w:space="0" w:color="auto"/>
        <w:bottom w:val="none" w:sz="0" w:space="0" w:color="auto"/>
        <w:right w:val="none" w:sz="0" w:space="0" w:color="auto"/>
      </w:divBdr>
    </w:div>
    <w:div w:id="1692102649">
      <w:bodyDiv w:val="1"/>
      <w:marLeft w:val="0"/>
      <w:marRight w:val="0"/>
      <w:marTop w:val="0"/>
      <w:marBottom w:val="0"/>
      <w:divBdr>
        <w:top w:val="none" w:sz="0" w:space="0" w:color="auto"/>
        <w:left w:val="none" w:sz="0" w:space="0" w:color="auto"/>
        <w:bottom w:val="none" w:sz="0" w:space="0" w:color="auto"/>
        <w:right w:val="none" w:sz="0" w:space="0" w:color="auto"/>
      </w:divBdr>
    </w:div>
    <w:div w:id="1694376033">
      <w:bodyDiv w:val="1"/>
      <w:marLeft w:val="0"/>
      <w:marRight w:val="0"/>
      <w:marTop w:val="0"/>
      <w:marBottom w:val="0"/>
      <w:divBdr>
        <w:top w:val="none" w:sz="0" w:space="0" w:color="auto"/>
        <w:left w:val="none" w:sz="0" w:space="0" w:color="auto"/>
        <w:bottom w:val="none" w:sz="0" w:space="0" w:color="auto"/>
        <w:right w:val="none" w:sz="0" w:space="0" w:color="auto"/>
      </w:divBdr>
    </w:div>
    <w:div w:id="1701975813">
      <w:bodyDiv w:val="1"/>
      <w:marLeft w:val="0"/>
      <w:marRight w:val="0"/>
      <w:marTop w:val="0"/>
      <w:marBottom w:val="0"/>
      <w:divBdr>
        <w:top w:val="none" w:sz="0" w:space="0" w:color="auto"/>
        <w:left w:val="none" w:sz="0" w:space="0" w:color="auto"/>
        <w:bottom w:val="none" w:sz="0" w:space="0" w:color="auto"/>
        <w:right w:val="none" w:sz="0" w:space="0" w:color="auto"/>
      </w:divBdr>
      <w:divsChild>
        <w:div w:id="1912695274">
          <w:marLeft w:val="274"/>
          <w:marRight w:val="0"/>
          <w:marTop w:val="40"/>
          <w:marBottom w:val="40"/>
          <w:divBdr>
            <w:top w:val="none" w:sz="0" w:space="0" w:color="auto"/>
            <w:left w:val="none" w:sz="0" w:space="0" w:color="auto"/>
            <w:bottom w:val="none" w:sz="0" w:space="0" w:color="auto"/>
            <w:right w:val="none" w:sz="0" w:space="0" w:color="auto"/>
          </w:divBdr>
        </w:div>
      </w:divsChild>
    </w:div>
    <w:div w:id="1703826031">
      <w:bodyDiv w:val="1"/>
      <w:marLeft w:val="0"/>
      <w:marRight w:val="0"/>
      <w:marTop w:val="0"/>
      <w:marBottom w:val="0"/>
      <w:divBdr>
        <w:top w:val="none" w:sz="0" w:space="0" w:color="auto"/>
        <w:left w:val="none" w:sz="0" w:space="0" w:color="auto"/>
        <w:bottom w:val="none" w:sz="0" w:space="0" w:color="auto"/>
        <w:right w:val="none" w:sz="0" w:space="0" w:color="auto"/>
      </w:divBdr>
    </w:div>
    <w:div w:id="1704556584">
      <w:bodyDiv w:val="1"/>
      <w:marLeft w:val="0"/>
      <w:marRight w:val="0"/>
      <w:marTop w:val="0"/>
      <w:marBottom w:val="0"/>
      <w:divBdr>
        <w:top w:val="none" w:sz="0" w:space="0" w:color="auto"/>
        <w:left w:val="none" w:sz="0" w:space="0" w:color="auto"/>
        <w:bottom w:val="none" w:sz="0" w:space="0" w:color="auto"/>
        <w:right w:val="none" w:sz="0" w:space="0" w:color="auto"/>
      </w:divBdr>
    </w:div>
    <w:div w:id="1705246924">
      <w:bodyDiv w:val="1"/>
      <w:marLeft w:val="0"/>
      <w:marRight w:val="0"/>
      <w:marTop w:val="0"/>
      <w:marBottom w:val="0"/>
      <w:divBdr>
        <w:top w:val="none" w:sz="0" w:space="0" w:color="auto"/>
        <w:left w:val="none" w:sz="0" w:space="0" w:color="auto"/>
        <w:bottom w:val="none" w:sz="0" w:space="0" w:color="auto"/>
        <w:right w:val="none" w:sz="0" w:space="0" w:color="auto"/>
      </w:divBdr>
    </w:div>
    <w:div w:id="1708800943">
      <w:bodyDiv w:val="1"/>
      <w:marLeft w:val="0"/>
      <w:marRight w:val="0"/>
      <w:marTop w:val="0"/>
      <w:marBottom w:val="0"/>
      <w:divBdr>
        <w:top w:val="none" w:sz="0" w:space="0" w:color="auto"/>
        <w:left w:val="none" w:sz="0" w:space="0" w:color="auto"/>
        <w:bottom w:val="none" w:sz="0" w:space="0" w:color="auto"/>
        <w:right w:val="none" w:sz="0" w:space="0" w:color="auto"/>
      </w:divBdr>
    </w:div>
    <w:div w:id="1712916980">
      <w:bodyDiv w:val="1"/>
      <w:marLeft w:val="0"/>
      <w:marRight w:val="0"/>
      <w:marTop w:val="0"/>
      <w:marBottom w:val="0"/>
      <w:divBdr>
        <w:top w:val="none" w:sz="0" w:space="0" w:color="auto"/>
        <w:left w:val="none" w:sz="0" w:space="0" w:color="auto"/>
        <w:bottom w:val="none" w:sz="0" w:space="0" w:color="auto"/>
        <w:right w:val="none" w:sz="0" w:space="0" w:color="auto"/>
      </w:divBdr>
      <w:divsChild>
        <w:div w:id="1378821088">
          <w:marLeft w:val="274"/>
          <w:marRight w:val="0"/>
          <w:marTop w:val="40"/>
          <w:marBottom w:val="40"/>
          <w:divBdr>
            <w:top w:val="none" w:sz="0" w:space="0" w:color="auto"/>
            <w:left w:val="none" w:sz="0" w:space="0" w:color="auto"/>
            <w:bottom w:val="none" w:sz="0" w:space="0" w:color="auto"/>
            <w:right w:val="none" w:sz="0" w:space="0" w:color="auto"/>
          </w:divBdr>
        </w:div>
      </w:divsChild>
    </w:div>
    <w:div w:id="1713729975">
      <w:bodyDiv w:val="1"/>
      <w:marLeft w:val="0"/>
      <w:marRight w:val="0"/>
      <w:marTop w:val="0"/>
      <w:marBottom w:val="0"/>
      <w:divBdr>
        <w:top w:val="none" w:sz="0" w:space="0" w:color="auto"/>
        <w:left w:val="none" w:sz="0" w:space="0" w:color="auto"/>
        <w:bottom w:val="none" w:sz="0" w:space="0" w:color="auto"/>
        <w:right w:val="none" w:sz="0" w:space="0" w:color="auto"/>
      </w:divBdr>
    </w:div>
    <w:div w:id="1714227473">
      <w:bodyDiv w:val="1"/>
      <w:marLeft w:val="0"/>
      <w:marRight w:val="0"/>
      <w:marTop w:val="0"/>
      <w:marBottom w:val="0"/>
      <w:divBdr>
        <w:top w:val="none" w:sz="0" w:space="0" w:color="auto"/>
        <w:left w:val="none" w:sz="0" w:space="0" w:color="auto"/>
        <w:bottom w:val="none" w:sz="0" w:space="0" w:color="auto"/>
        <w:right w:val="none" w:sz="0" w:space="0" w:color="auto"/>
      </w:divBdr>
    </w:div>
    <w:div w:id="1718623973">
      <w:bodyDiv w:val="1"/>
      <w:marLeft w:val="0"/>
      <w:marRight w:val="0"/>
      <w:marTop w:val="0"/>
      <w:marBottom w:val="0"/>
      <w:divBdr>
        <w:top w:val="none" w:sz="0" w:space="0" w:color="auto"/>
        <w:left w:val="none" w:sz="0" w:space="0" w:color="auto"/>
        <w:bottom w:val="none" w:sz="0" w:space="0" w:color="auto"/>
        <w:right w:val="none" w:sz="0" w:space="0" w:color="auto"/>
      </w:divBdr>
    </w:div>
    <w:div w:id="1718817511">
      <w:bodyDiv w:val="1"/>
      <w:marLeft w:val="0"/>
      <w:marRight w:val="0"/>
      <w:marTop w:val="0"/>
      <w:marBottom w:val="0"/>
      <w:divBdr>
        <w:top w:val="none" w:sz="0" w:space="0" w:color="auto"/>
        <w:left w:val="none" w:sz="0" w:space="0" w:color="auto"/>
        <w:bottom w:val="none" w:sz="0" w:space="0" w:color="auto"/>
        <w:right w:val="none" w:sz="0" w:space="0" w:color="auto"/>
      </w:divBdr>
      <w:divsChild>
        <w:div w:id="1878851990">
          <w:marLeft w:val="274"/>
          <w:marRight w:val="0"/>
          <w:marTop w:val="0"/>
          <w:marBottom w:val="0"/>
          <w:divBdr>
            <w:top w:val="none" w:sz="0" w:space="0" w:color="auto"/>
            <w:left w:val="none" w:sz="0" w:space="0" w:color="auto"/>
            <w:bottom w:val="none" w:sz="0" w:space="0" w:color="auto"/>
            <w:right w:val="none" w:sz="0" w:space="0" w:color="auto"/>
          </w:divBdr>
        </w:div>
      </w:divsChild>
    </w:div>
    <w:div w:id="1722902739">
      <w:bodyDiv w:val="1"/>
      <w:marLeft w:val="0"/>
      <w:marRight w:val="0"/>
      <w:marTop w:val="0"/>
      <w:marBottom w:val="0"/>
      <w:divBdr>
        <w:top w:val="none" w:sz="0" w:space="0" w:color="auto"/>
        <w:left w:val="none" w:sz="0" w:space="0" w:color="auto"/>
        <w:bottom w:val="none" w:sz="0" w:space="0" w:color="auto"/>
        <w:right w:val="none" w:sz="0" w:space="0" w:color="auto"/>
      </w:divBdr>
    </w:div>
    <w:div w:id="1733969350">
      <w:bodyDiv w:val="1"/>
      <w:marLeft w:val="0"/>
      <w:marRight w:val="0"/>
      <w:marTop w:val="0"/>
      <w:marBottom w:val="0"/>
      <w:divBdr>
        <w:top w:val="none" w:sz="0" w:space="0" w:color="auto"/>
        <w:left w:val="none" w:sz="0" w:space="0" w:color="auto"/>
        <w:bottom w:val="none" w:sz="0" w:space="0" w:color="auto"/>
        <w:right w:val="none" w:sz="0" w:space="0" w:color="auto"/>
      </w:divBdr>
    </w:div>
    <w:div w:id="1734086195">
      <w:bodyDiv w:val="1"/>
      <w:marLeft w:val="0"/>
      <w:marRight w:val="0"/>
      <w:marTop w:val="0"/>
      <w:marBottom w:val="0"/>
      <w:divBdr>
        <w:top w:val="none" w:sz="0" w:space="0" w:color="auto"/>
        <w:left w:val="none" w:sz="0" w:space="0" w:color="auto"/>
        <w:bottom w:val="none" w:sz="0" w:space="0" w:color="auto"/>
        <w:right w:val="none" w:sz="0" w:space="0" w:color="auto"/>
      </w:divBdr>
    </w:div>
    <w:div w:id="1736053063">
      <w:bodyDiv w:val="1"/>
      <w:marLeft w:val="0"/>
      <w:marRight w:val="0"/>
      <w:marTop w:val="0"/>
      <w:marBottom w:val="0"/>
      <w:divBdr>
        <w:top w:val="none" w:sz="0" w:space="0" w:color="auto"/>
        <w:left w:val="none" w:sz="0" w:space="0" w:color="auto"/>
        <w:bottom w:val="none" w:sz="0" w:space="0" w:color="auto"/>
        <w:right w:val="none" w:sz="0" w:space="0" w:color="auto"/>
      </w:divBdr>
    </w:div>
    <w:div w:id="1738360950">
      <w:bodyDiv w:val="1"/>
      <w:marLeft w:val="0"/>
      <w:marRight w:val="0"/>
      <w:marTop w:val="0"/>
      <w:marBottom w:val="0"/>
      <w:divBdr>
        <w:top w:val="none" w:sz="0" w:space="0" w:color="auto"/>
        <w:left w:val="none" w:sz="0" w:space="0" w:color="auto"/>
        <w:bottom w:val="none" w:sz="0" w:space="0" w:color="auto"/>
        <w:right w:val="none" w:sz="0" w:space="0" w:color="auto"/>
      </w:divBdr>
    </w:div>
    <w:div w:id="1745764336">
      <w:bodyDiv w:val="1"/>
      <w:marLeft w:val="0"/>
      <w:marRight w:val="0"/>
      <w:marTop w:val="0"/>
      <w:marBottom w:val="0"/>
      <w:divBdr>
        <w:top w:val="none" w:sz="0" w:space="0" w:color="auto"/>
        <w:left w:val="none" w:sz="0" w:space="0" w:color="auto"/>
        <w:bottom w:val="none" w:sz="0" w:space="0" w:color="auto"/>
        <w:right w:val="none" w:sz="0" w:space="0" w:color="auto"/>
      </w:divBdr>
    </w:div>
    <w:div w:id="1754472687">
      <w:bodyDiv w:val="1"/>
      <w:marLeft w:val="0"/>
      <w:marRight w:val="0"/>
      <w:marTop w:val="0"/>
      <w:marBottom w:val="0"/>
      <w:divBdr>
        <w:top w:val="none" w:sz="0" w:space="0" w:color="auto"/>
        <w:left w:val="none" w:sz="0" w:space="0" w:color="auto"/>
        <w:bottom w:val="none" w:sz="0" w:space="0" w:color="auto"/>
        <w:right w:val="none" w:sz="0" w:space="0" w:color="auto"/>
      </w:divBdr>
    </w:div>
    <w:div w:id="1762605031">
      <w:bodyDiv w:val="1"/>
      <w:marLeft w:val="0"/>
      <w:marRight w:val="0"/>
      <w:marTop w:val="0"/>
      <w:marBottom w:val="0"/>
      <w:divBdr>
        <w:top w:val="none" w:sz="0" w:space="0" w:color="auto"/>
        <w:left w:val="none" w:sz="0" w:space="0" w:color="auto"/>
        <w:bottom w:val="none" w:sz="0" w:space="0" w:color="auto"/>
        <w:right w:val="none" w:sz="0" w:space="0" w:color="auto"/>
      </w:divBdr>
      <w:divsChild>
        <w:div w:id="2121944989">
          <w:marLeft w:val="274"/>
          <w:marRight w:val="0"/>
          <w:marTop w:val="40"/>
          <w:marBottom w:val="40"/>
          <w:divBdr>
            <w:top w:val="none" w:sz="0" w:space="0" w:color="auto"/>
            <w:left w:val="none" w:sz="0" w:space="0" w:color="auto"/>
            <w:bottom w:val="none" w:sz="0" w:space="0" w:color="auto"/>
            <w:right w:val="none" w:sz="0" w:space="0" w:color="auto"/>
          </w:divBdr>
        </w:div>
      </w:divsChild>
    </w:div>
    <w:div w:id="1762676730">
      <w:bodyDiv w:val="1"/>
      <w:marLeft w:val="0"/>
      <w:marRight w:val="0"/>
      <w:marTop w:val="0"/>
      <w:marBottom w:val="0"/>
      <w:divBdr>
        <w:top w:val="none" w:sz="0" w:space="0" w:color="auto"/>
        <w:left w:val="none" w:sz="0" w:space="0" w:color="auto"/>
        <w:bottom w:val="none" w:sz="0" w:space="0" w:color="auto"/>
        <w:right w:val="none" w:sz="0" w:space="0" w:color="auto"/>
      </w:divBdr>
    </w:div>
    <w:div w:id="1763792302">
      <w:bodyDiv w:val="1"/>
      <w:marLeft w:val="0"/>
      <w:marRight w:val="0"/>
      <w:marTop w:val="0"/>
      <w:marBottom w:val="0"/>
      <w:divBdr>
        <w:top w:val="none" w:sz="0" w:space="0" w:color="auto"/>
        <w:left w:val="none" w:sz="0" w:space="0" w:color="auto"/>
        <w:bottom w:val="none" w:sz="0" w:space="0" w:color="auto"/>
        <w:right w:val="none" w:sz="0" w:space="0" w:color="auto"/>
      </w:divBdr>
    </w:div>
    <w:div w:id="1765803038">
      <w:bodyDiv w:val="1"/>
      <w:marLeft w:val="0"/>
      <w:marRight w:val="0"/>
      <w:marTop w:val="0"/>
      <w:marBottom w:val="0"/>
      <w:divBdr>
        <w:top w:val="none" w:sz="0" w:space="0" w:color="auto"/>
        <w:left w:val="none" w:sz="0" w:space="0" w:color="auto"/>
        <w:bottom w:val="none" w:sz="0" w:space="0" w:color="auto"/>
        <w:right w:val="none" w:sz="0" w:space="0" w:color="auto"/>
      </w:divBdr>
    </w:div>
    <w:div w:id="1770390759">
      <w:bodyDiv w:val="1"/>
      <w:marLeft w:val="0"/>
      <w:marRight w:val="0"/>
      <w:marTop w:val="0"/>
      <w:marBottom w:val="0"/>
      <w:divBdr>
        <w:top w:val="none" w:sz="0" w:space="0" w:color="auto"/>
        <w:left w:val="none" w:sz="0" w:space="0" w:color="auto"/>
        <w:bottom w:val="none" w:sz="0" w:space="0" w:color="auto"/>
        <w:right w:val="none" w:sz="0" w:space="0" w:color="auto"/>
      </w:divBdr>
    </w:div>
    <w:div w:id="1771004846">
      <w:bodyDiv w:val="1"/>
      <w:marLeft w:val="0"/>
      <w:marRight w:val="0"/>
      <w:marTop w:val="0"/>
      <w:marBottom w:val="0"/>
      <w:divBdr>
        <w:top w:val="none" w:sz="0" w:space="0" w:color="auto"/>
        <w:left w:val="none" w:sz="0" w:space="0" w:color="auto"/>
        <w:bottom w:val="none" w:sz="0" w:space="0" w:color="auto"/>
        <w:right w:val="none" w:sz="0" w:space="0" w:color="auto"/>
      </w:divBdr>
    </w:div>
    <w:div w:id="1772817119">
      <w:bodyDiv w:val="1"/>
      <w:marLeft w:val="0"/>
      <w:marRight w:val="0"/>
      <w:marTop w:val="0"/>
      <w:marBottom w:val="0"/>
      <w:divBdr>
        <w:top w:val="none" w:sz="0" w:space="0" w:color="auto"/>
        <w:left w:val="none" w:sz="0" w:space="0" w:color="auto"/>
        <w:bottom w:val="none" w:sz="0" w:space="0" w:color="auto"/>
        <w:right w:val="none" w:sz="0" w:space="0" w:color="auto"/>
      </w:divBdr>
    </w:div>
    <w:div w:id="1774402255">
      <w:bodyDiv w:val="1"/>
      <w:marLeft w:val="0"/>
      <w:marRight w:val="0"/>
      <w:marTop w:val="0"/>
      <w:marBottom w:val="0"/>
      <w:divBdr>
        <w:top w:val="none" w:sz="0" w:space="0" w:color="auto"/>
        <w:left w:val="none" w:sz="0" w:space="0" w:color="auto"/>
        <w:bottom w:val="none" w:sz="0" w:space="0" w:color="auto"/>
        <w:right w:val="none" w:sz="0" w:space="0" w:color="auto"/>
      </w:divBdr>
    </w:div>
    <w:div w:id="1780760744">
      <w:bodyDiv w:val="1"/>
      <w:marLeft w:val="0"/>
      <w:marRight w:val="0"/>
      <w:marTop w:val="0"/>
      <w:marBottom w:val="0"/>
      <w:divBdr>
        <w:top w:val="none" w:sz="0" w:space="0" w:color="auto"/>
        <w:left w:val="none" w:sz="0" w:space="0" w:color="auto"/>
        <w:bottom w:val="none" w:sz="0" w:space="0" w:color="auto"/>
        <w:right w:val="none" w:sz="0" w:space="0" w:color="auto"/>
      </w:divBdr>
    </w:div>
    <w:div w:id="1782064870">
      <w:bodyDiv w:val="1"/>
      <w:marLeft w:val="0"/>
      <w:marRight w:val="0"/>
      <w:marTop w:val="0"/>
      <w:marBottom w:val="0"/>
      <w:divBdr>
        <w:top w:val="none" w:sz="0" w:space="0" w:color="auto"/>
        <w:left w:val="none" w:sz="0" w:space="0" w:color="auto"/>
        <w:bottom w:val="none" w:sz="0" w:space="0" w:color="auto"/>
        <w:right w:val="none" w:sz="0" w:space="0" w:color="auto"/>
      </w:divBdr>
    </w:div>
    <w:div w:id="1796559530">
      <w:bodyDiv w:val="1"/>
      <w:marLeft w:val="0"/>
      <w:marRight w:val="0"/>
      <w:marTop w:val="0"/>
      <w:marBottom w:val="0"/>
      <w:divBdr>
        <w:top w:val="none" w:sz="0" w:space="0" w:color="auto"/>
        <w:left w:val="none" w:sz="0" w:space="0" w:color="auto"/>
        <w:bottom w:val="none" w:sz="0" w:space="0" w:color="auto"/>
        <w:right w:val="none" w:sz="0" w:space="0" w:color="auto"/>
      </w:divBdr>
      <w:divsChild>
        <w:div w:id="338626163">
          <w:marLeft w:val="274"/>
          <w:marRight w:val="0"/>
          <w:marTop w:val="40"/>
          <w:marBottom w:val="40"/>
          <w:divBdr>
            <w:top w:val="none" w:sz="0" w:space="0" w:color="auto"/>
            <w:left w:val="none" w:sz="0" w:space="0" w:color="auto"/>
            <w:bottom w:val="none" w:sz="0" w:space="0" w:color="auto"/>
            <w:right w:val="none" w:sz="0" w:space="0" w:color="auto"/>
          </w:divBdr>
        </w:div>
      </w:divsChild>
    </w:div>
    <w:div w:id="1796875090">
      <w:bodyDiv w:val="1"/>
      <w:marLeft w:val="0"/>
      <w:marRight w:val="0"/>
      <w:marTop w:val="0"/>
      <w:marBottom w:val="0"/>
      <w:divBdr>
        <w:top w:val="none" w:sz="0" w:space="0" w:color="auto"/>
        <w:left w:val="none" w:sz="0" w:space="0" w:color="auto"/>
        <w:bottom w:val="none" w:sz="0" w:space="0" w:color="auto"/>
        <w:right w:val="none" w:sz="0" w:space="0" w:color="auto"/>
      </w:divBdr>
    </w:div>
    <w:div w:id="1799375795">
      <w:bodyDiv w:val="1"/>
      <w:marLeft w:val="0"/>
      <w:marRight w:val="0"/>
      <w:marTop w:val="0"/>
      <w:marBottom w:val="0"/>
      <w:divBdr>
        <w:top w:val="none" w:sz="0" w:space="0" w:color="auto"/>
        <w:left w:val="none" w:sz="0" w:space="0" w:color="auto"/>
        <w:bottom w:val="none" w:sz="0" w:space="0" w:color="auto"/>
        <w:right w:val="none" w:sz="0" w:space="0" w:color="auto"/>
      </w:divBdr>
      <w:divsChild>
        <w:div w:id="475610509">
          <w:marLeft w:val="360"/>
          <w:marRight w:val="0"/>
          <w:marTop w:val="0"/>
          <w:marBottom w:val="0"/>
          <w:divBdr>
            <w:top w:val="none" w:sz="0" w:space="0" w:color="auto"/>
            <w:left w:val="none" w:sz="0" w:space="0" w:color="auto"/>
            <w:bottom w:val="none" w:sz="0" w:space="0" w:color="auto"/>
            <w:right w:val="none" w:sz="0" w:space="0" w:color="auto"/>
          </w:divBdr>
        </w:div>
      </w:divsChild>
    </w:div>
    <w:div w:id="1799645291">
      <w:bodyDiv w:val="1"/>
      <w:marLeft w:val="0"/>
      <w:marRight w:val="0"/>
      <w:marTop w:val="0"/>
      <w:marBottom w:val="0"/>
      <w:divBdr>
        <w:top w:val="none" w:sz="0" w:space="0" w:color="auto"/>
        <w:left w:val="none" w:sz="0" w:space="0" w:color="auto"/>
        <w:bottom w:val="none" w:sz="0" w:space="0" w:color="auto"/>
        <w:right w:val="none" w:sz="0" w:space="0" w:color="auto"/>
      </w:divBdr>
      <w:divsChild>
        <w:div w:id="2123957354">
          <w:marLeft w:val="274"/>
          <w:marRight w:val="0"/>
          <w:marTop w:val="40"/>
          <w:marBottom w:val="40"/>
          <w:divBdr>
            <w:top w:val="none" w:sz="0" w:space="0" w:color="auto"/>
            <w:left w:val="none" w:sz="0" w:space="0" w:color="auto"/>
            <w:bottom w:val="none" w:sz="0" w:space="0" w:color="auto"/>
            <w:right w:val="none" w:sz="0" w:space="0" w:color="auto"/>
          </w:divBdr>
        </w:div>
      </w:divsChild>
    </w:div>
    <w:div w:id="1800876930">
      <w:bodyDiv w:val="1"/>
      <w:marLeft w:val="0"/>
      <w:marRight w:val="0"/>
      <w:marTop w:val="0"/>
      <w:marBottom w:val="0"/>
      <w:divBdr>
        <w:top w:val="none" w:sz="0" w:space="0" w:color="auto"/>
        <w:left w:val="none" w:sz="0" w:space="0" w:color="auto"/>
        <w:bottom w:val="none" w:sz="0" w:space="0" w:color="auto"/>
        <w:right w:val="none" w:sz="0" w:space="0" w:color="auto"/>
      </w:divBdr>
      <w:divsChild>
        <w:div w:id="819078753">
          <w:marLeft w:val="274"/>
          <w:marRight w:val="0"/>
          <w:marTop w:val="40"/>
          <w:marBottom w:val="40"/>
          <w:divBdr>
            <w:top w:val="none" w:sz="0" w:space="0" w:color="auto"/>
            <w:left w:val="none" w:sz="0" w:space="0" w:color="auto"/>
            <w:bottom w:val="none" w:sz="0" w:space="0" w:color="auto"/>
            <w:right w:val="none" w:sz="0" w:space="0" w:color="auto"/>
          </w:divBdr>
        </w:div>
      </w:divsChild>
    </w:div>
    <w:div w:id="1809786190">
      <w:bodyDiv w:val="1"/>
      <w:marLeft w:val="0"/>
      <w:marRight w:val="0"/>
      <w:marTop w:val="0"/>
      <w:marBottom w:val="0"/>
      <w:divBdr>
        <w:top w:val="none" w:sz="0" w:space="0" w:color="auto"/>
        <w:left w:val="none" w:sz="0" w:space="0" w:color="auto"/>
        <w:bottom w:val="none" w:sz="0" w:space="0" w:color="auto"/>
        <w:right w:val="none" w:sz="0" w:space="0" w:color="auto"/>
      </w:divBdr>
    </w:div>
    <w:div w:id="1810517615">
      <w:bodyDiv w:val="1"/>
      <w:marLeft w:val="0"/>
      <w:marRight w:val="0"/>
      <w:marTop w:val="0"/>
      <w:marBottom w:val="0"/>
      <w:divBdr>
        <w:top w:val="none" w:sz="0" w:space="0" w:color="auto"/>
        <w:left w:val="none" w:sz="0" w:space="0" w:color="auto"/>
        <w:bottom w:val="none" w:sz="0" w:space="0" w:color="auto"/>
        <w:right w:val="none" w:sz="0" w:space="0" w:color="auto"/>
      </w:divBdr>
    </w:div>
    <w:div w:id="1811289181">
      <w:bodyDiv w:val="1"/>
      <w:marLeft w:val="0"/>
      <w:marRight w:val="0"/>
      <w:marTop w:val="0"/>
      <w:marBottom w:val="0"/>
      <w:divBdr>
        <w:top w:val="none" w:sz="0" w:space="0" w:color="auto"/>
        <w:left w:val="none" w:sz="0" w:space="0" w:color="auto"/>
        <w:bottom w:val="none" w:sz="0" w:space="0" w:color="auto"/>
        <w:right w:val="none" w:sz="0" w:space="0" w:color="auto"/>
      </w:divBdr>
      <w:divsChild>
        <w:div w:id="116880532">
          <w:marLeft w:val="274"/>
          <w:marRight w:val="0"/>
          <w:marTop w:val="0"/>
          <w:marBottom w:val="0"/>
          <w:divBdr>
            <w:top w:val="none" w:sz="0" w:space="0" w:color="auto"/>
            <w:left w:val="none" w:sz="0" w:space="0" w:color="auto"/>
            <w:bottom w:val="none" w:sz="0" w:space="0" w:color="auto"/>
            <w:right w:val="none" w:sz="0" w:space="0" w:color="auto"/>
          </w:divBdr>
        </w:div>
        <w:div w:id="966859140">
          <w:marLeft w:val="274"/>
          <w:marRight w:val="0"/>
          <w:marTop w:val="0"/>
          <w:marBottom w:val="0"/>
          <w:divBdr>
            <w:top w:val="none" w:sz="0" w:space="0" w:color="auto"/>
            <w:left w:val="none" w:sz="0" w:space="0" w:color="auto"/>
            <w:bottom w:val="none" w:sz="0" w:space="0" w:color="auto"/>
            <w:right w:val="none" w:sz="0" w:space="0" w:color="auto"/>
          </w:divBdr>
        </w:div>
        <w:div w:id="1735737150">
          <w:marLeft w:val="274"/>
          <w:marRight w:val="0"/>
          <w:marTop w:val="0"/>
          <w:marBottom w:val="0"/>
          <w:divBdr>
            <w:top w:val="none" w:sz="0" w:space="0" w:color="auto"/>
            <w:left w:val="none" w:sz="0" w:space="0" w:color="auto"/>
            <w:bottom w:val="none" w:sz="0" w:space="0" w:color="auto"/>
            <w:right w:val="none" w:sz="0" w:space="0" w:color="auto"/>
          </w:divBdr>
        </w:div>
      </w:divsChild>
    </w:div>
    <w:div w:id="1814178342">
      <w:bodyDiv w:val="1"/>
      <w:marLeft w:val="0"/>
      <w:marRight w:val="0"/>
      <w:marTop w:val="0"/>
      <w:marBottom w:val="0"/>
      <w:divBdr>
        <w:top w:val="none" w:sz="0" w:space="0" w:color="auto"/>
        <w:left w:val="none" w:sz="0" w:space="0" w:color="auto"/>
        <w:bottom w:val="none" w:sz="0" w:space="0" w:color="auto"/>
        <w:right w:val="none" w:sz="0" w:space="0" w:color="auto"/>
      </w:divBdr>
    </w:div>
    <w:div w:id="1816752164">
      <w:bodyDiv w:val="1"/>
      <w:marLeft w:val="0"/>
      <w:marRight w:val="0"/>
      <w:marTop w:val="0"/>
      <w:marBottom w:val="0"/>
      <w:divBdr>
        <w:top w:val="none" w:sz="0" w:space="0" w:color="auto"/>
        <w:left w:val="none" w:sz="0" w:space="0" w:color="auto"/>
        <w:bottom w:val="none" w:sz="0" w:space="0" w:color="auto"/>
        <w:right w:val="none" w:sz="0" w:space="0" w:color="auto"/>
      </w:divBdr>
    </w:div>
    <w:div w:id="1819572033">
      <w:bodyDiv w:val="1"/>
      <w:marLeft w:val="0"/>
      <w:marRight w:val="0"/>
      <w:marTop w:val="0"/>
      <w:marBottom w:val="0"/>
      <w:divBdr>
        <w:top w:val="none" w:sz="0" w:space="0" w:color="auto"/>
        <w:left w:val="none" w:sz="0" w:space="0" w:color="auto"/>
        <w:bottom w:val="none" w:sz="0" w:space="0" w:color="auto"/>
        <w:right w:val="none" w:sz="0" w:space="0" w:color="auto"/>
      </w:divBdr>
    </w:div>
    <w:div w:id="1819765490">
      <w:bodyDiv w:val="1"/>
      <w:marLeft w:val="0"/>
      <w:marRight w:val="0"/>
      <w:marTop w:val="0"/>
      <w:marBottom w:val="0"/>
      <w:divBdr>
        <w:top w:val="none" w:sz="0" w:space="0" w:color="auto"/>
        <w:left w:val="none" w:sz="0" w:space="0" w:color="auto"/>
        <w:bottom w:val="none" w:sz="0" w:space="0" w:color="auto"/>
        <w:right w:val="none" w:sz="0" w:space="0" w:color="auto"/>
      </w:divBdr>
    </w:div>
    <w:div w:id="1821342605">
      <w:bodyDiv w:val="1"/>
      <w:marLeft w:val="0"/>
      <w:marRight w:val="0"/>
      <w:marTop w:val="0"/>
      <w:marBottom w:val="0"/>
      <w:divBdr>
        <w:top w:val="none" w:sz="0" w:space="0" w:color="auto"/>
        <w:left w:val="none" w:sz="0" w:space="0" w:color="auto"/>
        <w:bottom w:val="none" w:sz="0" w:space="0" w:color="auto"/>
        <w:right w:val="none" w:sz="0" w:space="0" w:color="auto"/>
      </w:divBdr>
    </w:div>
    <w:div w:id="1825388126">
      <w:bodyDiv w:val="1"/>
      <w:marLeft w:val="0"/>
      <w:marRight w:val="0"/>
      <w:marTop w:val="0"/>
      <w:marBottom w:val="0"/>
      <w:divBdr>
        <w:top w:val="none" w:sz="0" w:space="0" w:color="auto"/>
        <w:left w:val="none" w:sz="0" w:space="0" w:color="auto"/>
        <w:bottom w:val="none" w:sz="0" w:space="0" w:color="auto"/>
        <w:right w:val="none" w:sz="0" w:space="0" w:color="auto"/>
      </w:divBdr>
    </w:div>
    <w:div w:id="1827820207">
      <w:bodyDiv w:val="1"/>
      <w:marLeft w:val="0"/>
      <w:marRight w:val="0"/>
      <w:marTop w:val="0"/>
      <w:marBottom w:val="0"/>
      <w:divBdr>
        <w:top w:val="none" w:sz="0" w:space="0" w:color="auto"/>
        <w:left w:val="none" w:sz="0" w:space="0" w:color="auto"/>
        <w:bottom w:val="none" w:sz="0" w:space="0" w:color="auto"/>
        <w:right w:val="none" w:sz="0" w:space="0" w:color="auto"/>
      </w:divBdr>
    </w:div>
    <w:div w:id="1839491251">
      <w:bodyDiv w:val="1"/>
      <w:marLeft w:val="0"/>
      <w:marRight w:val="0"/>
      <w:marTop w:val="0"/>
      <w:marBottom w:val="0"/>
      <w:divBdr>
        <w:top w:val="none" w:sz="0" w:space="0" w:color="auto"/>
        <w:left w:val="none" w:sz="0" w:space="0" w:color="auto"/>
        <w:bottom w:val="none" w:sz="0" w:space="0" w:color="auto"/>
        <w:right w:val="none" w:sz="0" w:space="0" w:color="auto"/>
      </w:divBdr>
      <w:divsChild>
        <w:div w:id="258568102">
          <w:marLeft w:val="274"/>
          <w:marRight w:val="0"/>
          <w:marTop w:val="60"/>
          <w:marBottom w:val="60"/>
          <w:divBdr>
            <w:top w:val="none" w:sz="0" w:space="0" w:color="auto"/>
            <w:left w:val="none" w:sz="0" w:space="0" w:color="auto"/>
            <w:bottom w:val="none" w:sz="0" w:space="0" w:color="auto"/>
            <w:right w:val="none" w:sz="0" w:space="0" w:color="auto"/>
          </w:divBdr>
        </w:div>
      </w:divsChild>
    </w:div>
    <w:div w:id="1840851025">
      <w:bodyDiv w:val="1"/>
      <w:marLeft w:val="0"/>
      <w:marRight w:val="0"/>
      <w:marTop w:val="0"/>
      <w:marBottom w:val="0"/>
      <w:divBdr>
        <w:top w:val="none" w:sz="0" w:space="0" w:color="auto"/>
        <w:left w:val="none" w:sz="0" w:space="0" w:color="auto"/>
        <w:bottom w:val="none" w:sz="0" w:space="0" w:color="auto"/>
        <w:right w:val="none" w:sz="0" w:space="0" w:color="auto"/>
      </w:divBdr>
    </w:div>
    <w:div w:id="1841239223">
      <w:bodyDiv w:val="1"/>
      <w:marLeft w:val="0"/>
      <w:marRight w:val="0"/>
      <w:marTop w:val="0"/>
      <w:marBottom w:val="0"/>
      <w:divBdr>
        <w:top w:val="none" w:sz="0" w:space="0" w:color="auto"/>
        <w:left w:val="none" w:sz="0" w:space="0" w:color="auto"/>
        <w:bottom w:val="none" w:sz="0" w:space="0" w:color="auto"/>
        <w:right w:val="none" w:sz="0" w:space="0" w:color="auto"/>
      </w:divBdr>
    </w:div>
    <w:div w:id="1842236393">
      <w:bodyDiv w:val="1"/>
      <w:marLeft w:val="0"/>
      <w:marRight w:val="0"/>
      <w:marTop w:val="0"/>
      <w:marBottom w:val="0"/>
      <w:divBdr>
        <w:top w:val="none" w:sz="0" w:space="0" w:color="auto"/>
        <w:left w:val="none" w:sz="0" w:space="0" w:color="auto"/>
        <w:bottom w:val="none" w:sz="0" w:space="0" w:color="auto"/>
        <w:right w:val="none" w:sz="0" w:space="0" w:color="auto"/>
      </w:divBdr>
    </w:div>
    <w:div w:id="1848253056">
      <w:bodyDiv w:val="1"/>
      <w:marLeft w:val="0"/>
      <w:marRight w:val="0"/>
      <w:marTop w:val="0"/>
      <w:marBottom w:val="0"/>
      <w:divBdr>
        <w:top w:val="none" w:sz="0" w:space="0" w:color="auto"/>
        <w:left w:val="none" w:sz="0" w:space="0" w:color="auto"/>
        <w:bottom w:val="none" w:sz="0" w:space="0" w:color="auto"/>
        <w:right w:val="none" w:sz="0" w:space="0" w:color="auto"/>
      </w:divBdr>
    </w:div>
    <w:div w:id="1848443453">
      <w:bodyDiv w:val="1"/>
      <w:marLeft w:val="0"/>
      <w:marRight w:val="0"/>
      <w:marTop w:val="0"/>
      <w:marBottom w:val="0"/>
      <w:divBdr>
        <w:top w:val="none" w:sz="0" w:space="0" w:color="auto"/>
        <w:left w:val="none" w:sz="0" w:space="0" w:color="auto"/>
        <w:bottom w:val="none" w:sz="0" w:space="0" w:color="auto"/>
        <w:right w:val="none" w:sz="0" w:space="0" w:color="auto"/>
      </w:divBdr>
    </w:div>
    <w:div w:id="1849366195">
      <w:bodyDiv w:val="1"/>
      <w:marLeft w:val="0"/>
      <w:marRight w:val="0"/>
      <w:marTop w:val="0"/>
      <w:marBottom w:val="0"/>
      <w:divBdr>
        <w:top w:val="none" w:sz="0" w:space="0" w:color="auto"/>
        <w:left w:val="none" w:sz="0" w:space="0" w:color="auto"/>
        <w:bottom w:val="none" w:sz="0" w:space="0" w:color="auto"/>
        <w:right w:val="none" w:sz="0" w:space="0" w:color="auto"/>
      </w:divBdr>
    </w:div>
    <w:div w:id="1854027947">
      <w:bodyDiv w:val="1"/>
      <w:marLeft w:val="0"/>
      <w:marRight w:val="0"/>
      <w:marTop w:val="0"/>
      <w:marBottom w:val="0"/>
      <w:divBdr>
        <w:top w:val="none" w:sz="0" w:space="0" w:color="auto"/>
        <w:left w:val="none" w:sz="0" w:space="0" w:color="auto"/>
        <w:bottom w:val="none" w:sz="0" w:space="0" w:color="auto"/>
        <w:right w:val="none" w:sz="0" w:space="0" w:color="auto"/>
      </w:divBdr>
    </w:div>
    <w:div w:id="1861161904">
      <w:bodyDiv w:val="1"/>
      <w:marLeft w:val="0"/>
      <w:marRight w:val="0"/>
      <w:marTop w:val="0"/>
      <w:marBottom w:val="0"/>
      <w:divBdr>
        <w:top w:val="none" w:sz="0" w:space="0" w:color="auto"/>
        <w:left w:val="none" w:sz="0" w:space="0" w:color="auto"/>
        <w:bottom w:val="none" w:sz="0" w:space="0" w:color="auto"/>
        <w:right w:val="none" w:sz="0" w:space="0" w:color="auto"/>
      </w:divBdr>
    </w:div>
    <w:div w:id="1863324898">
      <w:bodyDiv w:val="1"/>
      <w:marLeft w:val="0"/>
      <w:marRight w:val="0"/>
      <w:marTop w:val="0"/>
      <w:marBottom w:val="0"/>
      <w:divBdr>
        <w:top w:val="none" w:sz="0" w:space="0" w:color="auto"/>
        <w:left w:val="none" w:sz="0" w:space="0" w:color="auto"/>
        <w:bottom w:val="none" w:sz="0" w:space="0" w:color="auto"/>
        <w:right w:val="none" w:sz="0" w:space="0" w:color="auto"/>
      </w:divBdr>
    </w:div>
    <w:div w:id="1864004873">
      <w:bodyDiv w:val="1"/>
      <w:marLeft w:val="0"/>
      <w:marRight w:val="0"/>
      <w:marTop w:val="0"/>
      <w:marBottom w:val="0"/>
      <w:divBdr>
        <w:top w:val="none" w:sz="0" w:space="0" w:color="auto"/>
        <w:left w:val="none" w:sz="0" w:space="0" w:color="auto"/>
        <w:bottom w:val="none" w:sz="0" w:space="0" w:color="auto"/>
        <w:right w:val="none" w:sz="0" w:space="0" w:color="auto"/>
      </w:divBdr>
    </w:div>
    <w:div w:id="1869027134">
      <w:bodyDiv w:val="1"/>
      <w:marLeft w:val="0"/>
      <w:marRight w:val="0"/>
      <w:marTop w:val="0"/>
      <w:marBottom w:val="0"/>
      <w:divBdr>
        <w:top w:val="none" w:sz="0" w:space="0" w:color="auto"/>
        <w:left w:val="none" w:sz="0" w:space="0" w:color="auto"/>
        <w:bottom w:val="none" w:sz="0" w:space="0" w:color="auto"/>
        <w:right w:val="none" w:sz="0" w:space="0" w:color="auto"/>
      </w:divBdr>
    </w:div>
    <w:div w:id="1880434990">
      <w:bodyDiv w:val="1"/>
      <w:marLeft w:val="0"/>
      <w:marRight w:val="0"/>
      <w:marTop w:val="0"/>
      <w:marBottom w:val="0"/>
      <w:divBdr>
        <w:top w:val="none" w:sz="0" w:space="0" w:color="auto"/>
        <w:left w:val="none" w:sz="0" w:space="0" w:color="auto"/>
        <w:bottom w:val="none" w:sz="0" w:space="0" w:color="auto"/>
        <w:right w:val="none" w:sz="0" w:space="0" w:color="auto"/>
      </w:divBdr>
    </w:div>
    <w:div w:id="1881673548">
      <w:bodyDiv w:val="1"/>
      <w:marLeft w:val="0"/>
      <w:marRight w:val="0"/>
      <w:marTop w:val="0"/>
      <w:marBottom w:val="0"/>
      <w:divBdr>
        <w:top w:val="none" w:sz="0" w:space="0" w:color="auto"/>
        <w:left w:val="none" w:sz="0" w:space="0" w:color="auto"/>
        <w:bottom w:val="none" w:sz="0" w:space="0" w:color="auto"/>
        <w:right w:val="none" w:sz="0" w:space="0" w:color="auto"/>
      </w:divBdr>
    </w:div>
    <w:div w:id="1887059595">
      <w:bodyDiv w:val="1"/>
      <w:marLeft w:val="0"/>
      <w:marRight w:val="0"/>
      <w:marTop w:val="0"/>
      <w:marBottom w:val="0"/>
      <w:divBdr>
        <w:top w:val="none" w:sz="0" w:space="0" w:color="auto"/>
        <w:left w:val="none" w:sz="0" w:space="0" w:color="auto"/>
        <w:bottom w:val="none" w:sz="0" w:space="0" w:color="auto"/>
        <w:right w:val="none" w:sz="0" w:space="0" w:color="auto"/>
      </w:divBdr>
    </w:div>
    <w:div w:id="1891307064">
      <w:bodyDiv w:val="1"/>
      <w:marLeft w:val="0"/>
      <w:marRight w:val="0"/>
      <w:marTop w:val="0"/>
      <w:marBottom w:val="0"/>
      <w:divBdr>
        <w:top w:val="none" w:sz="0" w:space="0" w:color="auto"/>
        <w:left w:val="none" w:sz="0" w:space="0" w:color="auto"/>
        <w:bottom w:val="none" w:sz="0" w:space="0" w:color="auto"/>
        <w:right w:val="none" w:sz="0" w:space="0" w:color="auto"/>
      </w:divBdr>
      <w:divsChild>
        <w:div w:id="187767517">
          <w:marLeft w:val="274"/>
          <w:marRight w:val="0"/>
          <w:marTop w:val="40"/>
          <w:marBottom w:val="40"/>
          <w:divBdr>
            <w:top w:val="none" w:sz="0" w:space="0" w:color="auto"/>
            <w:left w:val="none" w:sz="0" w:space="0" w:color="auto"/>
            <w:bottom w:val="none" w:sz="0" w:space="0" w:color="auto"/>
            <w:right w:val="none" w:sz="0" w:space="0" w:color="auto"/>
          </w:divBdr>
        </w:div>
        <w:div w:id="710694170">
          <w:marLeft w:val="274"/>
          <w:marRight w:val="0"/>
          <w:marTop w:val="40"/>
          <w:marBottom w:val="40"/>
          <w:divBdr>
            <w:top w:val="none" w:sz="0" w:space="0" w:color="auto"/>
            <w:left w:val="none" w:sz="0" w:space="0" w:color="auto"/>
            <w:bottom w:val="none" w:sz="0" w:space="0" w:color="auto"/>
            <w:right w:val="none" w:sz="0" w:space="0" w:color="auto"/>
          </w:divBdr>
        </w:div>
        <w:div w:id="1852600753">
          <w:marLeft w:val="274"/>
          <w:marRight w:val="0"/>
          <w:marTop w:val="40"/>
          <w:marBottom w:val="40"/>
          <w:divBdr>
            <w:top w:val="none" w:sz="0" w:space="0" w:color="auto"/>
            <w:left w:val="none" w:sz="0" w:space="0" w:color="auto"/>
            <w:bottom w:val="none" w:sz="0" w:space="0" w:color="auto"/>
            <w:right w:val="none" w:sz="0" w:space="0" w:color="auto"/>
          </w:divBdr>
        </w:div>
      </w:divsChild>
    </w:div>
    <w:div w:id="1899440542">
      <w:bodyDiv w:val="1"/>
      <w:marLeft w:val="0"/>
      <w:marRight w:val="0"/>
      <w:marTop w:val="0"/>
      <w:marBottom w:val="0"/>
      <w:divBdr>
        <w:top w:val="none" w:sz="0" w:space="0" w:color="auto"/>
        <w:left w:val="none" w:sz="0" w:space="0" w:color="auto"/>
        <w:bottom w:val="none" w:sz="0" w:space="0" w:color="auto"/>
        <w:right w:val="none" w:sz="0" w:space="0" w:color="auto"/>
      </w:divBdr>
    </w:div>
    <w:div w:id="1900090060">
      <w:bodyDiv w:val="1"/>
      <w:marLeft w:val="0"/>
      <w:marRight w:val="0"/>
      <w:marTop w:val="0"/>
      <w:marBottom w:val="0"/>
      <w:divBdr>
        <w:top w:val="none" w:sz="0" w:space="0" w:color="auto"/>
        <w:left w:val="none" w:sz="0" w:space="0" w:color="auto"/>
        <w:bottom w:val="none" w:sz="0" w:space="0" w:color="auto"/>
        <w:right w:val="none" w:sz="0" w:space="0" w:color="auto"/>
      </w:divBdr>
    </w:div>
    <w:div w:id="1900748185">
      <w:bodyDiv w:val="1"/>
      <w:marLeft w:val="0"/>
      <w:marRight w:val="0"/>
      <w:marTop w:val="0"/>
      <w:marBottom w:val="0"/>
      <w:divBdr>
        <w:top w:val="none" w:sz="0" w:space="0" w:color="auto"/>
        <w:left w:val="none" w:sz="0" w:space="0" w:color="auto"/>
        <w:bottom w:val="none" w:sz="0" w:space="0" w:color="auto"/>
        <w:right w:val="none" w:sz="0" w:space="0" w:color="auto"/>
      </w:divBdr>
    </w:div>
    <w:div w:id="1901936566">
      <w:bodyDiv w:val="1"/>
      <w:marLeft w:val="0"/>
      <w:marRight w:val="0"/>
      <w:marTop w:val="0"/>
      <w:marBottom w:val="0"/>
      <w:divBdr>
        <w:top w:val="none" w:sz="0" w:space="0" w:color="auto"/>
        <w:left w:val="none" w:sz="0" w:space="0" w:color="auto"/>
        <w:bottom w:val="none" w:sz="0" w:space="0" w:color="auto"/>
        <w:right w:val="none" w:sz="0" w:space="0" w:color="auto"/>
      </w:divBdr>
    </w:div>
    <w:div w:id="1906448043">
      <w:bodyDiv w:val="1"/>
      <w:marLeft w:val="0"/>
      <w:marRight w:val="0"/>
      <w:marTop w:val="0"/>
      <w:marBottom w:val="0"/>
      <w:divBdr>
        <w:top w:val="none" w:sz="0" w:space="0" w:color="auto"/>
        <w:left w:val="none" w:sz="0" w:space="0" w:color="auto"/>
        <w:bottom w:val="none" w:sz="0" w:space="0" w:color="auto"/>
        <w:right w:val="none" w:sz="0" w:space="0" w:color="auto"/>
      </w:divBdr>
    </w:div>
    <w:div w:id="1908488936">
      <w:bodyDiv w:val="1"/>
      <w:marLeft w:val="0"/>
      <w:marRight w:val="0"/>
      <w:marTop w:val="0"/>
      <w:marBottom w:val="0"/>
      <w:divBdr>
        <w:top w:val="none" w:sz="0" w:space="0" w:color="auto"/>
        <w:left w:val="none" w:sz="0" w:space="0" w:color="auto"/>
        <w:bottom w:val="none" w:sz="0" w:space="0" w:color="auto"/>
        <w:right w:val="none" w:sz="0" w:space="0" w:color="auto"/>
      </w:divBdr>
    </w:div>
    <w:div w:id="1911840359">
      <w:bodyDiv w:val="1"/>
      <w:marLeft w:val="0"/>
      <w:marRight w:val="0"/>
      <w:marTop w:val="0"/>
      <w:marBottom w:val="0"/>
      <w:divBdr>
        <w:top w:val="none" w:sz="0" w:space="0" w:color="auto"/>
        <w:left w:val="none" w:sz="0" w:space="0" w:color="auto"/>
        <w:bottom w:val="none" w:sz="0" w:space="0" w:color="auto"/>
        <w:right w:val="none" w:sz="0" w:space="0" w:color="auto"/>
      </w:divBdr>
    </w:div>
    <w:div w:id="1913857206">
      <w:bodyDiv w:val="1"/>
      <w:marLeft w:val="0"/>
      <w:marRight w:val="0"/>
      <w:marTop w:val="0"/>
      <w:marBottom w:val="0"/>
      <w:divBdr>
        <w:top w:val="none" w:sz="0" w:space="0" w:color="auto"/>
        <w:left w:val="none" w:sz="0" w:space="0" w:color="auto"/>
        <w:bottom w:val="none" w:sz="0" w:space="0" w:color="auto"/>
        <w:right w:val="none" w:sz="0" w:space="0" w:color="auto"/>
      </w:divBdr>
    </w:div>
    <w:div w:id="1914310765">
      <w:bodyDiv w:val="1"/>
      <w:marLeft w:val="0"/>
      <w:marRight w:val="0"/>
      <w:marTop w:val="0"/>
      <w:marBottom w:val="0"/>
      <w:divBdr>
        <w:top w:val="none" w:sz="0" w:space="0" w:color="auto"/>
        <w:left w:val="none" w:sz="0" w:space="0" w:color="auto"/>
        <w:bottom w:val="none" w:sz="0" w:space="0" w:color="auto"/>
        <w:right w:val="none" w:sz="0" w:space="0" w:color="auto"/>
      </w:divBdr>
    </w:div>
    <w:div w:id="1917587323">
      <w:bodyDiv w:val="1"/>
      <w:marLeft w:val="0"/>
      <w:marRight w:val="0"/>
      <w:marTop w:val="0"/>
      <w:marBottom w:val="0"/>
      <w:divBdr>
        <w:top w:val="none" w:sz="0" w:space="0" w:color="auto"/>
        <w:left w:val="none" w:sz="0" w:space="0" w:color="auto"/>
        <w:bottom w:val="none" w:sz="0" w:space="0" w:color="auto"/>
        <w:right w:val="none" w:sz="0" w:space="0" w:color="auto"/>
      </w:divBdr>
    </w:div>
    <w:div w:id="1927610458">
      <w:bodyDiv w:val="1"/>
      <w:marLeft w:val="0"/>
      <w:marRight w:val="0"/>
      <w:marTop w:val="0"/>
      <w:marBottom w:val="0"/>
      <w:divBdr>
        <w:top w:val="none" w:sz="0" w:space="0" w:color="auto"/>
        <w:left w:val="none" w:sz="0" w:space="0" w:color="auto"/>
        <w:bottom w:val="none" w:sz="0" w:space="0" w:color="auto"/>
        <w:right w:val="none" w:sz="0" w:space="0" w:color="auto"/>
      </w:divBdr>
    </w:div>
    <w:div w:id="1944223412">
      <w:bodyDiv w:val="1"/>
      <w:marLeft w:val="0"/>
      <w:marRight w:val="0"/>
      <w:marTop w:val="0"/>
      <w:marBottom w:val="0"/>
      <w:divBdr>
        <w:top w:val="none" w:sz="0" w:space="0" w:color="auto"/>
        <w:left w:val="none" w:sz="0" w:space="0" w:color="auto"/>
        <w:bottom w:val="none" w:sz="0" w:space="0" w:color="auto"/>
        <w:right w:val="none" w:sz="0" w:space="0" w:color="auto"/>
      </w:divBdr>
    </w:div>
    <w:div w:id="1947880209">
      <w:bodyDiv w:val="1"/>
      <w:marLeft w:val="0"/>
      <w:marRight w:val="0"/>
      <w:marTop w:val="0"/>
      <w:marBottom w:val="0"/>
      <w:divBdr>
        <w:top w:val="none" w:sz="0" w:space="0" w:color="auto"/>
        <w:left w:val="none" w:sz="0" w:space="0" w:color="auto"/>
        <w:bottom w:val="none" w:sz="0" w:space="0" w:color="auto"/>
        <w:right w:val="none" w:sz="0" w:space="0" w:color="auto"/>
      </w:divBdr>
    </w:div>
    <w:div w:id="1956519632">
      <w:bodyDiv w:val="1"/>
      <w:marLeft w:val="0"/>
      <w:marRight w:val="0"/>
      <w:marTop w:val="0"/>
      <w:marBottom w:val="0"/>
      <w:divBdr>
        <w:top w:val="none" w:sz="0" w:space="0" w:color="auto"/>
        <w:left w:val="none" w:sz="0" w:space="0" w:color="auto"/>
        <w:bottom w:val="none" w:sz="0" w:space="0" w:color="auto"/>
        <w:right w:val="none" w:sz="0" w:space="0" w:color="auto"/>
      </w:divBdr>
    </w:div>
    <w:div w:id="1958948170">
      <w:bodyDiv w:val="1"/>
      <w:marLeft w:val="0"/>
      <w:marRight w:val="0"/>
      <w:marTop w:val="0"/>
      <w:marBottom w:val="0"/>
      <w:divBdr>
        <w:top w:val="none" w:sz="0" w:space="0" w:color="auto"/>
        <w:left w:val="none" w:sz="0" w:space="0" w:color="auto"/>
        <w:bottom w:val="none" w:sz="0" w:space="0" w:color="auto"/>
        <w:right w:val="none" w:sz="0" w:space="0" w:color="auto"/>
      </w:divBdr>
    </w:div>
    <w:div w:id="1963270918">
      <w:bodyDiv w:val="1"/>
      <w:marLeft w:val="0"/>
      <w:marRight w:val="0"/>
      <w:marTop w:val="0"/>
      <w:marBottom w:val="0"/>
      <w:divBdr>
        <w:top w:val="none" w:sz="0" w:space="0" w:color="auto"/>
        <w:left w:val="none" w:sz="0" w:space="0" w:color="auto"/>
        <w:bottom w:val="none" w:sz="0" w:space="0" w:color="auto"/>
        <w:right w:val="none" w:sz="0" w:space="0" w:color="auto"/>
      </w:divBdr>
    </w:div>
    <w:div w:id="1980332739">
      <w:bodyDiv w:val="1"/>
      <w:marLeft w:val="0"/>
      <w:marRight w:val="0"/>
      <w:marTop w:val="0"/>
      <w:marBottom w:val="0"/>
      <w:divBdr>
        <w:top w:val="none" w:sz="0" w:space="0" w:color="auto"/>
        <w:left w:val="none" w:sz="0" w:space="0" w:color="auto"/>
        <w:bottom w:val="none" w:sz="0" w:space="0" w:color="auto"/>
        <w:right w:val="none" w:sz="0" w:space="0" w:color="auto"/>
      </w:divBdr>
    </w:div>
    <w:div w:id="1980764630">
      <w:bodyDiv w:val="1"/>
      <w:marLeft w:val="0"/>
      <w:marRight w:val="0"/>
      <w:marTop w:val="0"/>
      <w:marBottom w:val="0"/>
      <w:divBdr>
        <w:top w:val="none" w:sz="0" w:space="0" w:color="auto"/>
        <w:left w:val="none" w:sz="0" w:space="0" w:color="auto"/>
        <w:bottom w:val="none" w:sz="0" w:space="0" w:color="auto"/>
        <w:right w:val="none" w:sz="0" w:space="0" w:color="auto"/>
      </w:divBdr>
    </w:div>
    <w:div w:id="1983539306">
      <w:bodyDiv w:val="1"/>
      <w:marLeft w:val="0"/>
      <w:marRight w:val="0"/>
      <w:marTop w:val="0"/>
      <w:marBottom w:val="0"/>
      <w:divBdr>
        <w:top w:val="none" w:sz="0" w:space="0" w:color="auto"/>
        <w:left w:val="none" w:sz="0" w:space="0" w:color="auto"/>
        <w:bottom w:val="none" w:sz="0" w:space="0" w:color="auto"/>
        <w:right w:val="none" w:sz="0" w:space="0" w:color="auto"/>
      </w:divBdr>
    </w:div>
    <w:div w:id="1988437642">
      <w:bodyDiv w:val="1"/>
      <w:marLeft w:val="0"/>
      <w:marRight w:val="0"/>
      <w:marTop w:val="0"/>
      <w:marBottom w:val="0"/>
      <w:divBdr>
        <w:top w:val="none" w:sz="0" w:space="0" w:color="auto"/>
        <w:left w:val="none" w:sz="0" w:space="0" w:color="auto"/>
        <w:bottom w:val="none" w:sz="0" w:space="0" w:color="auto"/>
        <w:right w:val="none" w:sz="0" w:space="0" w:color="auto"/>
      </w:divBdr>
    </w:div>
    <w:div w:id="1997031294">
      <w:bodyDiv w:val="1"/>
      <w:marLeft w:val="0"/>
      <w:marRight w:val="0"/>
      <w:marTop w:val="0"/>
      <w:marBottom w:val="0"/>
      <w:divBdr>
        <w:top w:val="none" w:sz="0" w:space="0" w:color="auto"/>
        <w:left w:val="none" w:sz="0" w:space="0" w:color="auto"/>
        <w:bottom w:val="none" w:sz="0" w:space="0" w:color="auto"/>
        <w:right w:val="none" w:sz="0" w:space="0" w:color="auto"/>
      </w:divBdr>
      <w:divsChild>
        <w:div w:id="361519467">
          <w:marLeft w:val="274"/>
          <w:marRight w:val="0"/>
          <w:marTop w:val="0"/>
          <w:marBottom w:val="0"/>
          <w:divBdr>
            <w:top w:val="none" w:sz="0" w:space="0" w:color="auto"/>
            <w:left w:val="none" w:sz="0" w:space="0" w:color="auto"/>
            <w:bottom w:val="none" w:sz="0" w:space="0" w:color="auto"/>
            <w:right w:val="none" w:sz="0" w:space="0" w:color="auto"/>
          </w:divBdr>
        </w:div>
        <w:div w:id="1593128257">
          <w:marLeft w:val="274"/>
          <w:marRight w:val="0"/>
          <w:marTop w:val="0"/>
          <w:marBottom w:val="0"/>
          <w:divBdr>
            <w:top w:val="none" w:sz="0" w:space="0" w:color="auto"/>
            <w:left w:val="none" w:sz="0" w:space="0" w:color="auto"/>
            <w:bottom w:val="none" w:sz="0" w:space="0" w:color="auto"/>
            <w:right w:val="none" w:sz="0" w:space="0" w:color="auto"/>
          </w:divBdr>
        </w:div>
      </w:divsChild>
    </w:div>
    <w:div w:id="2006473337">
      <w:bodyDiv w:val="1"/>
      <w:marLeft w:val="0"/>
      <w:marRight w:val="0"/>
      <w:marTop w:val="0"/>
      <w:marBottom w:val="0"/>
      <w:divBdr>
        <w:top w:val="none" w:sz="0" w:space="0" w:color="auto"/>
        <w:left w:val="none" w:sz="0" w:space="0" w:color="auto"/>
        <w:bottom w:val="none" w:sz="0" w:space="0" w:color="auto"/>
        <w:right w:val="none" w:sz="0" w:space="0" w:color="auto"/>
      </w:divBdr>
    </w:div>
    <w:div w:id="2008053926">
      <w:bodyDiv w:val="1"/>
      <w:marLeft w:val="0"/>
      <w:marRight w:val="0"/>
      <w:marTop w:val="0"/>
      <w:marBottom w:val="0"/>
      <w:divBdr>
        <w:top w:val="none" w:sz="0" w:space="0" w:color="auto"/>
        <w:left w:val="none" w:sz="0" w:space="0" w:color="auto"/>
        <w:bottom w:val="none" w:sz="0" w:space="0" w:color="auto"/>
        <w:right w:val="none" w:sz="0" w:space="0" w:color="auto"/>
      </w:divBdr>
    </w:div>
    <w:div w:id="2015915506">
      <w:bodyDiv w:val="1"/>
      <w:marLeft w:val="0"/>
      <w:marRight w:val="0"/>
      <w:marTop w:val="0"/>
      <w:marBottom w:val="0"/>
      <w:divBdr>
        <w:top w:val="none" w:sz="0" w:space="0" w:color="auto"/>
        <w:left w:val="none" w:sz="0" w:space="0" w:color="auto"/>
        <w:bottom w:val="none" w:sz="0" w:space="0" w:color="auto"/>
        <w:right w:val="none" w:sz="0" w:space="0" w:color="auto"/>
      </w:divBdr>
    </w:div>
    <w:div w:id="2030522459">
      <w:bodyDiv w:val="1"/>
      <w:marLeft w:val="0"/>
      <w:marRight w:val="0"/>
      <w:marTop w:val="0"/>
      <w:marBottom w:val="0"/>
      <w:divBdr>
        <w:top w:val="none" w:sz="0" w:space="0" w:color="auto"/>
        <w:left w:val="none" w:sz="0" w:space="0" w:color="auto"/>
        <w:bottom w:val="none" w:sz="0" w:space="0" w:color="auto"/>
        <w:right w:val="none" w:sz="0" w:space="0" w:color="auto"/>
      </w:divBdr>
      <w:divsChild>
        <w:div w:id="107090955">
          <w:marLeft w:val="274"/>
          <w:marRight w:val="0"/>
          <w:marTop w:val="0"/>
          <w:marBottom w:val="0"/>
          <w:divBdr>
            <w:top w:val="none" w:sz="0" w:space="0" w:color="auto"/>
            <w:left w:val="none" w:sz="0" w:space="0" w:color="auto"/>
            <w:bottom w:val="none" w:sz="0" w:space="0" w:color="auto"/>
            <w:right w:val="none" w:sz="0" w:space="0" w:color="auto"/>
          </w:divBdr>
        </w:div>
      </w:divsChild>
    </w:div>
    <w:div w:id="2040660863">
      <w:bodyDiv w:val="1"/>
      <w:marLeft w:val="0"/>
      <w:marRight w:val="0"/>
      <w:marTop w:val="0"/>
      <w:marBottom w:val="0"/>
      <w:divBdr>
        <w:top w:val="none" w:sz="0" w:space="0" w:color="auto"/>
        <w:left w:val="none" w:sz="0" w:space="0" w:color="auto"/>
        <w:bottom w:val="none" w:sz="0" w:space="0" w:color="auto"/>
        <w:right w:val="none" w:sz="0" w:space="0" w:color="auto"/>
      </w:divBdr>
    </w:div>
    <w:div w:id="2049135757">
      <w:bodyDiv w:val="1"/>
      <w:marLeft w:val="0"/>
      <w:marRight w:val="0"/>
      <w:marTop w:val="0"/>
      <w:marBottom w:val="0"/>
      <w:divBdr>
        <w:top w:val="none" w:sz="0" w:space="0" w:color="auto"/>
        <w:left w:val="none" w:sz="0" w:space="0" w:color="auto"/>
        <w:bottom w:val="none" w:sz="0" w:space="0" w:color="auto"/>
        <w:right w:val="none" w:sz="0" w:space="0" w:color="auto"/>
      </w:divBdr>
    </w:div>
    <w:div w:id="2051998897">
      <w:bodyDiv w:val="1"/>
      <w:marLeft w:val="0"/>
      <w:marRight w:val="0"/>
      <w:marTop w:val="0"/>
      <w:marBottom w:val="0"/>
      <w:divBdr>
        <w:top w:val="none" w:sz="0" w:space="0" w:color="auto"/>
        <w:left w:val="none" w:sz="0" w:space="0" w:color="auto"/>
        <w:bottom w:val="none" w:sz="0" w:space="0" w:color="auto"/>
        <w:right w:val="none" w:sz="0" w:space="0" w:color="auto"/>
      </w:divBdr>
    </w:div>
    <w:div w:id="2053114020">
      <w:bodyDiv w:val="1"/>
      <w:marLeft w:val="0"/>
      <w:marRight w:val="0"/>
      <w:marTop w:val="0"/>
      <w:marBottom w:val="0"/>
      <w:divBdr>
        <w:top w:val="none" w:sz="0" w:space="0" w:color="auto"/>
        <w:left w:val="none" w:sz="0" w:space="0" w:color="auto"/>
        <w:bottom w:val="none" w:sz="0" w:space="0" w:color="auto"/>
        <w:right w:val="none" w:sz="0" w:space="0" w:color="auto"/>
      </w:divBdr>
    </w:div>
    <w:div w:id="2057466313">
      <w:bodyDiv w:val="1"/>
      <w:marLeft w:val="0"/>
      <w:marRight w:val="0"/>
      <w:marTop w:val="0"/>
      <w:marBottom w:val="0"/>
      <w:divBdr>
        <w:top w:val="none" w:sz="0" w:space="0" w:color="auto"/>
        <w:left w:val="none" w:sz="0" w:space="0" w:color="auto"/>
        <w:bottom w:val="none" w:sz="0" w:space="0" w:color="auto"/>
        <w:right w:val="none" w:sz="0" w:space="0" w:color="auto"/>
      </w:divBdr>
    </w:div>
    <w:div w:id="2067557650">
      <w:bodyDiv w:val="1"/>
      <w:marLeft w:val="0"/>
      <w:marRight w:val="0"/>
      <w:marTop w:val="0"/>
      <w:marBottom w:val="0"/>
      <w:divBdr>
        <w:top w:val="none" w:sz="0" w:space="0" w:color="auto"/>
        <w:left w:val="none" w:sz="0" w:space="0" w:color="auto"/>
        <w:bottom w:val="none" w:sz="0" w:space="0" w:color="auto"/>
        <w:right w:val="none" w:sz="0" w:space="0" w:color="auto"/>
      </w:divBdr>
    </w:div>
    <w:div w:id="2071537268">
      <w:bodyDiv w:val="1"/>
      <w:marLeft w:val="0"/>
      <w:marRight w:val="0"/>
      <w:marTop w:val="0"/>
      <w:marBottom w:val="0"/>
      <w:divBdr>
        <w:top w:val="none" w:sz="0" w:space="0" w:color="auto"/>
        <w:left w:val="none" w:sz="0" w:space="0" w:color="auto"/>
        <w:bottom w:val="none" w:sz="0" w:space="0" w:color="auto"/>
        <w:right w:val="none" w:sz="0" w:space="0" w:color="auto"/>
      </w:divBdr>
    </w:div>
    <w:div w:id="2071927517">
      <w:bodyDiv w:val="1"/>
      <w:marLeft w:val="0"/>
      <w:marRight w:val="0"/>
      <w:marTop w:val="0"/>
      <w:marBottom w:val="0"/>
      <w:divBdr>
        <w:top w:val="none" w:sz="0" w:space="0" w:color="auto"/>
        <w:left w:val="none" w:sz="0" w:space="0" w:color="auto"/>
        <w:bottom w:val="none" w:sz="0" w:space="0" w:color="auto"/>
        <w:right w:val="none" w:sz="0" w:space="0" w:color="auto"/>
      </w:divBdr>
    </w:div>
    <w:div w:id="2073969082">
      <w:bodyDiv w:val="1"/>
      <w:marLeft w:val="0"/>
      <w:marRight w:val="0"/>
      <w:marTop w:val="0"/>
      <w:marBottom w:val="0"/>
      <w:divBdr>
        <w:top w:val="none" w:sz="0" w:space="0" w:color="auto"/>
        <w:left w:val="none" w:sz="0" w:space="0" w:color="auto"/>
        <w:bottom w:val="none" w:sz="0" w:space="0" w:color="auto"/>
        <w:right w:val="none" w:sz="0" w:space="0" w:color="auto"/>
      </w:divBdr>
    </w:div>
    <w:div w:id="2079208134">
      <w:bodyDiv w:val="1"/>
      <w:marLeft w:val="0"/>
      <w:marRight w:val="0"/>
      <w:marTop w:val="0"/>
      <w:marBottom w:val="0"/>
      <w:divBdr>
        <w:top w:val="none" w:sz="0" w:space="0" w:color="auto"/>
        <w:left w:val="none" w:sz="0" w:space="0" w:color="auto"/>
        <w:bottom w:val="none" w:sz="0" w:space="0" w:color="auto"/>
        <w:right w:val="none" w:sz="0" w:space="0" w:color="auto"/>
      </w:divBdr>
    </w:div>
    <w:div w:id="2083795122">
      <w:bodyDiv w:val="1"/>
      <w:marLeft w:val="0"/>
      <w:marRight w:val="0"/>
      <w:marTop w:val="0"/>
      <w:marBottom w:val="0"/>
      <w:divBdr>
        <w:top w:val="none" w:sz="0" w:space="0" w:color="auto"/>
        <w:left w:val="none" w:sz="0" w:space="0" w:color="auto"/>
        <w:bottom w:val="none" w:sz="0" w:space="0" w:color="auto"/>
        <w:right w:val="none" w:sz="0" w:space="0" w:color="auto"/>
      </w:divBdr>
      <w:divsChild>
        <w:div w:id="311520674">
          <w:marLeft w:val="274"/>
          <w:marRight w:val="0"/>
          <w:marTop w:val="40"/>
          <w:marBottom w:val="40"/>
          <w:divBdr>
            <w:top w:val="none" w:sz="0" w:space="0" w:color="auto"/>
            <w:left w:val="none" w:sz="0" w:space="0" w:color="auto"/>
            <w:bottom w:val="none" w:sz="0" w:space="0" w:color="auto"/>
            <w:right w:val="none" w:sz="0" w:space="0" w:color="auto"/>
          </w:divBdr>
        </w:div>
        <w:div w:id="1338656280">
          <w:marLeft w:val="274"/>
          <w:marRight w:val="0"/>
          <w:marTop w:val="40"/>
          <w:marBottom w:val="40"/>
          <w:divBdr>
            <w:top w:val="none" w:sz="0" w:space="0" w:color="auto"/>
            <w:left w:val="none" w:sz="0" w:space="0" w:color="auto"/>
            <w:bottom w:val="none" w:sz="0" w:space="0" w:color="auto"/>
            <w:right w:val="none" w:sz="0" w:space="0" w:color="auto"/>
          </w:divBdr>
        </w:div>
      </w:divsChild>
    </w:div>
    <w:div w:id="2087804149">
      <w:bodyDiv w:val="1"/>
      <w:marLeft w:val="0"/>
      <w:marRight w:val="0"/>
      <w:marTop w:val="0"/>
      <w:marBottom w:val="0"/>
      <w:divBdr>
        <w:top w:val="none" w:sz="0" w:space="0" w:color="auto"/>
        <w:left w:val="none" w:sz="0" w:space="0" w:color="auto"/>
        <w:bottom w:val="none" w:sz="0" w:space="0" w:color="auto"/>
        <w:right w:val="none" w:sz="0" w:space="0" w:color="auto"/>
      </w:divBdr>
    </w:div>
    <w:div w:id="2089839199">
      <w:bodyDiv w:val="1"/>
      <w:marLeft w:val="0"/>
      <w:marRight w:val="0"/>
      <w:marTop w:val="0"/>
      <w:marBottom w:val="0"/>
      <w:divBdr>
        <w:top w:val="none" w:sz="0" w:space="0" w:color="auto"/>
        <w:left w:val="none" w:sz="0" w:space="0" w:color="auto"/>
        <w:bottom w:val="none" w:sz="0" w:space="0" w:color="auto"/>
        <w:right w:val="none" w:sz="0" w:space="0" w:color="auto"/>
      </w:divBdr>
    </w:div>
    <w:div w:id="2091076520">
      <w:bodyDiv w:val="1"/>
      <w:marLeft w:val="0"/>
      <w:marRight w:val="0"/>
      <w:marTop w:val="0"/>
      <w:marBottom w:val="0"/>
      <w:divBdr>
        <w:top w:val="none" w:sz="0" w:space="0" w:color="auto"/>
        <w:left w:val="none" w:sz="0" w:space="0" w:color="auto"/>
        <w:bottom w:val="none" w:sz="0" w:space="0" w:color="auto"/>
        <w:right w:val="none" w:sz="0" w:space="0" w:color="auto"/>
      </w:divBdr>
    </w:div>
    <w:div w:id="2098015065">
      <w:bodyDiv w:val="1"/>
      <w:marLeft w:val="0"/>
      <w:marRight w:val="0"/>
      <w:marTop w:val="0"/>
      <w:marBottom w:val="0"/>
      <w:divBdr>
        <w:top w:val="none" w:sz="0" w:space="0" w:color="auto"/>
        <w:left w:val="none" w:sz="0" w:space="0" w:color="auto"/>
        <w:bottom w:val="none" w:sz="0" w:space="0" w:color="auto"/>
        <w:right w:val="none" w:sz="0" w:space="0" w:color="auto"/>
      </w:divBdr>
      <w:divsChild>
        <w:div w:id="911965790">
          <w:marLeft w:val="274"/>
          <w:marRight w:val="0"/>
          <w:marTop w:val="40"/>
          <w:marBottom w:val="40"/>
          <w:divBdr>
            <w:top w:val="none" w:sz="0" w:space="0" w:color="auto"/>
            <w:left w:val="none" w:sz="0" w:space="0" w:color="auto"/>
            <w:bottom w:val="none" w:sz="0" w:space="0" w:color="auto"/>
            <w:right w:val="none" w:sz="0" w:space="0" w:color="auto"/>
          </w:divBdr>
        </w:div>
      </w:divsChild>
    </w:div>
    <w:div w:id="2102486918">
      <w:bodyDiv w:val="1"/>
      <w:marLeft w:val="0"/>
      <w:marRight w:val="0"/>
      <w:marTop w:val="0"/>
      <w:marBottom w:val="0"/>
      <w:divBdr>
        <w:top w:val="none" w:sz="0" w:space="0" w:color="auto"/>
        <w:left w:val="none" w:sz="0" w:space="0" w:color="auto"/>
        <w:bottom w:val="none" w:sz="0" w:space="0" w:color="auto"/>
        <w:right w:val="none" w:sz="0" w:space="0" w:color="auto"/>
      </w:divBdr>
    </w:div>
    <w:div w:id="2105106373">
      <w:bodyDiv w:val="1"/>
      <w:marLeft w:val="0"/>
      <w:marRight w:val="0"/>
      <w:marTop w:val="0"/>
      <w:marBottom w:val="0"/>
      <w:divBdr>
        <w:top w:val="none" w:sz="0" w:space="0" w:color="auto"/>
        <w:left w:val="none" w:sz="0" w:space="0" w:color="auto"/>
        <w:bottom w:val="none" w:sz="0" w:space="0" w:color="auto"/>
        <w:right w:val="none" w:sz="0" w:space="0" w:color="auto"/>
      </w:divBdr>
      <w:divsChild>
        <w:div w:id="180050203">
          <w:marLeft w:val="274"/>
          <w:marRight w:val="0"/>
          <w:marTop w:val="40"/>
          <w:marBottom w:val="40"/>
          <w:divBdr>
            <w:top w:val="none" w:sz="0" w:space="0" w:color="auto"/>
            <w:left w:val="none" w:sz="0" w:space="0" w:color="auto"/>
            <w:bottom w:val="none" w:sz="0" w:space="0" w:color="auto"/>
            <w:right w:val="none" w:sz="0" w:space="0" w:color="auto"/>
          </w:divBdr>
        </w:div>
        <w:div w:id="547642351">
          <w:marLeft w:val="274"/>
          <w:marRight w:val="0"/>
          <w:marTop w:val="40"/>
          <w:marBottom w:val="40"/>
          <w:divBdr>
            <w:top w:val="none" w:sz="0" w:space="0" w:color="auto"/>
            <w:left w:val="none" w:sz="0" w:space="0" w:color="auto"/>
            <w:bottom w:val="none" w:sz="0" w:space="0" w:color="auto"/>
            <w:right w:val="none" w:sz="0" w:space="0" w:color="auto"/>
          </w:divBdr>
        </w:div>
        <w:div w:id="758020845">
          <w:marLeft w:val="274"/>
          <w:marRight w:val="0"/>
          <w:marTop w:val="40"/>
          <w:marBottom w:val="40"/>
          <w:divBdr>
            <w:top w:val="none" w:sz="0" w:space="0" w:color="auto"/>
            <w:left w:val="none" w:sz="0" w:space="0" w:color="auto"/>
            <w:bottom w:val="none" w:sz="0" w:space="0" w:color="auto"/>
            <w:right w:val="none" w:sz="0" w:space="0" w:color="auto"/>
          </w:divBdr>
        </w:div>
        <w:div w:id="1489131602">
          <w:marLeft w:val="274"/>
          <w:marRight w:val="0"/>
          <w:marTop w:val="40"/>
          <w:marBottom w:val="40"/>
          <w:divBdr>
            <w:top w:val="none" w:sz="0" w:space="0" w:color="auto"/>
            <w:left w:val="none" w:sz="0" w:space="0" w:color="auto"/>
            <w:bottom w:val="none" w:sz="0" w:space="0" w:color="auto"/>
            <w:right w:val="none" w:sz="0" w:space="0" w:color="auto"/>
          </w:divBdr>
        </w:div>
      </w:divsChild>
    </w:div>
    <w:div w:id="2107191195">
      <w:bodyDiv w:val="1"/>
      <w:marLeft w:val="0"/>
      <w:marRight w:val="0"/>
      <w:marTop w:val="0"/>
      <w:marBottom w:val="0"/>
      <w:divBdr>
        <w:top w:val="none" w:sz="0" w:space="0" w:color="auto"/>
        <w:left w:val="none" w:sz="0" w:space="0" w:color="auto"/>
        <w:bottom w:val="none" w:sz="0" w:space="0" w:color="auto"/>
        <w:right w:val="none" w:sz="0" w:space="0" w:color="auto"/>
      </w:divBdr>
      <w:divsChild>
        <w:div w:id="623848040">
          <w:marLeft w:val="274"/>
          <w:marRight w:val="0"/>
          <w:marTop w:val="40"/>
          <w:marBottom w:val="40"/>
          <w:divBdr>
            <w:top w:val="none" w:sz="0" w:space="0" w:color="auto"/>
            <w:left w:val="none" w:sz="0" w:space="0" w:color="auto"/>
            <w:bottom w:val="none" w:sz="0" w:space="0" w:color="auto"/>
            <w:right w:val="none" w:sz="0" w:space="0" w:color="auto"/>
          </w:divBdr>
        </w:div>
        <w:div w:id="805050648">
          <w:marLeft w:val="274"/>
          <w:marRight w:val="0"/>
          <w:marTop w:val="40"/>
          <w:marBottom w:val="40"/>
          <w:divBdr>
            <w:top w:val="none" w:sz="0" w:space="0" w:color="auto"/>
            <w:left w:val="none" w:sz="0" w:space="0" w:color="auto"/>
            <w:bottom w:val="none" w:sz="0" w:space="0" w:color="auto"/>
            <w:right w:val="none" w:sz="0" w:space="0" w:color="auto"/>
          </w:divBdr>
        </w:div>
        <w:div w:id="875432878">
          <w:marLeft w:val="274"/>
          <w:marRight w:val="0"/>
          <w:marTop w:val="40"/>
          <w:marBottom w:val="40"/>
          <w:divBdr>
            <w:top w:val="none" w:sz="0" w:space="0" w:color="auto"/>
            <w:left w:val="none" w:sz="0" w:space="0" w:color="auto"/>
            <w:bottom w:val="none" w:sz="0" w:space="0" w:color="auto"/>
            <w:right w:val="none" w:sz="0" w:space="0" w:color="auto"/>
          </w:divBdr>
        </w:div>
        <w:div w:id="992568418">
          <w:marLeft w:val="274"/>
          <w:marRight w:val="0"/>
          <w:marTop w:val="40"/>
          <w:marBottom w:val="40"/>
          <w:divBdr>
            <w:top w:val="none" w:sz="0" w:space="0" w:color="auto"/>
            <w:left w:val="none" w:sz="0" w:space="0" w:color="auto"/>
            <w:bottom w:val="none" w:sz="0" w:space="0" w:color="auto"/>
            <w:right w:val="none" w:sz="0" w:space="0" w:color="auto"/>
          </w:divBdr>
        </w:div>
        <w:div w:id="1930693017">
          <w:marLeft w:val="274"/>
          <w:marRight w:val="0"/>
          <w:marTop w:val="40"/>
          <w:marBottom w:val="40"/>
          <w:divBdr>
            <w:top w:val="none" w:sz="0" w:space="0" w:color="auto"/>
            <w:left w:val="none" w:sz="0" w:space="0" w:color="auto"/>
            <w:bottom w:val="none" w:sz="0" w:space="0" w:color="auto"/>
            <w:right w:val="none" w:sz="0" w:space="0" w:color="auto"/>
          </w:divBdr>
        </w:div>
      </w:divsChild>
    </w:div>
    <w:div w:id="2109229860">
      <w:bodyDiv w:val="1"/>
      <w:marLeft w:val="0"/>
      <w:marRight w:val="0"/>
      <w:marTop w:val="0"/>
      <w:marBottom w:val="0"/>
      <w:divBdr>
        <w:top w:val="none" w:sz="0" w:space="0" w:color="auto"/>
        <w:left w:val="none" w:sz="0" w:space="0" w:color="auto"/>
        <w:bottom w:val="none" w:sz="0" w:space="0" w:color="auto"/>
        <w:right w:val="none" w:sz="0" w:space="0" w:color="auto"/>
      </w:divBdr>
    </w:div>
    <w:div w:id="2110201440">
      <w:bodyDiv w:val="1"/>
      <w:marLeft w:val="0"/>
      <w:marRight w:val="0"/>
      <w:marTop w:val="0"/>
      <w:marBottom w:val="0"/>
      <w:divBdr>
        <w:top w:val="none" w:sz="0" w:space="0" w:color="auto"/>
        <w:left w:val="none" w:sz="0" w:space="0" w:color="auto"/>
        <w:bottom w:val="none" w:sz="0" w:space="0" w:color="auto"/>
        <w:right w:val="none" w:sz="0" w:space="0" w:color="auto"/>
      </w:divBdr>
    </w:div>
    <w:div w:id="2114129603">
      <w:bodyDiv w:val="1"/>
      <w:marLeft w:val="0"/>
      <w:marRight w:val="0"/>
      <w:marTop w:val="0"/>
      <w:marBottom w:val="0"/>
      <w:divBdr>
        <w:top w:val="none" w:sz="0" w:space="0" w:color="auto"/>
        <w:left w:val="none" w:sz="0" w:space="0" w:color="auto"/>
        <w:bottom w:val="none" w:sz="0" w:space="0" w:color="auto"/>
        <w:right w:val="none" w:sz="0" w:space="0" w:color="auto"/>
      </w:divBdr>
    </w:div>
    <w:div w:id="2114586951">
      <w:bodyDiv w:val="1"/>
      <w:marLeft w:val="0"/>
      <w:marRight w:val="0"/>
      <w:marTop w:val="0"/>
      <w:marBottom w:val="0"/>
      <w:divBdr>
        <w:top w:val="none" w:sz="0" w:space="0" w:color="auto"/>
        <w:left w:val="none" w:sz="0" w:space="0" w:color="auto"/>
        <w:bottom w:val="none" w:sz="0" w:space="0" w:color="auto"/>
        <w:right w:val="none" w:sz="0" w:space="0" w:color="auto"/>
      </w:divBdr>
    </w:div>
    <w:div w:id="2121604178">
      <w:bodyDiv w:val="1"/>
      <w:marLeft w:val="0"/>
      <w:marRight w:val="0"/>
      <w:marTop w:val="0"/>
      <w:marBottom w:val="0"/>
      <w:divBdr>
        <w:top w:val="none" w:sz="0" w:space="0" w:color="auto"/>
        <w:left w:val="none" w:sz="0" w:space="0" w:color="auto"/>
        <w:bottom w:val="none" w:sz="0" w:space="0" w:color="auto"/>
        <w:right w:val="none" w:sz="0" w:space="0" w:color="auto"/>
      </w:divBdr>
    </w:div>
    <w:div w:id="2122994104">
      <w:bodyDiv w:val="1"/>
      <w:marLeft w:val="0"/>
      <w:marRight w:val="0"/>
      <w:marTop w:val="0"/>
      <w:marBottom w:val="0"/>
      <w:divBdr>
        <w:top w:val="none" w:sz="0" w:space="0" w:color="auto"/>
        <w:left w:val="none" w:sz="0" w:space="0" w:color="auto"/>
        <w:bottom w:val="none" w:sz="0" w:space="0" w:color="auto"/>
        <w:right w:val="none" w:sz="0" w:space="0" w:color="auto"/>
      </w:divBdr>
    </w:div>
    <w:div w:id="2123571354">
      <w:bodyDiv w:val="1"/>
      <w:marLeft w:val="0"/>
      <w:marRight w:val="0"/>
      <w:marTop w:val="0"/>
      <w:marBottom w:val="0"/>
      <w:divBdr>
        <w:top w:val="none" w:sz="0" w:space="0" w:color="auto"/>
        <w:left w:val="none" w:sz="0" w:space="0" w:color="auto"/>
        <w:bottom w:val="none" w:sz="0" w:space="0" w:color="auto"/>
        <w:right w:val="none" w:sz="0" w:space="0" w:color="auto"/>
      </w:divBdr>
    </w:div>
    <w:div w:id="2125808391">
      <w:bodyDiv w:val="1"/>
      <w:marLeft w:val="0"/>
      <w:marRight w:val="0"/>
      <w:marTop w:val="0"/>
      <w:marBottom w:val="0"/>
      <w:divBdr>
        <w:top w:val="none" w:sz="0" w:space="0" w:color="auto"/>
        <w:left w:val="none" w:sz="0" w:space="0" w:color="auto"/>
        <w:bottom w:val="none" w:sz="0" w:space="0" w:color="auto"/>
        <w:right w:val="none" w:sz="0" w:space="0" w:color="auto"/>
      </w:divBdr>
    </w:div>
    <w:div w:id="2132429232">
      <w:bodyDiv w:val="1"/>
      <w:marLeft w:val="0"/>
      <w:marRight w:val="0"/>
      <w:marTop w:val="0"/>
      <w:marBottom w:val="0"/>
      <w:divBdr>
        <w:top w:val="none" w:sz="0" w:space="0" w:color="auto"/>
        <w:left w:val="none" w:sz="0" w:space="0" w:color="auto"/>
        <w:bottom w:val="none" w:sz="0" w:space="0" w:color="auto"/>
        <w:right w:val="none" w:sz="0" w:space="0" w:color="auto"/>
      </w:divBdr>
    </w:div>
    <w:div w:id="2135974598">
      <w:bodyDiv w:val="1"/>
      <w:marLeft w:val="0"/>
      <w:marRight w:val="0"/>
      <w:marTop w:val="0"/>
      <w:marBottom w:val="0"/>
      <w:divBdr>
        <w:top w:val="none" w:sz="0" w:space="0" w:color="auto"/>
        <w:left w:val="none" w:sz="0" w:space="0" w:color="auto"/>
        <w:bottom w:val="none" w:sz="0" w:space="0" w:color="auto"/>
        <w:right w:val="none" w:sz="0" w:space="0" w:color="auto"/>
      </w:divBdr>
    </w:div>
    <w:div w:id="2137024800">
      <w:bodyDiv w:val="1"/>
      <w:marLeft w:val="0"/>
      <w:marRight w:val="0"/>
      <w:marTop w:val="0"/>
      <w:marBottom w:val="0"/>
      <w:divBdr>
        <w:top w:val="none" w:sz="0" w:space="0" w:color="auto"/>
        <w:left w:val="none" w:sz="0" w:space="0" w:color="auto"/>
        <w:bottom w:val="none" w:sz="0" w:space="0" w:color="auto"/>
        <w:right w:val="none" w:sz="0" w:space="0" w:color="auto"/>
      </w:divBdr>
    </w:div>
    <w:div w:id="2139836516">
      <w:bodyDiv w:val="1"/>
      <w:marLeft w:val="0"/>
      <w:marRight w:val="0"/>
      <w:marTop w:val="0"/>
      <w:marBottom w:val="0"/>
      <w:divBdr>
        <w:top w:val="none" w:sz="0" w:space="0" w:color="auto"/>
        <w:left w:val="none" w:sz="0" w:space="0" w:color="auto"/>
        <w:bottom w:val="none" w:sz="0" w:space="0" w:color="auto"/>
        <w:right w:val="none" w:sz="0" w:space="0" w:color="auto"/>
      </w:divBdr>
    </w:div>
    <w:div w:id="2140563747">
      <w:bodyDiv w:val="1"/>
      <w:marLeft w:val="0"/>
      <w:marRight w:val="0"/>
      <w:marTop w:val="0"/>
      <w:marBottom w:val="0"/>
      <w:divBdr>
        <w:top w:val="none" w:sz="0" w:space="0" w:color="auto"/>
        <w:left w:val="none" w:sz="0" w:space="0" w:color="auto"/>
        <w:bottom w:val="none" w:sz="0" w:space="0" w:color="auto"/>
        <w:right w:val="none" w:sz="0" w:space="0" w:color="auto"/>
      </w:divBdr>
      <w:divsChild>
        <w:div w:id="1431855935">
          <w:marLeft w:val="274"/>
          <w:marRight w:val="0"/>
          <w:marTop w:val="0"/>
          <w:marBottom w:val="0"/>
          <w:divBdr>
            <w:top w:val="none" w:sz="0" w:space="0" w:color="auto"/>
            <w:left w:val="none" w:sz="0" w:space="0" w:color="auto"/>
            <w:bottom w:val="none" w:sz="0" w:space="0" w:color="auto"/>
            <w:right w:val="none" w:sz="0" w:space="0" w:color="auto"/>
          </w:divBdr>
        </w:div>
      </w:divsChild>
    </w:div>
    <w:div w:id="214298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916288-1D0B-4CFB-94C9-1363352E9AD6}">
  <ds:schemaRefs>
    <ds:schemaRef ds:uri="http://schemas.openxmlformats.org/officeDocument/2006/bibliography"/>
  </ds:schemaRefs>
</ds:datastoreItem>
</file>

<file path=customXml/itemProps2.xml><?xml version="1.0" encoding="utf-8"?>
<ds:datastoreItem xmlns:ds="http://schemas.openxmlformats.org/officeDocument/2006/customXml" ds:itemID="{4F0FED7D-3364-4A61-9094-1235678F4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26768</Words>
  <Characters>152581</Characters>
  <Application>Microsoft Office Word</Application>
  <DocSecurity>0</DocSecurity>
  <Lines>1271</Lines>
  <Paragraphs>357</Paragraphs>
  <ScaleCrop>false</ScaleCrop>
  <HeadingPairs>
    <vt:vector size="2" baseType="variant">
      <vt:variant>
        <vt:lpstr>Title</vt:lpstr>
      </vt:variant>
      <vt:variant>
        <vt:i4>1</vt:i4>
      </vt:variant>
    </vt:vector>
  </HeadingPairs>
  <TitlesOfParts>
    <vt:vector size="1" baseType="lpstr">
      <vt:lpstr/>
    </vt:vector>
  </TitlesOfParts>
  <Company>Bank of Cyprus</Company>
  <LinksUpToDate>false</LinksUpToDate>
  <CharactersWithSpaces>178992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4779</dc:creator>
  <cp:keywords/>
  <dc:description/>
  <cp:lastModifiedBy>Elena Hadjikyriacou</cp:lastModifiedBy>
  <cp:revision>4</cp:revision>
  <cp:lastPrinted>2024-08-06T12:43:00Z</cp:lastPrinted>
  <dcterms:created xsi:type="dcterms:W3CDTF">2024-08-07T13:21:00Z</dcterms:created>
  <dcterms:modified xsi:type="dcterms:W3CDTF">2024-08-08T04:58:00Z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123ef0-1eab-4049-8ca8-6c7e4b49fb43_Enabled">
    <vt:lpwstr>true</vt:lpwstr>
  </property>
  <property fmtid="{D5CDD505-2E9C-101B-9397-08002B2CF9AE}" pid="3" name="MSIP_Label_ad123ef0-1eab-4049-8ca8-6c7e4b49fb43_SetDate">
    <vt:lpwstr>2024-08-08T04:58:45Z</vt:lpwstr>
  </property>
  <property fmtid="{D5CDD505-2E9C-101B-9397-08002B2CF9AE}" pid="4" name="MSIP_Label_ad123ef0-1eab-4049-8ca8-6c7e4b49fb43_Method">
    <vt:lpwstr>Privileged</vt:lpwstr>
  </property>
  <property fmtid="{D5CDD505-2E9C-101B-9397-08002B2CF9AE}" pid="5" name="MSIP_Label_ad123ef0-1eab-4049-8ca8-6c7e4b49fb43_Name">
    <vt:lpwstr>Public</vt:lpwstr>
  </property>
  <property fmtid="{D5CDD505-2E9C-101B-9397-08002B2CF9AE}" pid="6" name="MSIP_Label_ad123ef0-1eab-4049-8ca8-6c7e4b49fb43_SiteId">
    <vt:lpwstr>adc46af2-9b39-4b5e-a6e6-c2437f7c5706</vt:lpwstr>
  </property>
  <property fmtid="{D5CDD505-2E9C-101B-9397-08002B2CF9AE}" pid="7" name="MSIP_Label_ad123ef0-1eab-4049-8ca8-6c7e4b49fb43_ActionId">
    <vt:lpwstr>34caed4c-c1e7-42ca-8953-4caa6cbdac6c</vt:lpwstr>
  </property>
  <property fmtid="{D5CDD505-2E9C-101B-9397-08002B2CF9AE}" pid="8" name="MSIP_Label_ad123ef0-1eab-4049-8ca8-6c7e4b49fb43_ContentBits">
    <vt:lpwstr>0</vt:lpwstr>
  </property>
</Properties>
</file>