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48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ΟΜΙΛΙΑ ΠΡΟΕΔΡΟΥ ΔΣ</w:t>
      </w:r>
    </w:p>
    <w:p w:rsidR="00000000" w:rsidDel="00000000" w:rsidP="00000000" w:rsidRDefault="00000000" w:rsidRPr="00000000" w14:paraId="00000002">
      <w:pPr>
        <w:spacing w:after="120" w:before="240" w:line="48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ΓΙΑΝΝΗ ΖΩΓΡΑΦΑΚΗ </w:t>
      </w:r>
    </w:p>
    <w:p w:rsidR="00000000" w:rsidDel="00000000" w:rsidP="00000000" w:rsidRDefault="00000000" w:rsidRPr="00000000" w14:paraId="00000003">
      <w:pPr>
        <w:spacing w:after="120" w:before="240" w:line="480" w:lineRule="auto"/>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ΕΚΤΑΚΤΗ ΓΕΝΙΚΗ ΣΥΝΕΛΕΥΣΗ - 25.09.2024</w:t>
      </w:r>
    </w:p>
    <w:p w:rsidR="00000000" w:rsidDel="00000000" w:rsidP="00000000" w:rsidRDefault="00000000" w:rsidRPr="00000000" w14:paraId="00000004">
      <w:pPr>
        <w:spacing w:after="120" w:before="240" w:line="4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48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Κυρίες και Κύριοι Μέτοχοι,</w:t>
      </w:r>
    </w:p>
    <w:p w:rsidR="00000000" w:rsidDel="00000000" w:rsidP="00000000" w:rsidRDefault="00000000" w:rsidRPr="00000000" w14:paraId="00000006">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Σας καλωσορίζω στη σημερινή Έκτακτη Γενική Συνέλευση που ακολουθεί την ιστορική Συνέλευση της 3ης Σεπτεμβρίου, στην οποία αποφασίστηκε η συγχώνευση της Attica Bank με την Παγκρήτια Τράπεζα. Σήμερα είμαστε ξανά εδώ για να συζητήσουμε και να σας ζητήσουμε να εγκρίνετε την απαραίτητη Αύξηση Μετοχικού Κεφαλαίου, ένα σημαντικό ορόσημο στην πορεία της Attica Bank προς την πλήρη εξυγίανση και αναδιάρθρωση.</w:t>
      </w:r>
    </w:p>
    <w:p w:rsidR="00000000" w:rsidDel="00000000" w:rsidP="00000000" w:rsidRDefault="00000000" w:rsidRPr="00000000" w14:paraId="00000007">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Η νομική συγχώνευση έχει ολοκληρωθεί και ομάδες από τις δύο τράπεζες δουλεύουν εντατικά για την λειτουργική συγχώνευση. Για να δημιουργηθεί η νέα, ενιαία και ισχυρή τράπεζα που όλοι θέλουμε, χρειάζεται η προτεινόμενη αύξηση κεφαλαίου των</w:t>
      </w:r>
      <w:r w:rsidDel="00000000" w:rsidR="00000000" w:rsidRPr="00000000">
        <w:rPr>
          <w:rFonts w:ascii="Arial" w:cs="Arial" w:eastAsia="Arial" w:hAnsi="Arial"/>
          <w:color w:val="1a1a1a"/>
          <w:sz w:val="24"/>
          <w:szCs w:val="24"/>
          <w:rtl w:val="0"/>
        </w:rPr>
        <w:t xml:space="preserve"> €735 εκατομμυρίων.</w:t>
      </w:r>
      <w:r w:rsidDel="00000000" w:rsidR="00000000" w:rsidRPr="00000000">
        <w:rPr>
          <w:rtl w:val="0"/>
        </w:rPr>
      </w:r>
    </w:p>
    <w:p w:rsidR="00000000" w:rsidDel="00000000" w:rsidP="00000000" w:rsidRDefault="00000000" w:rsidRPr="00000000" w14:paraId="00000008">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Με αυτά τα κεφαλαία θα μπορέσουμε να μειώσουμε τον δείκτη των μη εξυπηρετούμενων ανοιγμάτων (ΜΕΑ) σε χαμηλά επίπεδα, κάτω από το 3%, και επιτέλους να απεγκλωβιστούμε από τα βαρίδια του παρελθόντος.  Η ένταξη μας στον «Ηρακλή ΙΙΙ», θα ενισχύσει τη δυνατότητα μας να χρηματοδοτήσουμε δυναμικά την ελληνική αγορά, με ιδιαίτερη έμφαση στις μικρομεσαίες επιχειρήσεις, τον πυλώνα της ελληνικής οικονομίας. Η Attica Bank θα συνεχίσει να είναι στο πλευρό τους, προσφέροντας τις λύσεις που χρειάζονται για να αναπτυχθούν και να καινοτομήσουν.</w:t>
      </w:r>
    </w:p>
    <w:p w:rsidR="00000000" w:rsidDel="00000000" w:rsidP="00000000" w:rsidRDefault="00000000" w:rsidRPr="00000000" w14:paraId="00000009">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Επίσης θα αποκτήσουμε ικανά κεφαλαία για το κόστος αναδιάρθρωσης και μετασχηματισμού του καινούργιου οργανισμού, για επενδύσεις στα φυσικά καταστήματα μας, σε καινούργια προϊόντα και τεχνολογίες. </w:t>
      </w:r>
    </w:p>
    <w:p w:rsidR="00000000" w:rsidDel="00000000" w:rsidP="00000000" w:rsidRDefault="00000000" w:rsidRPr="00000000" w14:paraId="0000000A">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Η ψηφιοποίηση όχι μόνο των υπηρεσιών μας αλλά και ολοκλήρου του οργανισμού  δεν είναι απλώς ένα όραμα, αλλά μια στρατηγική αναγκαιότητα. Η σχέση των αποφάσεων τεχνολογίας ενός οργανισμού και της απόδοσης του είναι αδιαμφισβήτητες. Οι σωστές και μελετημένες επενδύσεις στην τεχνολογία θα βοηθήσουν να μειώσουμε τον λόγο εξόδων προς έσοδα, να αυξήσουμε το επίπεδο ικανοποίησης των πελατών μας και να μεγιστοποιήσουμε τις αποδόσεις των μετόχων. </w:t>
      </w:r>
    </w:p>
    <w:p w:rsidR="00000000" w:rsidDel="00000000" w:rsidP="00000000" w:rsidRDefault="00000000" w:rsidRPr="00000000" w14:paraId="0000000B">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Παράλληλα, βασική προτεραιότητα μας αποτελεί η επένδυση στους ανθρώπους μας. Δεσμευόμαστε να ενισχύσουμε τις ικανότητες τους, παρέχοντας τους τα εργαλεία και την εκπαίδευση που απαιτούνται για να ανταποκριθούν στις σύγχρονες απαιτήσεις του τραπεζικού τομέα. Θα υπάρχουν νέες ευκαιρίες ανάπτυξης και ανάδειξης του ανθρώπινου δυναμικού της τράπεζας, χωρίς διακρίσεις. Στοχεύουμε σε υψηλά επίπεδα ικανοποίησης εργαζομένων, που θα διασφαλίζουν την ποιότητα των υπηρεσιών μας.</w:t>
      </w:r>
    </w:p>
    <w:p w:rsidR="00000000" w:rsidDel="00000000" w:rsidP="00000000" w:rsidRDefault="00000000" w:rsidRPr="00000000" w14:paraId="0000000C">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Σήμερα, το Διοικητικό Συμβούλιο σας προτείνει να ψηφίσετε για πέντε τεχνικά θέματα. Μέσω αυτών θα επιτευχθεί η προτεινόμενη αύξηση μετοχικού κεφαλαίου, συνολικού ύψους </w:t>
      </w:r>
      <w:r w:rsidDel="00000000" w:rsidR="00000000" w:rsidRPr="00000000">
        <w:rPr>
          <w:rFonts w:ascii="Arial" w:cs="Arial" w:eastAsia="Arial" w:hAnsi="Arial"/>
          <w:color w:val="1a1a1a"/>
          <w:sz w:val="24"/>
          <w:szCs w:val="24"/>
          <w:rtl w:val="0"/>
        </w:rPr>
        <w:t xml:space="preserve">735 εκατομμυρίων ευρώ</w:t>
      </w:r>
      <w:r w:rsidDel="00000000" w:rsidR="00000000" w:rsidRPr="00000000">
        <w:rPr>
          <w:rFonts w:ascii="Arial" w:cs="Arial" w:eastAsia="Arial" w:hAnsi="Arial"/>
          <w:sz w:val="24"/>
          <w:szCs w:val="24"/>
          <w:rtl w:val="0"/>
        </w:rPr>
        <w:t xml:space="preserve">. Τα θέματα περιλαμβάνουν αυξομειώσεις της αξίας των υφιστάμενων ονομαστικών μετοχών, reverse-split, αυξομειώσεις του μετοχικού κεφαλαίου της τράπεζας για σχηματισμό ειδικού αποθεματικού, έκδοση νέων μετοχών, έκδοση τίτλων κτήσης (warrants) και λήξη της ένταξης της τράπεζας ως καθολικής διαδόχου της Παγκρήτιας Τράπεζας στο καθεστώς αναβαλλόμενης φορολογικής απαίτησης. Όλα αυτά είναι βάσει των διατάξεων της Συμφωνίας Μετόχων μεταξύ του Ταμείου Χρηματοπιστωτικής Σταθερότητας και της Thrivest Holding LTD όπως έχει κυρωθεί με νόμο από τη Βουλή. </w:t>
      </w:r>
    </w:p>
    <w:p w:rsidR="00000000" w:rsidDel="00000000" w:rsidP="00000000" w:rsidRDefault="00000000" w:rsidRPr="00000000" w14:paraId="0000000D">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Οι βασικοί μέτοχοι έχουν δεσμευτεί να στηρίξουν αυτή την αύξηση κεφαλαίου. Συγκεκριμένα, το Ταμείο Χρηματοπιστωτικής Σταθερότητας θα συνεισφέρει έως και 475 εκατομμύρια ευρώ, ενώ η Thrivest έως και 200 εκατομμύρια ευρώ, ενώ θα ακολουθήσει η έκδοση των warrants. </w:t>
      </w:r>
    </w:p>
    <w:p w:rsidR="00000000" w:rsidDel="00000000" w:rsidP="00000000" w:rsidRDefault="00000000" w:rsidRPr="00000000" w14:paraId="0000000E">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Σας ευχαριστώ θερμά για την εμπιστοσύνη και τη στήριξη σας. Η τράπεζα μας έχει ένα ισχυρό μέλλον. Μπορούμε να δημιουργήσουμε την καλύτερη τράπεζα στην χώρα μας. </w:t>
      </w:r>
    </w:p>
    <w:p w:rsidR="00000000" w:rsidDel="00000000" w:rsidP="00000000" w:rsidRDefault="00000000" w:rsidRPr="00000000" w14:paraId="0000000F">
      <w:pPr>
        <w:spacing w:after="120" w:before="240" w:line="4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Το λόγο έχει η Διευθύνουσα Σύμβουλος της τράπεζας, κυρία Ελένη Βρεττού. </w:t>
      </w:r>
    </w:p>
    <w:sectPr>
      <w:headerReference r:id="rId6" w:type="first"/>
      <w:footerReference r:id="rId7" w:type="default"/>
      <w:pgSz w:h="16838" w:w="11906" w:orient="portrait"/>
      <w:pgMar w:bottom="576" w:top="720" w:left="720" w:right="576" w:header="426" w:footer="26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spacing w:after="120" w:before="120" w:line="360" w:lineRule="auto"/>
      <w:rPr>
        <w:rFonts w:ascii="Arial" w:cs="Arial" w:eastAsia="Arial" w:hAnsi="Arial"/>
        <w:b w:val="1"/>
        <w:sz w:val="32"/>
        <w:szCs w:val="32"/>
      </w:rPr>
    </w:pPr>
    <w:r w:rsidDel="00000000" w:rsidR="00000000" w:rsidRPr="00000000">
      <w:rPr>
        <w:rFonts w:ascii="Arial" w:cs="Arial" w:eastAsia="Arial" w:hAnsi="Arial"/>
        <w:b w:val="1"/>
        <w:sz w:val="32"/>
        <w:szCs w:val="32"/>
      </w:rPr>
      <w:drawing>
        <wp:inline distB="0" distT="0" distL="0" distR="0">
          <wp:extent cx="2103611" cy="69015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03611" cy="69015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after="120" w:before="120" w:line="360" w:lineRule="auto"/>
      <w:rPr>
        <w:rFonts w:ascii="Arial" w:cs="Arial" w:eastAsia="Arial" w:hAnsi="Arial"/>
        <w:b w:val="1"/>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widowControl w:val="0"/>
      <w:spacing w:after="0" w:before="40" w:line="2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