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175"/>
      </w:tblGrid>
      <w:tr w:rsidR="00122361" w:rsidRPr="00F21D45" w14:paraId="5FB3DF16" w14:textId="77777777" w:rsidTr="00A2702C">
        <w:tc>
          <w:tcPr>
            <w:tcW w:w="2835" w:type="dxa"/>
          </w:tcPr>
          <w:p w14:paraId="6536B5CE" w14:textId="208FF162" w:rsidR="00973EA4" w:rsidRPr="00456EBC" w:rsidRDefault="00973EA4">
            <w:pPr>
              <w:rPr>
                <w:rFonts w:ascii="Ping LCG Medium" w:hAnsi="Ping LCG Medium"/>
                <w:color w:val="001432"/>
              </w:rPr>
            </w:pPr>
            <w:proofErr w:type="spellStart"/>
            <w:r w:rsidRPr="00456EBC">
              <w:rPr>
                <w:rFonts w:ascii="Ping LCG Medium" w:hAnsi="Ping LCG Medium"/>
                <w:color w:val="001432"/>
              </w:rPr>
              <w:t>Δελτίο</w:t>
            </w:r>
            <w:proofErr w:type="spellEnd"/>
            <w:r w:rsidRPr="00456EBC">
              <w:rPr>
                <w:rFonts w:ascii="Ping LCG Medium" w:hAnsi="Ping LCG Medium"/>
                <w:color w:val="001432"/>
              </w:rPr>
              <w:t xml:space="preserve"> </w:t>
            </w:r>
            <w:proofErr w:type="spellStart"/>
            <w:r w:rsidRPr="00456EBC">
              <w:rPr>
                <w:rFonts w:ascii="Ping LCG Medium" w:hAnsi="Ping LCG Medium"/>
                <w:color w:val="001432"/>
              </w:rPr>
              <w:t>τύ</w:t>
            </w:r>
            <w:proofErr w:type="spellEnd"/>
            <w:r w:rsidRPr="00456EBC">
              <w:rPr>
                <w:rFonts w:ascii="Ping LCG Medium" w:hAnsi="Ping LCG Medium"/>
                <w:color w:val="001432"/>
              </w:rPr>
              <w:t>που</w:t>
            </w:r>
          </w:p>
        </w:tc>
        <w:tc>
          <w:tcPr>
            <w:tcW w:w="6175" w:type="dxa"/>
          </w:tcPr>
          <w:p w14:paraId="7EE98583" w14:textId="4BB1F298" w:rsidR="00973EA4" w:rsidRPr="000F1D0F" w:rsidRDefault="008419F0" w:rsidP="00973EA4">
            <w:pPr>
              <w:rPr>
                <w:rFonts w:ascii="Ping LCG Regular" w:hAnsi="Ping LCG Regular"/>
                <w:color w:val="001432"/>
                <w:lang w:val="el-GR"/>
              </w:rPr>
            </w:pPr>
            <w:r w:rsidRPr="008419F0">
              <w:rPr>
                <w:rFonts w:ascii="Ping LCG Medium" w:hAnsi="Ping LCG Medium"/>
                <w:b/>
                <w:bCs/>
                <w:color w:val="001432"/>
                <w:sz w:val="28"/>
                <w:szCs w:val="28"/>
                <w:lang w:val="el-GR"/>
              </w:rPr>
              <w:t xml:space="preserve">Εντατικοποίηση ελέγχων για </w:t>
            </w:r>
            <w:proofErr w:type="spellStart"/>
            <w:r w:rsidRPr="008419F0">
              <w:rPr>
                <w:rFonts w:ascii="Ping LCG Medium" w:hAnsi="Ping LCG Medium"/>
                <w:b/>
                <w:bCs/>
                <w:color w:val="001432"/>
                <w:sz w:val="28"/>
                <w:szCs w:val="28"/>
                <w:lang w:val="el-GR"/>
              </w:rPr>
              <w:t>ρευματοκλοπές</w:t>
            </w:r>
            <w:proofErr w:type="spellEnd"/>
            <w:r w:rsidRPr="008419F0">
              <w:rPr>
                <w:rFonts w:ascii="Ping LCG Medium" w:hAnsi="Ping LCG Medium"/>
                <w:b/>
                <w:bCs/>
                <w:color w:val="001432"/>
                <w:sz w:val="28"/>
                <w:szCs w:val="28"/>
                <w:lang w:val="el-GR"/>
              </w:rPr>
              <w:t xml:space="preserve"> στον κλάδο της εστίασης και φιλοξενίας</w:t>
            </w:r>
            <w:r w:rsidRPr="008419F0">
              <w:rPr>
                <w:rFonts w:ascii="Ping LCG Medium" w:hAnsi="Ping LCG Medium"/>
                <w:color w:val="001432"/>
                <w:sz w:val="28"/>
                <w:szCs w:val="28"/>
                <w:lang w:val="el-GR"/>
              </w:rPr>
              <w:t xml:space="preserve"> </w:t>
            </w:r>
          </w:p>
        </w:tc>
      </w:tr>
      <w:tr w:rsidR="00122361" w:rsidRPr="00F21D45" w14:paraId="4BFA2430" w14:textId="77777777" w:rsidTr="00A2702C">
        <w:tc>
          <w:tcPr>
            <w:tcW w:w="9010" w:type="dxa"/>
            <w:gridSpan w:val="2"/>
          </w:tcPr>
          <w:p w14:paraId="0AB48FB7" w14:textId="77777777" w:rsidR="00490629" w:rsidRPr="00122361" w:rsidRDefault="00490629" w:rsidP="00973EA4">
            <w:pPr>
              <w:rPr>
                <w:rFonts w:ascii="Ping LCG Medium" w:hAnsi="Ping LCG Medium"/>
                <w:color w:val="001432"/>
                <w:sz w:val="32"/>
                <w:szCs w:val="32"/>
                <w:lang w:val="el-GR"/>
              </w:rPr>
            </w:pPr>
          </w:p>
        </w:tc>
      </w:tr>
      <w:tr w:rsidR="00122361" w:rsidRPr="00F21D45" w14:paraId="21A1FC86" w14:textId="77777777" w:rsidTr="00A2702C">
        <w:tc>
          <w:tcPr>
            <w:tcW w:w="9010" w:type="dxa"/>
            <w:gridSpan w:val="2"/>
          </w:tcPr>
          <w:p w14:paraId="73F0989B" w14:textId="18654106" w:rsidR="00F31F29" w:rsidRDefault="00F31F29" w:rsidP="00F31F29">
            <w:pPr>
              <w:jc w:val="both"/>
              <w:rPr>
                <w:rFonts w:ascii="Ping LCG Regular" w:hAnsi="Ping LCG Regular"/>
                <w:color w:val="001432"/>
                <w:sz w:val="22"/>
                <w:szCs w:val="22"/>
                <w:lang w:val="el-GR"/>
              </w:rPr>
            </w:pPr>
            <w:r w:rsidRPr="00F31F29">
              <w:rPr>
                <w:rFonts w:ascii="Ping LCG Regular" w:hAnsi="Ping LCG Regular"/>
                <w:color w:val="001432"/>
                <w:sz w:val="22"/>
                <w:szCs w:val="22"/>
                <w:lang w:val="el-GR"/>
              </w:rPr>
              <w:t xml:space="preserve">Με εντατικούς ρυθμούς συνεχίζει ο ΔΕΔΔΗΕ συντονισμένες και </w:t>
            </w:r>
            <w:proofErr w:type="spellStart"/>
            <w:r w:rsidRPr="00F31F29">
              <w:rPr>
                <w:rFonts w:ascii="Ping LCG Regular" w:hAnsi="Ping LCG Regular"/>
                <w:color w:val="001432"/>
                <w:sz w:val="22"/>
                <w:szCs w:val="22"/>
                <w:lang w:val="el-GR"/>
              </w:rPr>
              <w:t>στοχευμένες</w:t>
            </w:r>
            <w:proofErr w:type="spellEnd"/>
            <w:r w:rsidRPr="00F31F29">
              <w:rPr>
                <w:rFonts w:ascii="Ping LCG Regular" w:hAnsi="Ping LCG Regular"/>
                <w:color w:val="001432"/>
                <w:sz w:val="22"/>
                <w:szCs w:val="22"/>
                <w:lang w:val="el-GR"/>
              </w:rPr>
              <w:t xml:space="preserve"> ενέργειες για την πάταξη του φαινομένου των </w:t>
            </w:r>
            <w:proofErr w:type="spellStart"/>
            <w:r w:rsidRPr="00F31F29">
              <w:rPr>
                <w:rFonts w:ascii="Ping LCG Regular" w:hAnsi="Ping LCG Regular"/>
                <w:color w:val="001432"/>
                <w:sz w:val="22"/>
                <w:szCs w:val="22"/>
                <w:lang w:val="el-GR"/>
              </w:rPr>
              <w:t>ρευματοκλοπών</w:t>
            </w:r>
            <w:proofErr w:type="spellEnd"/>
            <w:r w:rsidRPr="00F31F29">
              <w:rPr>
                <w:rFonts w:ascii="Ping LCG Regular" w:hAnsi="Ping LCG Regular"/>
                <w:color w:val="001432"/>
                <w:sz w:val="22"/>
                <w:szCs w:val="22"/>
                <w:lang w:val="el-GR"/>
              </w:rPr>
              <w:t xml:space="preserve">, πραγματοποιώντας το τελευταίο χρονικό διάστημα, περισσότερους από 700 ελέγχους σε επιχειρήσεις του κλάδου </w:t>
            </w:r>
            <w:r w:rsidRPr="00F31F29">
              <w:rPr>
                <w:rFonts w:ascii="Ping LCG Regular" w:hAnsi="Ping LCG Regular"/>
                <w:color w:val="001432"/>
                <w:sz w:val="22"/>
                <w:szCs w:val="22"/>
              </w:rPr>
              <w:t>HORECA</w:t>
            </w:r>
            <w:r w:rsidRPr="00F31F29">
              <w:rPr>
                <w:rFonts w:ascii="Ping LCG Regular" w:hAnsi="Ping LCG Regular"/>
                <w:color w:val="001432"/>
                <w:sz w:val="22"/>
                <w:szCs w:val="22"/>
                <w:lang w:val="el-GR"/>
              </w:rPr>
              <w:t xml:space="preserve"> (ξενοδοχεία, εστιατόρια, καφετέριες), έχοντας ήδη εντοπίσει περιπτώσεις </w:t>
            </w:r>
            <w:proofErr w:type="spellStart"/>
            <w:r w:rsidRPr="00F31F29">
              <w:rPr>
                <w:rFonts w:ascii="Ping LCG Regular" w:hAnsi="Ping LCG Regular"/>
                <w:color w:val="001432"/>
                <w:sz w:val="22"/>
                <w:szCs w:val="22"/>
                <w:lang w:val="el-GR"/>
              </w:rPr>
              <w:t>ρευματοκλοπών</w:t>
            </w:r>
            <w:proofErr w:type="spellEnd"/>
            <w:r w:rsidRPr="00F31F29">
              <w:rPr>
                <w:rFonts w:ascii="Ping LCG Regular" w:hAnsi="Ping LCG Regular"/>
                <w:color w:val="001432"/>
                <w:sz w:val="22"/>
                <w:szCs w:val="22"/>
                <w:lang w:val="el-GR"/>
              </w:rPr>
              <w:t xml:space="preserve"> η αξία των οποίων ξεπερν</w:t>
            </w:r>
            <w:r w:rsidR="00692787">
              <w:rPr>
                <w:rFonts w:ascii="Ping LCG Regular" w:hAnsi="Ping LCG Regular"/>
                <w:color w:val="001432"/>
                <w:sz w:val="22"/>
                <w:szCs w:val="22"/>
                <w:lang w:val="el-GR"/>
              </w:rPr>
              <w:t>ά</w:t>
            </w:r>
            <w:r w:rsidRPr="00F31F29">
              <w:rPr>
                <w:rFonts w:ascii="Ping LCG Regular" w:hAnsi="Ping LCG Regular"/>
                <w:color w:val="001432"/>
                <w:sz w:val="22"/>
                <w:szCs w:val="22"/>
                <w:lang w:val="el-GR"/>
              </w:rPr>
              <w:t xml:space="preserve"> τα 1,2 εκατ. ευρώ.</w:t>
            </w:r>
          </w:p>
          <w:p w14:paraId="19BCFB28" w14:textId="77777777" w:rsidR="00F31F29" w:rsidRPr="00F31F29" w:rsidRDefault="00F31F29" w:rsidP="00F31F29">
            <w:pPr>
              <w:jc w:val="both"/>
              <w:rPr>
                <w:rFonts w:ascii="Ping LCG Regular" w:hAnsi="Ping LCG Regular"/>
                <w:color w:val="001432"/>
                <w:sz w:val="22"/>
                <w:szCs w:val="22"/>
                <w:lang w:val="el-GR"/>
              </w:rPr>
            </w:pPr>
          </w:p>
          <w:p w14:paraId="701B6027" w14:textId="075580DF" w:rsidR="00F31F29" w:rsidRDefault="00F31F29" w:rsidP="00F31F29">
            <w:pPr>
              <w:jc w:val="both"/>
              <w:rPr>
                <w:rFonts w:ascii="Ping LCG Regular" w:hAnsi="Ping LCG Regular"/>
                <w:color w:val="001432"/>
                <w:sz w:val="22"/>
                <w:szCs w:val="22"/>
                <w:lang w:val="el-GR"/>
              </w:rPr>
            </w:pPr>
            <w:r w:rsidRPr="00F31F29">
              <w:rPr>
                <w:rFonts w:ascii="Ping LCG Regular" w:hAnsi="Ping LCG Regular"/>
                <w:color w:val="001432"/>
                <w:sz w:val="22"/>
                <w:szCs w:val="22"/>
                <w:lang w:val="el-GR"/>
              </w:rPr>
              <w:t>Αναλυτικότερα, από τους περίπου 700 και πλέον ελέγχους που πραγματοποίησαν τα εξειδικευμένα συνεργεία του ΔΕΔΔΗΕ στον κλάδο της εστίασης και φιλοξενίας σε ολόκληρη την Ελλάδα από το Νοέμβριο του 2024 έως και τον Φεβρουάριο του 2025, έχουν ήδη διαπιστωθεί</w:t>
            </w:r>
            <w:r w:rsidR="0031131B">
              <w:rPr>
                <w:rFonts w:ascii="Ping LCG Regular" w:hAnsi="Ping LCG Regular"/>
                <w:color w:val="001432"/>
                <w:sz w:val="22"/>
                <w:szCs w:val="22"/>
                <w:lang w:val="el-GR"/>
              </w:rPr>
              <w:t>,</w:t>
            </w:r>
            <w:r w:rsidRPr="00F31F29">
              <w:rPr>
                <w:rFonts w:ascii="Ping LCG Regular" w:hAnsi="Ping LCG Regular"/>
                <w:color w:val="001432"/>
                <w:sz w:val="22"/>
                <w:szCs w:val="22"/>
                <w:lang w:val="el-GR"/>
              </w:rPr>
              <w:t xml:space="preserve"> με την ολοκλήρωση των σχετικών εργαστηριακών ελέγχων των μετρητών</w:t>
            </w:r>
            <w:r w:rsidR="0031131B">
              <w:rPr>
                <w:rFonts w:ascii="Ping LCG Regular" w:hAnsi="Ping LCG Regular"/>
                <w:color w:val="001432"/>
                <w:sz w:val="22"/>
                <w:szCs w:val="22"/>
                <w:lang w:val="el-GR"/>
              </w:rPr>
              <w:t>,</w:t>
            </w:r>
            <w:r w:rsidRPr="00F31F29">
              <w:rPr>
                <w:rFonts w:ascii="Ping LCG Regular" w:hAnsi="Ping LCG Regular"/>
                <w:color w:val="001432"/>
                <w:sz w:val="22"/>
                <w:szCs w:val="22"/>
                <w:lang w:val="el-GR"/>
              </w:rPr>
              <w:t xml:space="preserve"> 131 περιπτώσεις </w:t>
            </w:r>
            <w:proofErr w:type="spellStart"/>
            <w:r w:rsidRPr="00F31F29">
              <w:rPr>
                <w:rFonts w:ascii="Ping LCG Regular" w:hAnsi="Ping LCG Regular"/>
                <w:color w:val="001432"/>
                <w:sz w:val="22"/>
                <w:szCs w:val="22"/>
                <w:lang w:val="el-GR"/>
              </w:rPr>
              <w:t>ρευματοκλοπής</w:t>
            </w:r>
            <w:proofErr w:type="spellEnd"/>
            <w:r w:rsidRPr="00F31F29">
              <w:rPr>
                <w:rFonts w:ascii="Ping LCG Regular" w:hAnsi="Ping LCG Regular"/>
                <w:color w:val="001432"/>
                <w:sz w:val="22"/>
                <w:szCs w:val="22"/>
                <w:lang w:val="el-GR"/>
              </w:rPr>
              <w:t xml:space="preserve">,  με τη μη </w:t>
            </w:r>
            <w:proofErr w:type="spellStart"/>
            <w:r w:rsidRPr="00F31F29">
              <w:rPr>
                <w:rFonts w:ascii="Ping LCG Regular" w:hAnsi="Ping LCG Regular"/>
                <w:color w:val="001432"/>
                <w:sz w:val="22"/>
                <w:szCs w:val="22"/>
                <w:lang w:val="el-GR"/>
              </w:rPr>
              <w:t>καταγραφείσα</w:t>
            </w:r>
            <w:proofErr w:type="spellEnd"/>
            <w:r w:rsidRPr="00F31F29">
              <w:rPr>
                <w:rFonts w:ascii="Ping LCG Regular" w:hAnsi="Ping LCG Regular"/>
                <w:color w:val="001432"/>
                <w:sz w:val="22"/>
                <w:szCs w:val="22"/>
                <w:lang w:val="el-GR"/>
              </w:rPr>
              <w:t xml:space="preserve"> ενέργεια να υπερβαίνει τα 4,8 </w:t>
            </w:r>
            <w:proofErr w:type="spellStart"/>
            <w:r w:rsidRPr="00F31F29">
              <w:rPr>
                <w:rFonts w:ascii="Ping LCG Regular" w:hAnsi="Ping LCG Regular"/>
                <w:color w:val="001432"/>
                <w:sz w:val="22"/>
                <w:szCs w:val="22"/>
                <w:lang w:val="el-GR"/>
              </w:rPr>
              <w:t>GWh</w:t>
            </w:r>
            <w:proofErr w:type="spellEnd"/>
            <w:r w:rsidR="00396145" w:rsidRPr="00396145">
              <w:rPr>
                <w:rFonts w:ascii="Ping LCG Regular" w:hAnsi="Ping LCG Regular"/>
                <w:color w:val="001432"/>
                <w:sz w:val="22"/>
                <w:szCs w:val="22"/>
                <w:lang w:val="el-GR"/>
              </w:rPr>
              <w:t xml:space="preserve"> </w:t>
            </w:r>
            <w:r w:rsidR="00396145">
              <w:rPr>
                <w:rFonts w:ascii="Ping LCG Regular" w:hAnsi="Ping LCG Regular"/>
                <w:color w:val="001432"/>
                <w:sz w:val="22"/>
                <w:szCs w:val="22"/>
                <w:lang w:val="el-GR"/>
              </w:rPr>
              <w:t>και</w:t>
            </w:r>
            <w:r w:rsidRPr="00F31F29">
              <w:rPr>
                <w:rFonts w:ascii="Ping LCG Regular" w:hAnsi="Ping LCG Regular"/>
                <w:color w:val="001432"/>
                <w:sz w:val="22"/>
                <w:szCs w:val="22"/>
                <w:lang w:val="el-GR"/>
              </w:rPr>
              <w:t xml:space="preserve"> με απαιτήσεις που ξεπερνούν τα 1,2 εκατ. ευρώ. Ταυτόχρονα</w:t>
            </w:r>
            <w:r w:rsidR="00E431D5">
              <w:rPr>
                <w:rFonts w:ascii="Ping LCG Regular" w:hAnsi="Ping LCG Regular"/>
                <w:color w:val="001432"/>
                <w:sz w:val="22"/>
                <w:szCs w:val="22"/>
                <w:lang w:val="el-GR"/>
              </w:rPr>
              <w:t>,</w:t>
            </w:r>
            <w:r w:rsidRPr="00F31F29">
              <w:rPr>
                <w:rFonts w:ascii="Ping LCG Regular" w:hAnsi="Ping LCG Regular"/>
                <w:color w:val="001432"/>
                <w:sz w:val="22"/>
                <w:szCs w:val="22"/>
                <w:lang w:val="el-GR"/>
              </w:rPr>
              <w:t xml:space="preserve"> άλλες 153 περιπτώσεις βρίσκονται σε διαδικασία πιστοποίησης </w:t>
            </w:r>
            <w:proofErr w:type="spellStart"/>
            <w:r w:rsidRPr="00F31F29">
              <w:rPr>
                <w:rFonts w:ascii="Ping LCG Regular" w:hAnsi="Ping LCG Regular"/>
                <w:color w:val="001432"/>
                <w:sz w:val="22"/>
                <w:szCs w:val="22"/>
                <w:lang w:val="el-GR"/>
              </w:rPr>
              <w:t>ρευματοκλοπής</w:t>
            </w:r>
            <w:proofErr w:type="spellEnd"/>
            <w:r w:rsidRPr="00F31F29">
              <w:rPr>
                <w:rFonts w:ascii="Ping LCG Regular" w:hAnsi="Ping LCG Regular"/>
                <w:color w:val="001432"/>
                <w:sz w:val="22"/>
                <w:szCs w:val="22"/>
                <w:lang w:val="el-GR"/>
              </w:rPr>
              <w:t xml:space="preserve"> μέσω εργαστηριακών ελέγχων, με τον τελικό αριθμό διαπιστωμένων </w:t>
            </w:r>
            <w:proofErr w:type="spellStart"/>
            <w:r w:rsidRPr="00F31F29">
              <w:rPr>
                <w:rFonts w:ascii="Ping LCG Regular" w:hAnsi="Ping LCG Regular"/>
                <w:color w:val="001432"/>
                <w:sz w:val="22"/>
                <w:szCs w:val="22"/>
                <w:lang w:val="el-GR"/>
              </w:rPr>
              <w:t>ρευματοκλοπών</w:t>
            </w:r>
            <w:proofErr w:type="spellEnd"/>
            <w:r w:rsidRPr="00F31F29">
              <w:rPr>
                <w:rFonts w:ascii="Ping LCG Regular" w:hAnsi="Ping LCG Regular"/>
                <w:color w:val="001432"/>
                <w:sz w:val="22"/>
                <w:szCs w:val="22"/>
                <w:lang w:val="el-GR"/>
              </w:rPr>
              <w:t xml:space="preserve"> να αναμένεται να αυξηθεί σημαντικά.</w:t>
            </w:r>
          </w:p>
          <w:p w14:paraId="398EBD65" w14:textId="77777777" w:rsidR="00F31F29" w:rsidRPr="00F31F29" w:rsidRDefault="00F31F29" w:rsidP="00F31F29">
            <w:pPr>
              <w:jc w:val="both"/>
              <w:rPr>
                <w:rFonts w:ascii="Ping LCG Regular" w:hAnsi="Ping LCG Regular"/>
                <w:color w:val="001432"/>
                <w:sz w:val="22"/>
                <w:szCs w:val="22"/>
                <w:lang w:val="el-GR"/>
              </w:rPr>
            </w:pPr>
          </w:p>
          <w:p w14:paraId="65449D18" w14:textId="77777777" w:rsidR="00F31F29" w:rsidRDefault="00F31F29" w:rsidP="00F31F29">
            <w:pPr>
              <w:jc w:val="both"/>
              <w:rPr>
                <w:rFonts w:ascii="Ping LCG Regular" w:hAnsi="Ping LCG Regular"/>
                <w:color w:val="001432"/>
                <w:sz w:val="22"/>
                <w:szCs w:val="22"/>
                <w:lang w:val="el-GR"/>
              </w:rPr>
            </w:pPr>
            <w:r w:rsidRPr="00F31F29">
              <w:rPr>
                <w:rFonts w:ascii="Ping LCG Regular" w:hAnsi="Ping LCG Regular"/>
                <w:color w:val="001432"/>
                <w:sz w:val="22"/>
                <w:szCs w:val="22"/>
                <w:lang w:val="el-GR"/>
              </w:rPr>
              <w:t xml:space="preserve">Αξιοσημείωτο είναι το γεγονός ότι σε ορισμένες περιπτώσεις γνωστών αλυσίδων  καταστημάτων, το ποσοστό διαπιστωμένων </w:t>
            </w:r>
            <w:proofErr w:type="spellStart"/>
            <w:r w:rsidRPr="00F31F29">
              <w:rPr>
                <w:rFonts w:ascii="Ping LCG Regular" w:hAnsi="Ping LCG Regular"/>
                <w:color w:val="001432"/>
                <w:sz w:val="22"/>
                <w:szCs w:val="22"/>
                <w:lang w:val="el-GR"/>
              </w:rPr>
              <w:t>ρευματοκλοπών</w:t>
            </w:r>
            <w:proofErr w:type="spellEnd"/>
            <w:r w:rsidRPr="00F31F29">
              <w:rPr>
                <w:rFonts w:ascii="Ping LCG Regular" w:hAnsi="Ping LCG Regular"/>
                <w:color w:val="001432"/>
                <w:sz w:val="22"/>
                <w:szCs w:val="22"/>
                <w:lang w:val="el-GR"/>
              </w:rPr>
              <w:t xml:space="preserve">  ξεπέρασε το 50% επί του αριθμού των παροχών που ελέγχθηκαν, κάτι που καταδεικνύει τον εν δυνάμει συστηματικό χαρακτήρα του φαινομένου σε τέτοιες περιπτώσεις. </w:t>
            </w:r>
          </w:p>
          <w:p w14:paraId="31B0F6AF" w14:textId="77777777" w:rsidR="00F31F29" w:rsidRPr="00F31F29" w:rsidRDefault="00F31F29" w:rsidP="00F31F29">
            <w:pPr>
              <w:jc w:val="both"/>
              <w:rPr>
                <w:rFonts w:ascii="Ping LCG Regular" w:hAnsi="Ping LCG Regular"/>
                <w:color w:val="001432"/>
                <w:sz w:val="22"/>
                <w:szCs w:val="22"/>
                <w:lang w:val="el-GR"/>
              </w:rPr>
            </w:pPr>
          </w:p>
          <w:p w14:paraId="144B9556" w14:textId="44FA2F14" w:rsidR="00F31F29" w:rsidRPr="00F31F29" w:rsidRDefault="00F31F29" w:rsidP="00F31F29">
            <w:pPr>
              <w:jc w:val="both"/>
              <w:rPr>
                <w:rFonts w:ascii="Ping LCG Regular" w:hAnsi="Ping LCG Regular"/>
                <w:color w:val="001432"/>
                <w:sz w:val="22"/>
                <w:szCs w:val="22"/>
                <w:lang w:val="el-GR"/>
              </w:rPr>
            </w:pPr>
            <w:r w:rsidRPr="00F31F29">
              <w:rPr>
                <w:rFonts w:ascii="Ping LCG Regular" w:hAnsi="Ping LCG Regular"/>
                <w:color w:val="001432"/>
                <w:sz w:val="22"/>
                <w:szCs w:val="22"/>
                <w:lang w:val="el-GR"/>
              </w:rPr>
              <w:t>Σημειώνεται δε, ότι κατά τους ελέγχους, ο ΔΕΔΔΗΕ προχώρησε στην αντικατάσταση όλων των μετρητών με έξυπνους μετρητές, που επιτρέπουν την άμεση ανίχνευση παραβάσεων. Επιπλέον, εφαρμόστηκαν αυστηρά πρωτόκολλα φύλαξης</w:t>
            </w:r>
            <w:r w:rsidRPr="00F31F29">
              <w:rPr>
                <w:rFonts w:ascii="Ping LCG Regular" w:hAnsi="Ping LCG Regular"/>
                <w:b/>
                <w:bCs/>
                <w:color w:val="001432"/>
                <w:sz w:val="22"/>
                <w:szCs w:val="22"/>
                <w:lang w:val="el-GR"/>
              </w:rPr>
              <w:t xml:space="preserve"> </w:t>
            </w:r>
            <w:r w:rsidRPr="00F31F29">
              <w:rPr>
                <w:rFonts w:ascii="Ping LCG Regular" w:hAnsi="Ping LCG Regular"/>
                <w:color w:val="001432"/>
                <w:sz w:val="22"/>
                <w:szCs w:val="22"/>
                <w:lang w:val="el-GR"/>
              </w:rPr>
              <w:t xml:space="preserve">και αποθήκευσης των μετρητών. Η συνδρομή της Ελληνικής Αστυνομίας ήταν καθοριστική για τη διασφάλιση της ομαλής διεξαγωγής των ελέγχων, παρέχοντας την απαραίτητη υποστήριξη στα συνεργεία όπου κρίθηκε αναγκαίο, </w:t>
            </w:r>
            <w:r w:rsidR="00684612">
              <w:rPr>
                <w:rFonts w:ascii="Ping LCG Regular" w:hAnsi="Ping LCG Regular"/>
                <w:color w:val="001432"/>
                <w:sz w:val="22"/>
                <w:szCs w:val="22"/>
                <w:lang w:val="el-GR"/>
              </w:rPr>
              <w:t>ενώ</w:t>
            </w:r>
            <w:r w:rsidRPr="00F31F29">
              <w:rPr>
                <w:rFonts w:ascii="Ping LCG Regular" w:hAnsi="Ping LCG Regular"/>
                <w:color w:val="001432"/>
                <w:sz w:val="22"/>
                <w:szCs w:val="22"/>
                <w:lang w:val="el-GR"/>
              </w:rPr>
              <w:t xml:space="preserve"> αντίστοιχη συνεργασία και απαραίτητη υποστήριξη θα υπάρξει και στη συνέχεια στο πλαίσιο της  εντατικοποίησης των ενεργειών της Εταιρείας για την αντιμετώπιση και την πάταξη του φαινομένου της </w:t>
            </w:r>
            <w:proofErr w:type="spellStart"/>
            <w:r w:rsidRPr="00F31F29">
              <w:rPr>
                <w:rFonts w:ascii="Ping LCG Regular" w:hAnsi="Ping LCG Regular"/>
                <w:color w:val="001432"/>
                <w:sz w:val="22"/>
                <w:szCs w:val="22"/>
                <w:lang w:val="el-GR"/>
              </w:rPr>
              <w:t>ρευματοκλοπής</w:t>
            </w:r>
            <w:proofErr w:type="spellEnd"/>
            <w:r w:rsidRPr="00F31F29">
              <w:rPr>
                <w:rFonts w:ascii="Ping LCG Regular" w:hAnsi="Ping LCG Regular"/>
                <w:color w:val="001432"/>
                <w:sz w:val="22"/>
                <w:szCs w:val="22"/>
                <w:lang w:val="el-GR"/>
              </w:rPr>
              <w:t xml:space="preserve">. </w:t>
            </w:r>
          </w:p>
          <w:p w14:paraId="32ACC222" w14:textId="77777777" w:rsidR="00F31F29" w:rsidRDefault="00F31F29" w:rsidP="00F31F29">
            <w:pPr>
              <w:jc w:val="both"/>
              <w:rPr>
                <w:rFonts w:ascii="Ping LCG Regular" w:hAnsi="Ping LCG Regular"/>
                <w:color w:val="001432"/>
                <w:sz w:val="22"/>
                <w:szCs w:val="22"/>
                <w:lang w:val="el-GR"/>
              </w:rPr>
            </w:pPr>
            <w:r w:rsidRPr="00F31F29">
              <w:rPr>
                <w:rFonts w:ascii="Ping LCG Regular" w:hAnsi="Ping LCG Regular"/>
                <w:color w:val="001432"/>
                <w:sz w:val="22"/>
                <w:szCs w:val="22"/>
                <w:lang w:val="el-GR"/>
              </w:rPr>
              <w:t xml:space="preserve">Η πάταξη του φαινομένου των </w:t>
            </w:r>
            <w:proofErr w:type="spellStart"/>
            <w:r w:rsidRPr="00F31F29">
              <w:rPr>
                <w:rFonts w:ascii="Ping LCG Regular" w:hAnsi="Ping LCG Regular"/>
                <w:color w:val="001432"/>
                <w:sz w:val="22"/>
                <w:szCs w:val="22"/>
                <w:lang w:val="el-GR"/>
              </w:rPr>
              <w:t>ρευματοκλοπών</w:t>
            </w:r>
            <w:proofErr w:type="spellEnd"/>
            <w:r w:rsidRPr="00F31F29">
              <w:rPr>
                <w:rFonts w:ascii="Ping LCG Regular" w:hAnsi="Ping LCG Regular"/>
                <w:color w:val="001432"/>
                <w:sz w:val="22"/>
                <w:szCs w:val="22"/>
                <w:lang w:val="el-GR"/>
              </w:rPr>
              <w:t xml:space="preserve"> αποτελεί στρατηγική προτεραιότητα για τον ΔΕΔΔΗΕ, καθώς πρόκειται για μια έκνομη συμπεριφορά η οποία επιβαρύνει τους νομοταγείς και οικονομικά συνεπείς πολίτες.</w:t>
            </w:r>
          </w:p>
          <w:p w14:paraId="79425A95" w14:textId="77777777" w:rsidR="00F31F29" w:rsidRPr="00F31F29" w:rsidRDefault="00F31F29" w:rsidP="00F31F29">
            <w:pPr>
              <w:jc w:val="both"/>
              <w:rPr>
                <w:rFonts w:ascii="Ping LCG Regular" w:hAnsi="Ping LCG Regular"/>
                <w:color w:val="001432"/>
                <w:sz w:val="22"/>
                <w:szCs w:val="22"/>
                <w:lang w:val="el-GR"/>
              </w:rPr>
            </w:pPr>
          </w:p>
          <w:p w14:paraId="28A06D8B" w14:textId="15D96007" w:rsidR="00F31F29" w:rsidRPr="00F31F29" w:rsidRDefault="00F31F29" w:rsidP="00F31F29">
            <w:pPr>
              <w:jc w:val="both"/>
              <w:rPr>
                <w:rFonts w:ascii="Ping LCG Regular" w:hAnsi="Ping LCG Regular"/>
                <w:color w:val="001432"/>
                <w:sz w:val="22"/>
                <w:szCs w:val="22"/>
                <w:lang w:val="el-GR"/>
              </w:rPr>
            </w:pPr>
            <w:r w:rsidRPr="00F31F29">
              <w:rPr>
                <w:rFonts w:ascii="Ping LCG Regular" w:hAnsi="Ping LCG Regular"/>
                <w:color w:val="001432"/>
                <w:sz w:val="22"/>
                <w:szCs w:val="22"/>
                <w:lang w:val="el-GR"/>
              </w:rPr>
              <w:t xml:space="preserve">Στο πλαίσιο αυτό, ο ΔΕΔΔΗΕ υλοποιεί ένα συντονισμένο πλάνο δράσεων και ενεργειών έχοντας προχωρήσει σε ρυθμιστικές παρεμβάσεις με στόχο την </w:t>
            </w:r>
            <w:proofErr w:type="spellStart"/>
            <w:r w:rsidRPr="00F31F29">
              <w:rPr>
                <w:rFonts w:ascii="Ping LCG Regular" w:hAnsi="Ping LCG Regular"/>
                <w:color w:val="001432"/>
                <w:sz w:val="22"/>
                <w:szCs w:val="22"/>
                <w:lang w:val="el-GR"/>
              </w:rPr>
              <w:t>αυστηροποίηση</w:t>
            </w:r>
            <w:proofErr w:type="spellEnd"/>
            <w:r w:rsidRPr="00F31F29">
              <w:rPr>
                <w:rFonts w:ascii="Ping LCG Regular" w:hAnsi="Ping LCG Regular"/>
                <w:color w:val="001432"/>
                <w:sz w:val="22"/>
                <w:szCs w:val="22"/>
                <w:lang w:val="el-GR"/>
              </w:rPr>
              <w:t xml:space="preserve"> του πλαισίου ελέγχων και ποινών</w:t>
            </w:r>
            <w:r w:rsidR="00E431D5">
              <w:rPr>
                <w:rFonts w:ascii="Ping LCG Regular" w:hAnsi="Ping LCG Regular"/>
                <w:color w:val="001432"/>
                <w:sz w:val="22"/>
                <w:szCs w:val="22"/>
                <w:lang w:val="el-GR"/>
              </w:rPr>
              <w:t>,</w:t>
            </w:r>
            <w:r w:rsidRPr="00F31F29">
              <w:rPr>
                <w:rFonts w:ascii="Ping LCG Regular" w:hAnsi="Ping LCG Regular"/>
                <w:color w:val="001432"/>
                <w:sz w:val="22"/>
                <w:szCs w:val="22"/>
                <w:lang w:val="el-GR"/>
              </w:rPr>
              <w:t xml:space="preserve"> </w:t>
            </w:r>
            <w:r w:rsidR="00E431D5">
              <w:rPr>
                <w:rFonts w:ascii="Ping LCG Regular" w:hAnsi="Ping LCG Regular"/>
                <w:color w:val="001432"/>
                <w:sz w:val="22"/>
                <w:szCs w:val="22"/>
                <w:lang w:val="el-GR"/>
              </w:rPr>
              <w:t>έ</w:t>
            </w:r>
            <w:r w:rsidRPr="00F31F29">
              <w:rPr>
                <w:rFonts w:ascii="Ping LCG Regular" w:hAnsi="Ping LCG Regular"/>
                <w:color w:val="001432"/>
                <w:sz w:val="22"/>
                <w:szCs w:val="22"/>
                <w:lang w:val="el-GR"/>
              </w:rPr>
              <w:t xml:space="preserve">χει υπερδιπλασιάσει τους τεχνικούς ελέγχους (από 20,5 χιλ. κατά μέσο όρο την τριετία 2019-2022 σε 41,6 χιλ. μόνο το 2024) ενώ έχει </w:t>
            </w:r>
            <w:proofErr w:type="spellStart"/>
            <w:r w:rsidRPr="00F31F29">
              <w:rPr>
                <w:rFonts w:ascii="Ping LCG Regular" w:hAnsi="Ping LCG Regular"/>
                <w:color w:val="001432"/>
                <w:sz w:val="22"/>
                <w:szCs w:val="22"/>
                <w:lang w:val="el-GR"/>
              </w:rPr>
              <w:t>υπερτετραπλασιάσει</w:t>
            </w:r>
            <w:proofErr w:type="spellEnd"/>
            <w:r w:rsidRPr="00F31F29">
              <w:rPr>
                <w:rFonts w:ascii="Ping LCG Regular" w:hAnsi="Ping LCG Regular"/>
                <w:color w:val="001432"/>
                <w:sz w:val="22"/>
                <w:szCs w:val="22"/>
                <w:lang w:val="el-GR"/>
              </w:rPr>
              <w:t xml:space="preserve"> τους εργαστηριακούς ελέγχους σε σχέση με τα προηγούμενα χρόνια, ενισχύοντας την ικανότητα ανίχνευσης και δίωξης των παραβάσεων (από 5,3 χιλ. κατά μέσο όρο την τριετία 2019-2022 σε 22,2 χιλ. το 2024). Η αξία των βεβαιωμένων </w:t>
            </w:r>
            <w:proofErr w:type="spellStart"/>
            <w:r w:rsidRPr="00F31F29">
              <w:rPr>
                <w:rFonts w:ascii="Ping LCG Regular" w:hAnsi="Ping LCG Regular"/>
                <w:color w:val="001432"/>
                <w:sz w:val="22"/>
                <w:szCs w:val="22"/>
                <w:lang w:val="el-GR"/>
              </w:rPr>
              <w:t>ρευματοκλοπών</w:t>
            </w:r>
            <w:proofErr w:type="spellEnd"/>
            <w:r w:rsidRPr="00F31F29">
              <w:rPr>
                <w:rFonts w:ascii="Ping LCG Regular" w:hAnsi="Ping LCG Regular"/>
                <w:color w:val="001432"/>
                <w:sz w:val="22"/>
                <w:szCs w:val="22"/>
                <w:lang w:val="el-GR"/>
              </w:rPr>
              <w:t xml:space="preserve"> επίσης υπερδιπλασιάστηκε, από 30 εκατ. ευρώ το 2023 σε 62 εκ. ευρώ το 2024, ενώ η αξία των εισπράξεων από τις βεβαιωμένες </w:t>
            </w:r>
            <w:proofErr w:type="spellStart"/>
            <w:r w:rsidRPr="00F31F29">
              <w:rPr>
                <w:rFonts w:ascii="Ping LCG Regular" w:hAnsi="Ping LCG Regular"/>
                <w:color w:val="001432"/>
                <w:sz w:val="22"/>
                <w:szCs w:val="22"/>
                <w:lang w:val="el-GR"/>
              </w:rPr>
              <w:t>ρευματοκλοπές</w:t>
            </w:r>
            <w:proofErr w:type="spellEnd"/>
            <w:r w:rsidRPr="00F31F29">
              <w:rPr>
                <w:rFonts w:ascii="Ping LCG Regular" w:hAnsi="Ping LCG Regular"/>
                <w:color w:val="001432"/>
                <w:sz w:val="22"/>
                <w:szCs w:val="22"/>
                <w:lang w:val="el-GR"/>
              </w:rPr>
              <w:t xml:space="preserve"> ανήλθε σε 27,1 εκατ. ευρώ το 2024 από περίπου 16,4 εκ. ευρώ κατά μέσο όρο την τριετία 2019-2022.</w:t>
            </w:r>
          </w:p>
          <w:p w14:paraId="2D972325" w14:textId="77777777" w:rsidR="00F31F29" w:rsidRPr="00F31F29" w:rsidRDefault="00F31F29" w:rsidP="00F31F29">
            <w:pPr>
              <w:jc w:val="both"/>
              <w:rPr>
                <w:rFonts w:ascii="Ping LCG Regular" w:hAnsi="Ping LCG Regular"/>
                <w:color w:val="001432"/>
                <w:sz w:val="22"/>
                <w:szCs w:val="22"/>
                <w:lang w:val="el-GR"/>
              </w:rPr>
            </w:pPr>
            <w:r w:rsidRPr="00F31F29">
              <w:rPr>
                <w:rFonts w:ascii="Ping LCG Regular" w:hAnsi="Ping LCG Regular"/>
                <w:color w:val="001432"/>
                <w:sz w:val="22"/>
                <w:szCs w:val="22"/>
                <w:lang w:val="el-GR"/>
              </w:rPr>
              <w:t xml:space="preserve">Το σχέδιο αντιμετώπισης περιλαμβάνει επίσης αυτοματοποιημένη ανάλυση δεδομένων, ενίσχυση προσωπικού με εξειδικευμένα συνεργεία </w:t>
            </w:r>
            <w:proofErr w:type="spellStart"/>
            <w:r w:rsidRPr="00F31F29">
              <w:rPr>
                <w:rFonts w:ascii="Ping LCG Regular" w:hAnsi="Ping LCG Regular"/>
                <w:color w:val="001432"/>
                <w:sz w:val="22"/>
                <w:szCs w:val="22"/>
                <w:lang w:val="el-GR"/>
              </w:rPr>
              <w:t>ρευματοκλοπών</w:t>
            </w:r>
            <w:proofErr w:type="spellEnd"/>
            <w:r w:rsidRPr="00F31F29">
              <w:rPr>
                <w:rFonts w:ascii="Ping LCG Regular" w:hAnsi="Ping LCG Regular"/>
                <w:color w:val="001432"/>
                <w:sz w:val="22"/>
                <w:szCs w:val="22"/>
                <w:lang w:val="el-GR"/>
              </w:rPr>
              <w:t xml:space="preserve"> και βελτιστοποίηση των διαδικασιών ελέγχου. Παράλληλα, αξιοποιούνται προηγμένα συστήματα και τεχνολογίες για την έγκαιρη ανίχνευση και αποτροπή τέτοιων φαινομένων.</w:t>
            </w:r>
          </w:p>
          <w:p w14:paraId="5196CF78" w14:textId="0982A495" w:rsidR="00D86736" w:rsidRPr="000F1D0F" w:rsidRDefault="00D86736" w:rsidP="00D86736">
            <w:pPr>
              <w:jc w:val="both"/>
              <w:rPr>
                <w:rFonts w:ascii="Ping LCG Regular" w:hAnsi="Ping LCG Regular"/>
                <w:color w:val="001432"/>
                <w:sz w:val="22"/>
                <w:szCs w:val="22"/>
                <w:lang w:val="el-GR"/>
              </w:rPr>
            </w:pPr>
          </w:p>
        </w:tc>
      </w:tr>
    </w:tbl>
    <w:p w14:paraId="33AB803F" w14:textId="6278F476" w:rsidR="00490629" w:rsidRPr="000F1D0F" w:rsidRDefault="00490629">
      <w:pPr>
        <w:rPr>
          <w:rFonts w:ascii="Ping LCG Regular" w:hAnsi="Ping LCG Regular"/>
          <w:color w:val="001432"/>
          <w:sz w:val="22"/>
          <w:szCs w:val="22"/>
          <w:lang w:val="el-GR"/>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175"/>
      </w:tblGrid>
      <w:tr w:rsidR="00D86736" w:rsidRPr="00F21D45" w14:paraId="04FAF421" w14:textId="77777777" w:rsidTr="0082267B">
        <w:tc>
          <w:tcPr>
            <w:tcW w:w="9010" w:type="dxa"/>
            <w:gridSpan w:val="2"/>
          </w:tcPr>
          <w:p w14:paraId="2A39C302" w14:textId="77777777" w:rsidR="00D86736" w:rsidRPr="000F1D0F" w:rsidRDefault="00D86736" w:rsidP="0082267B">
            <w:pPr>
              <w:jc w:val="both"/>
              <w:rPr>
                <w:rFonts w:ascii="Ping LCG Regular" w:hAnsi="Ping LCG Regular"/>
                <w:color w:val="001432"/>
                <w:sz w:val="22"/>
                <w:szCs w:val="22"/>
                <w:lang w:val="el-GR"/>
              </w:rPr>
            </w:pPr>
          </w:p>
        </w:tc>
      </w:tr>
      <w:tr w:rsidR="00D86736" w:rsidRPr="00F21D45" w14:paraId="4A7A07F2" w14:textId="77777777" w:rsidTr="0082267B">
        <w:tc>
          <w:tcPr>
            <w:tcW w:w="2835" w:type="dxa"/>
          </w:tcPr>
          <w:p w14:paraId="2A7445A5" w14:textId="77777777" w:rsidR="00D86736" w:rsidRPr="000F1D0F" w:rsidRDefault="00D86736" w:rsidP="0082267B">
            <w:pPr>
              <w:rPr>
                <w:rFonts w:ascii="Ping LCG Regular" w:hAnsi="Ping LCG Regular"/>
                <w:color w:val="001432"/>
                <w:sz w:val="22"/>
                <w:szCs w:val="22"/>
                <w:lang w:val="el-GR"/>
              </w:rPr>
            </w:pPr>
          </w:p>
        </w:tc>
        <w:tc>
          <w:tcPr>
            <w:tcW w:w="6175" w:type="dxa"/>
          </w:tcPr>
          <w:p w14:paraId="49A0927F" w14:textId="77777777" w:rsidR="00D86736" w:rsidRPr="000F1D0F" w:rsidRDefault="00D86736" w:rsidP="0082267B">
            <w:pPr>
              <w:rPr>
                <w:rFonts w:ascii="Ping LCG Regular" w:hAnsi="Ping LCG Regular"/>
                <w:color w:val="001432"/>
                <w:sz w:val="22"/>
                <w:szCs w:val="22"/>
                <w:lang w:val="el-GR"/>
              </w:rPr>
            </w:pPr>
            <w:r w:rsidRPr="000F1D0F">
              <w:rPr>
                <w:rFonts w:ascii="Ping LCG Regular" w:hAnsi="Ping LCG Regular"/>
                <w:color w:val="001432"/>
                <w:sz w:val="22"/>
                <w:szCs w:val="22"/>
                <w:lang w:val="el-GR"/>
              </w:rPr>
              <w:t xml:space="preserve">Αθήνα, </w:t>
            </w:r>
          </w:p>
          <w:p w14:paraId="3020FDE3" w14:textId="54381558" w:rsidR="00D86736" w:rsidRPr="000F1D0F" w:rsidRDefault="00F31F29" w:rsidP="0082267B">
            <w:pPr>
              <w:rPr>
                <w:rFonts w:ascii="Ping LCG Regular" w:hAnsi="Ping LCG Regular"/>
                <w:color w:val="001432"/>
                <w:sz w:val="22"/>
                <w:szCs w:val="22"/>
                <w:lang w:val="el-GR"/>
              </w:rPr>
            </w:pPr>
            <w:r>
              <w:rPr>
                <w:rFonts w:ascii="Ping LCG Regular" w:hAnsi="Ping LCG Regular"/>
                <w:color w:val="001432"/>
                <w:sz w:val="22"/>
                <w:szCs w:val="22"/>
                <w:lang w:val="el-GR"/>
              </w:rPr>
              <w:t>1</w:t>
            </w:r>
            <w:r w:rsidR="00D86736" w:rsidRPr="000F1D0F">
              <w:rPr>
                <w:rFonts w:ascii="Ping LCG Regular" w:hAnsi="Ping LCG Regular"/>
                <w:color w:val="001432"/>
                <w:sz w:val="22"/>
                <w:szCs w:val="22"/>
                <w:lang w:val="el-GR"/>
              </w:rPr>
              <w:t xml:space="preserve">0 </w:t>
            </w:r>
            <w:r>
              <w:rPr>
                <w:rFonts w:ascii="Ping LCG Regular" w:hAnsi="Ping LCG Regular"/>
                <w:color w:val="001432"/>
                <w:sz w:val="22"/>
                <w:szCs w:val="22"/>
                <w:lang w:val="el-GR"/>
              </w:rPr>
              <w:t>Μαρτίου</w:t>
            </w:r>
            <w:r w:rsidR="00D86736" w:rsidRPr="000F1D0F">
              <w:rPr>
                <w:rFonts w:ascii="Ping LCG Regular" w:hAnsi="Ping LCG Regular"/>
                <w:color w:val="001432"/>
                <w:sz w:val="22"/>
                <w:szCs w:val="22"/>
                <w:lang w:val="el-GR"/>
              </w:rPr>
              <w:t xml:space="preserve"> 202</w:t>
            </w:r>
            <w:r>
              <w:rPr>
                <w:rFonts w:ascii="Ping LCG Regular" w:hAnsi="Ping LCG Regular"/>
                <w:color w:val="001432"/>
                <w:sz w:val="22"/>
                <w:szCs w:val="22"/>
                <w:lang w:val="el-GR"/>
              </w:rPr>
              <w:t>5</w:t>
            </w:r>
          </w:p>
          <w:p w14:paraId="7CB8A894" w14:textId="77777777" w:rsidR="00D86736" w:rsidRPr="000F1D0F" w:rsidRDefault="00D86736" w:rsidP="0082267B">
            <w:pPr>
              <w:rPr>
                <w:rFonts w:ascii="Ping LCG Regular" w:hAnsi="Ping LCG Regular"/>
                <w:color w:val="001432"/>
                <w:sz w:val="22"/>
                <w:szCs w:val="22"/>
                <w:lang w:val="el-GR"/>
              </w:rPr>
            </w:pPr>
          </w:p>
          <w:p w14:paraId="53284208" w14:textId="77777777" w:rsidR="00D86736" w:rsidRPr="000F1D0F" w:rsidRDefault="00D86736" w:rsidP="0082267B">
            <w:pPr>
              <w:rPr>
                <w:rFonts w:ascii="Ping LCG Regular" w:hAnsi="Ping LCG Regular"/>
                <w:color w:val="001432"/>
                <w:sz w:val="22"/>
                <w:szCs w:val="22"/>
                <w:lang w:val="el-GR"/>
              </w:rPr>
            </w:pPr>
            <w:r w:rsidRPr="000F1D0F">
              <w:rPr>
                <w:rFonts w:ascii="Ping LCG Regular" w:hAnsi="Ping LCG Regular"/>
                <w:color w:val="001432"/>
                <w:sz w:val="22"/>
                <w:szCs w:val="22"/>
                <w:lang w:val="el-GR"/>
              </w:rPr>
              <w:t>Από το Γραφείο Τύπου</w:t>
            </w:r>
          </w:p>
        </w:tc>
      </w:tr>
    </w:tbl>
    <w:p w14:paraId="55474548" w14:textId="77777777" w:rsidR="00D86736" w:rsidRPr="000F1D0F" w:rsidRDefault="00D86736">
      <w:pPr>
        <w:rPr>
          <w:rFonts w:ascii="Ping LCG Regular" w:hAnsi="Ping LCG Regular"/>
          <w:color w:val="001432"/>
          <w:sz w:val="22"/>
          <w:szCs w:val="22"/>
          <w:lang w:val="el-GR"/>
        </w:rPr>
      </w:pPr>
    </w:p>
    <w:sectPr w:rsidR="00D86736" w:rsidRPr="000F1D0F" w:rsidSect="004125CD">
      <w:headerReference w:type="default" r:id="rId6"/>
      <w:footerReference w:type="even" r:id="rId7"/>
      <w:footerReference w:type="default" r:id="rId8"/>
      <w:pgSz w:w="11900" w:h="16840"/>
      <w:pgMar w:top="5999" w:right="1440" w:bottom="1440" w:left="1440"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F349" w14:textId="77777777" w:rsidR="00816D39" w:rsidRDefault="00816D39" w:rsidP="00973EA4">
      <w:r>
        <w:separator/>
      </w:r>
    </w:p>
  </w:endnote>
  <w:endnote w:type="continuationSeparator" w:id="0">
    <w:p w14:paraId="274A795A" w14:textId="77777777" w:rsidR="00816D39" w:rsidRDefault="00816D39" w:rsidP="0097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ing LCG">
    <w:altName w:val="Calibri"/>
    <w:panose1 w:val="00000000000000000000"/>
    <w:charset w:val="00"/>
    <w:family w:val="auto"/>
    <w:notTrueType/>
    <w:pitch w:val="variable"/>
    <w:sig w:usb0="E00002FF" w:usb1="5001E47B" w:usb2="00000000" w:usb3="00000000" w:csb0="0000019F" w:csb1="00000000"/>
  </w:font>
  <w:font w:name="Times New Roman (Body CS)">
    <w:altName w:val="Times New Roman"/>
    <w:panose1 w:val="00000000000000000000"/>
    <w:charset w:val="00"/>
    <w:family w:val="roman"/>
    <w:notTrueType/>
    <w:pitch w:val="default"/>
  </w:font>
  <w:font w:name="Ping LCG Medium">
    <w:altName w:val="Calibri"/>
    <w:panose1 w:val="00000000000000000000"/>
    <w:charset w:val="00"/>
    <w:family w:val="modern"/>
    <w:notTrueType/>
    <w:pitch w:val="variable"/>
    <w:sig w:usb0="E00002FF" w:usb1="5001E47B" w:usb2="00000000" w:usb3="00000000" w:csb0="0000019F" w:csb1="00000000"/>
  </w:font>
  <w:font w:name="Ping LCG Regular">
    <w:altName w:val="Calibri"/>
    <w:panose1 w:val="00000000000000000000"/>
    <w:charset w:val="00"/>
    <w:family w:val="modern"/>
    <w:notTrueType/>
    <w:pitch w:val="variable"/>
    <w:sig w:usb0="E00002FF" w:usb1="5001E47B"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513595288"/>
      <w:docPartObj>
        <w:docPartGallery w:val="Page Numbers (Bottom of Page)"/>
        <w:docPartUnique/>
      </w:docPartObj>
    </w:sdtPr>
    <w:sdtContent>
      <w:p w14:paraId="06C5D58A" w14:textId="3650C00F" w:rsidR="004125CD" w:rsidRDefault="004125CD" w:rsidP="00A476CF">
        <w:pPr>
          <w:pStyle w:val="a8"/>
          <w:framePr w:wrap="none" w:vAnchor="text" w:hAnchor="margin" w:y="1"/>
          <w:rPr>
            <w:rStyle w:val="ab"/>
          </w:rPr>
        </w:pPr>
        <w:r>
          <w:rPr>
            <w:rStyle w:val="ab"/>
          </w:rPr>
          <w:fldChar w:fldCharType="begin"/>
        </w:r>
        <w:r>
          <w:rPr>
            <w:rStyle w:val="ab"/>
          </w:rPr>
          <w:instrText xml:space="preserve"> PAGE </w:instrText>
        </w:r>
        <w:r>
          <w:rPr>
            <w:rStyle w:val="ab"/>
          </w:rPr>
          <w:fldChar w:fldCharType="end"/>
        </w:r>
      </w:p>
    </w:sdtContent>
  </w:sdt>
  <w:p w14:paraId="7C6981B3" w14:textId="77777777" w:rsidR="004125CD" w:rsidRDefault="004125CD" w:rsidP="004125CD">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32"/>
      <w:gridCol w:w="1826"/>
      <w:gridCol w:w="2330"/>
      <w:gridCol w:w="1922"/>
    </w:tblGrid>
    <w:tr w:rsidR="00122361" w:rsidRPr="000D6337" w14:paraId="2A9A5CE8" w14:textId="77777777" w:rsidTr="004A2158">
      <w:tc>
        <w:tcPr>
          <w:tcW w:w="2932" w:type="dxa"/>
          <w:vAlign w:val="bottom"/>
        </w:tcPr>
        <w:p w14:paraId="5411FA77" w14:textId="77777777" w:rsidR="00A2702C" w:rsidRPr="000D6337" w:rsidRDefault="00A2702C" w:rsidP="0023349E">
          <w:pPr>
            <w:pStyle w:val="a8"/>
            <w:rPr>
              <w:rFonts w:ascii="Ping LCG Medium" w:hAnsi="Ping LCG Medium"/>
              <w:color w:val="001432"/>
              <w:sz w:val="16"/>
              <w:szCs w:val="16"/>
              <w:lang w:val="el-GR"/>
            </w:rPr>
          </w:pPr>
          <w:r w:rsidRPr="000D6337">
            <w:rPr>
              <w:rFonts w:ascii="Ping LCG Medium" w:hAnsi="Ping LCG Medium"/>
              <w:color w:val="001432"/>
              <w:sz w:val="16"/>
              <w:szCs w:val="16"/>
              <w:lang w:val="el-GR"/>
            </w:rPr>
            <w:t>Διαχειριστής Ελληνικού</w:t>
          </w:r>
        </w:p>
        <w:p w14:paraId="50C27E72" w14:textId="77777777" w:rsidR="00A2702C" w:rsidRPr="000D6337" w:rsidRDefault="00A2702C" w:rsidP="00A2702C">
          <w:pPr>
            <w:pStyle w:val="a8"/>
            <w:rPr>
              <w:rFonts w:ascii="Ping LCG Medium" w:hAnsi="Ping LCG Medium"/>
              <w:color w:val="001432"/>
              <w:sz w:val="16"/>
              <w:szCs w:val="16"/>
              <w:lang w:val="el-GR"/>
            </w:rPr>
          </w:pPr>
          <w:r w:rsidRPr="000D6337">
            <w:rPr>
              <w:rFonts w:ascii="Ping LCG Medium" w:hAnsi="Ping LCG Medium"/>
              <w:color w:val="001432"/>
              <w:sz w:val="16"/>
              <w:szCs w:val="16"/>
              <w:lang w:val="el-GR"/>
            </w:rPr>
            <w:t>Δικτύου Διανομής</w:t>
          </w:r>
        </w:p>
        <w:p w14:paraId="5800EAE6" w14:textId="5079C5BD" w:rsidR="00A2702C" w:rsidRPr="000D6337" w:rsidRDefault="00A2702C" w:rsidP="00A2702C">
          <w:pPr>
            <w:pStyle w:val="a8"/>
            <w:rPr>
              <w:rFonts w:ascii="Ping LCG Medium" w:hAnsi="Ping LCG Medium"/>
              <w:color w:val="001432"/>
              <w:sz w:val="16"/>
              <w:szCs w:val="16"/>
              <w:lang w:val="el-GR"/>
            </w:rPr>
          </w:pPr>
          <w:r w:rsidRPr="000D6337">
            <w:rPr>
              <w:rFonts w:ascii="Ping LCG Medium" w:hAnsi="Ping LCG Medium"/>
              <w:color w:val="001432"/>
              <w:sz w:val="16"/>
              <w:szCs w:val="16"/>
              <w:lang w:val="el-GR"/>
            </w:rPr>
            <w:t xml:space="preserve">Ηλεκτρικής Ενέργειας </w:t>
          </w:r>
          <w:r w:rsidRPr="000D6337">
            <w:rPr>
              <w:rFonts w:ascii="Ping LCG Medium" w:hAnsi="Ping LCG Medium"/>
              <w:color w:val="001432"/>
              <w:sz w:val="16"/>
              <w:szCs w:val="16"/>
            </w:rPr>
            <w:t>A</w:t>
          </w:r>
          <w:r w:rsidRPr="000D6337">
            <w:rPr>
              <w:rFonts w:ascii="Ping LCG Medium" w:hAnsi="Ping LCG Medium"/>
              <w:color w:val="001432"/>
              <w:sz w:val="16"/>
              <w:szCs w:val="16"/>
              <w:lang w:val="el-GR"/>
            </w:rPr>
            <w:t>.</w:t>
          </w:r>
          <w:r w:rsidRPr="000D6337">
            <w:rPr>
              <w:rFonts w:ascii="Ping LCG Medium" w:hAnsi="Ping LCG Medium"/>
              <w:color w:val="001432"/>
              <w:sz w:val="16"/>
              <w:szCs w:val="16"/>
            </w:rPr>
            <w:t>E</w:t>
          </w:r>
          <w:r w:rsidRPr="000D6337">
            <w:rPr>
              <w:rFonts w:ascii="Ping LCG Medium" w:hAnsi="Ping LCG Medium"/>
              <w:color w:val="001432"/>
              <w:sz w:val="16"/>
              <w:szCs w:val="16"/>
              <w:lang w:val="el-GR"/>
            </w:rPr>
            <w:t>.</w:t>
          </w:r>
        </w:p>
      </w:tc>
      <w:tc>
        <w:tcPr>
          <w:tcW w:w="1826" w:type="dxa"/>
          <w:vAlign w:val="bottom"/>
        </w:tcPr>
        <w:p w14:paraId="53D36E89" w14:textId="3DA3DE9F" w:rsidR="00A2702C" w:rsidRPr="000D6337" w:rsidRDefault="00A2702C" w:rsidP="00A2702C">
          <w:pPr>
            <w:pStyle w:val="a8"/>
            <w:rPr>
              <w:rFonts w:ascii="Ping LCG Medium" w:hAnsi="Ping LCG Medium"/>
              <w:color w:val="001432"/>
              <w:sz w:val="16"/>
              <w:szCs w:val="16"/>
              <w:lang w:val="el-GR"/>
            </w:rPr>
          </w:pPr>
          <w:proofErr w:type="spellStart"/>
          <w:r w:rsidRPr="000D6337">
            <w:rPr>
              <w:rFonts w:ascii="Ping LCG Medium" w:hAnsi="Ping LCG Medium"/>
              <w:color w:val="001432"/>
              <w:sz w:val="16"/>
              <w:szCs w:val="16"/>
              <w:lang w:val="el-GR"/>
            </w:rPr>
            <w:t>Περραιβού</w:t>
          </w:r>
          <w:proofErr w:type="spellEnd"/>
          <w:r w:rsidRPr="000D6337">
            <w:rPr>
              <w:rFonts w:ascii="Ping LCG Medium" w:hAnsi="Ping LCG Medium"/>
              <w:color w:val="001432"/>
              <w:sz w:val="16"/>
              <w:szCs w:val="16"/>
              <w:lang w:val="el-GR"/>
            </w:rPr>
            <w:t xml:space="preserve"> 20 </w:t>
          </w:r>
        </w:p>
        <w:p w14:paraId="71446924" w14:textId="77777777" w:rsidR="00A2702C" w:rsidRPr="000D6337" w:rsidRDefault="00A2702C" w:rsidP="00A2702C">
          <w:pPr>
            <w:pStyle w:val="a8"/>
            <w:rPr>
              <w:rFonts w:ascii="Ping LCG Medium" w:hAnsi="Ping LCG Medium"/>
              <w:color w:val="001432"/>
              <w:sz w:val="16"/>
              <w:szCs w:val="16"/>
              <w:lang w:val="el-GR"/>
            </w:rPr>
          </w:pPr>
          <w:r w:rsidRPr="000D6337">
            <w:rPr>
              <w:rFonts w:ascii="Ping LCG Medium" w:hAnsi="Ping LCG Medium"/>
              <w:color w:val="001432"/>
              <w:sz w:val="16"/>
              <w:szCs w:val="16"/>
              <w:lang w:val="el-GR"/>
            </w:rPr>
            <w:t>&amp; Καλλιρρόης 5</w:t>
          </w:r>
        </w:p>
        <w:p w14:paraId="36405C63" w14:textId="68826F14" w:rsidR="00A2702C" w:rsidRPr="000D6337" w:rsidRDefault="00A2702C" w:rsidP="00A2702C">
          <w:pPr>
            <w:pStyle w:val="a8"/>
            <w:rPr>
              <w:rFonts w:ascii="Ping LCG Medium" w:hAnsi="Ping LCG Medium"/>
              <w:color w:val="001432"/>
              <w:sz w:val="16"/>
              <w:szCs w:val="16"/>
              <w:lang w:val="el-GR"/>
            </w:rPr>
          </w:pPr>
          <w:r w:rsidRPr="000D6337">
            <w:rPr>
              <w:rFonts w:ascii="Ping LCG Medium" w:hAnsi="Ping LCG Medium"/>
              <w:color w:val="001432"/>
              <w:sz w:val="16"/>
              <w:szCs w:val="16"/>
              <w:lang w:val="el-GR"/>
            </w:rPr>
            <w:t>11743 Αθήνα</w:t>
          </w:r>
        </w:p>
      </w:tc>
      <w:tc>
        <w:tcPr>
          <w:tcW w:w="2330" w:type="dxa"/>
          <w:vAlign w:val="bottom"/>
        </w:tcPr>
        <w:p w14:paraId="43ADFC38" w14:textId="475FEE5A" w:rsidR="004125CD" w:rsidRPr="000D6337" w:rsidRDefault="004125CD" w:rsidP="004125CD">
          <w:pPr>
            <w:pStyle w:val="a8"/>
            <w:rPr>
              <w:rFonts w:ascii="Ping LCG Medium" w:hAnsi="Ping LCG Medium"/>
              <w:color w:val="001432"/>
              <w:sz w:val="16"/>
              <w:szCs w:val="16"/>
            </w:rPr>
          </w:pPr>
          <w:r w:rsidRPr="000D6337">
            <w:rPr>
              <w:rFonts w:ascii="Ping LCG Medium" w:hAnsi="Ping LCG Medium"/>
              <w:color w:val="001432"/>
              <w:sz w:val="16"/>
              <w:szCs w:val="16"/>
            </w:rPr>
            <w:t>T +30 210 92816</w:t>
          </w:r>
          <w:r w:rsidR="005866CB">
            <w:rPr>
              <w:rFonts w:ascii="Ping LCG Medium" w:hAnsi="Ping LCG Medium"/>
              <w:color w:val="001432"/>
              <w:sz w:val="16"/>
              <w:szCs w:val="16"/>
            </w:rPr>
            <w:t>32</w:t>
          </w:r>
        </w:p>
        <w:p w14:paraId="5E250BD8" w14:textId="724B4393" w:rsidR="00A2702C" w:rsidRPr="000D6337" w:rsidRDefault="005866CB" w:rsidP="004125CD">
          <w:pPr>
            <w:pStyle w:val="a8"/>
            <w:rPr>
              <w:rFonts w:ascii="Ping LCG Medium" w:hAnsi="Ping LCG Medium"/>
              <w:color w:val="001432"/>
              <w:sz w:val="16"/>
              <w:szCs w:val="16"/>
            </w:rPr>
          </w:pPr>
          <w:r>
            <w:rPr>
              <w:rFonts w:ascii="Ping LCG Medium" w:hAnsi="Ping LCG Medium"/>
              <w:color w:val="001432"/>
              <w:sz w:val="16"/>
              <w:szCs w:val="16"/>
            </w:rPr>
            <w:t>grafeiotypou</w:t>
          </w:r>
          <w:r w:rsidRPr="005665C6">
            <w:rPr>
              <w:rFonts w:ascii="Ping LCG Medium" w:hAnsi="Ping LCG Medium"/>
              <w:color w:val="001432"/>
              <w:sz w:val="16"/>
              <w:szCs w:val="16"/>
            </w:rPr>
            <w:t>@deddie.gr</w:t>
          </w:r>
        </w:p>
      </w:tc>
      <w:tc>
        <w:tcPr>
          <w:tcW w:w="1922" w:type="dxa"/>
          <w:vAlign w:val="bottom"/>
        </w:tcPr>
        <w:p w14:paraId="4E443B0E" w14:textId="2933ABE0" w:rsidR="00A2702C" w:rsidRPr="000D6337" w:rsidRDefault="004125CD" w:rsidP="004125CD">
          <w:pPr>
            <w:pStyle w:val="a8"/>
            <w:jc w:val="right"/>
            <w:rPr>
              <w:rFonts w:ascii="Ping LCG Medium" w:hAnsi="Ping LCG Medium"/>
              <w:color w:val="001432"/>
              <w:sz w:val="16"/>
              <w:szCs w:val="16"/>
            </w:rPr>
          </w:pPr>
          <w:r w:rsidRPr="000D6337">
            <w:rPr>
              <w:rFonts w:ascii="Ping LCG Medium" w:hAnsi="Ping LCG Medium"/>
              <w:color w:val="001432"/>
              <w:sz w:val="16"/>
              <w:szCs w:val="16"/>
            </w:rPr>
            <w:t>deddie.gr</w:t>
          </w:r>
        </w:p>
      </w:tc>
    </w:tr>
  </w:tbl>
  <w:p w14:paraId="46D4CDCF" w14:textId="20C33239" w:rsidR="00973EA4" w:rsidRPr="00122361" w:rsidRDefault="00973EA4">
    <w:pPr>
      <w:pStyle w:val="a8"/>
      <w:rPr>
        <w:rFonts w:ascii="Ping LCG Medium" w:hAnsi="Ping LCG Medium"/>
        <w:color w:val="001432"/>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66A1" w14:textId="77777777" w:rsidR="00816D39" w:rsidRDefault="00816D39" w:rsidP="00973EA4">
      <w:r>
        <w:separator/>
      </w:r>
    </w:p>
  </w:footnote>
  <w:footnote w:type="continuationSeparator" w:id="0">
    <w:p w14:paraId="562CD8DE" w14:textId="77777777" w:rsidR="00816D39" w:rsidRDefault="00816D39" w:rsidP="0097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B427" w14:textId="4E9F8A66" w:rsidR="00973EA4" w:rsidRPr="00973EA4" w:rsidRDefault="00122361" w:rsidP="00973EA4">
    <w:pPr>
      <w:pStyle w:val="a7"/>
    </w:pPr>
    <w:r>
      <w:rPr>
        <w:noProof/>
        <w:lang w:val="el-GR" w:eastAsia="el-GR"/>
      </w:rPr>
      <w:drawing>
        <wp:anchor distT="0" distB="0" distL="114300" distR="114300" simplePos="0" relativeHeight="251660288" behindDoc="1" locked="0" layoutInCell="1" allowOverlap="1" wp14:anchorId="7E4690E4" wp14:editId="01F606A8">
          <wp:simplePos x="0" y="0"/>
          <wp:positionH relativeFrom="page">
            <wp:posOffset>0</wp:posOffset>
          </wp:positionH>
          <wp:positionV relativeFrom="page">
            <wp:posOffset>0</wp:posOffset>
          </wp:positionV>
          <wp:extent cx="7566025" cy="3599815"/>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ght-mauve.png"/>
                  <pic:cNvPicPr/>
                </pic:nvPicPr>
                <pic:blipFill>
                  <a:blip r:embed="rId1">
                    <a:extLst>
                      <a:ext uri="{28A0092B-C50C-407E-A947-70E740481C1C}">
                        <a14:useLocalDpi xmlns:a14="http://schemas.microsoft.com/office/drawing/2010/main" val="0"/>
                      </a:ext>
                    </a:extLst>
                  </a:blip>
                  <a:stretch>
                    <a:fillRect/>
                  </a:stretch>
                </pic:blipFill>
                <pic:spPr>
                  <a:xfrm>
                    <a:off x="0" y="0"/>
                    <a:ext cx="7566025" cy="3599815"/>
                  </a:xfrm>
                  <a:prstGeom prst="rect">
                    <a:avLst/>
                  </a:prstGeom>
                </pic:spPr>
              </pic:pic>
            </a:graphicData>
          </a:graphic>
          <wp14:sizeRelH relativeFrom="margin">
            <wp14:pctWidth>0</wp14:pctWidth>
          </wp14:sizeRelH>
          <wp14:sizeRelV relativeFrom="margin">
            <wp14:pctHeight>0</wp14:pctHeight>
          </wp14:sizeRelV>
        </wp:anchor>
      </w:drawing>
    </w:r>
    <w:r>
      <w:rPr>
        <w:noProof/>
        <w:lang w:val="el-GR" w:eastAsia="el-GR"/>
      </w:rPr>
      <w:drawing>
        <wp:anchor distT="0" distB="0" distL="114300" distR="114300" simplePos="0" relativeHeight="251662336" behindDoc="1" locked="0" layoutInCell="1" allowOverlap="1" wp14:anchorId="0CA0E12B" wp14:editId="745A9764">
          <wp:simplePos x="0" y="0"/>
          <wp:positionH relativeFrom="column">
            <wp:posOffset>4110824</wp:posOffset>
          </wp:positionH>
          <wp:positionV relativeFrom="page">
            <wp:posOffset>1760910</wp:posOffset>
          </wp:positionV>
          <wp:extent cx="1602000" cy="813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ddie-dark-from Pantone.png"/>
                  <pic:cNvPicPr/>
                </pic:nvPicPr>
                <pic:blipFill>
                  <a:blip r:embed="rId2">
                    <a:extLst>
                      <a:ext uri="{28A0092B-C50C-407E-A947-70E740481C1C}">
                        <a14:useLocalDpi xmlns:a14="http://schemas.microsoft.com/office/drawing/2010/main" val="0"/>
                      </a:ext>
                    </a:extLst>
                  </a:blip>
                  <a:stretch>
                    <a:fillRect/>
                  </a:stretch>
                </pic:blipFill>
                <pic:spPr>
                  <a:xfrm>
                    <a:off x="0" y="0"/>
                    <a:ext cx="1602000" cy="813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A4"/>
    <w:rsid w:val="000D6337"/>
    <w:rsid w:val="000F1D0F"/>
    <w:rsid w:val="00122361"/>
    <w:rsid w:val="001C3371"/>
    <w:rsid w:val="0023349E"/>
    <w:rsid w:val="00233B91"/>
    <w:rsid w:val="0031131B"/>
    <w:rsid w:val="00311BC8"/>
    <w:rsid w:val="00396145"/>
    <w:rsid w:val="004125CD"/>
    <w:rsid w:val="00456EBC"/>
    <w:rsid w:val="004676AF"/>
    <w:rsid w:val="00490629"/>
    <w:rsid w:val="00495243"/>
    <w:rsid w:val="004A2158"/>
    <w:rsid w:val="004E0C50"/>
    <w:rsid w:val="00504D25"/>
    <w:rsid w:val="00533F91"/>
    <w:rsid w:val="00546581"/>
    <w:rsid w:val="005866CB"/>
    <w:rsid w:val="00656F47"/>
    <w:rsid w:val="00684612"/>
    <w:rsid w:val="00692787"/>
    <w:rsid w:val="006A768E"/>
    <w:rsid w:val="006D3593"/>
    <w:rsid w:val="006F43B6"/>
    <w:rsid w:val="007E627B"/>
    <w:rsid w:val="007F1A2D"/>
    <w:rsid w:val="00816D39"/>
    <w:rsid w:val="008419F0"/>
    <w:rsid w:val="008529C4"/>
    <w:rsid w:val="009118EE"/>
    <w:rsid w:val="00973EA4"/>
    <w:rsid w:val="00A24596"/>
    <w:rsid w:val="00A2702C"/>
    <w:rsid w:val="00A72FAA"/>
    <w:rsid w:val="00B14835"/>
    <w:rsid w:val="00B2116E"/>
    <w:rsid w:val="00C45E05"/>
    <w:rsid w:val="00D86736"/>
    <w:rsid w:val="00E23D5E"/>
    <w:rsid w:val="00E431D5"/>
    <w:rsid w:val="00EE3D68"/>
    <w:rsid w:val="00F15C39"/>
    <w:rsid w:val="00F21D45"/>
    <w:rsid w:val="00F31F29"/>
    <w:rsid w:val="00F8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FD9F6"/>
  <w15:chartTrackingRefBased/>
  <w15:docId w15:val="{EF770E26-6F04-2E4D-AC5D-CD68577E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E05"/>
    <w:rPr>
      <w:rFonts w:ascii="Ping LCG" w:hAnsi="Ping LCG" w:cs="Times New Roman (Body CS)"/>
    </w:rPr>
  </w:style>
  <w:style w:type="paragraph" w:styleId="1">
    <w:name w:val="heading 1"/>
    <w:basedOn w:val="a"/>
    <w:next w:val="a"/>
    <w:link w:val="1Char"/>
    <w:autoRedefine/>
    <w:uiPriority w:val="9"/>
    <w:qFormat/>
    <w:rsid w:val="00C45E05"/>
    <w:pPr>
      <w:keepNext/>
      <w:keepLines/>
      <w:spacing w:before="240"/>
      <w:outlineLvl w:val="0"/>
    </w:pPr>
    <w:rPr>
      <w:rFonts w:eastAsiaTheme="majorEastAsia"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C45E05"/>
    <w:pPr>
      <w:contextualSpacing/>
    </w:pPr>
    <w:rPr>
      <w:rFonts w:eastAsiaTheme="majorEastAsia" w:cstheme="majorBidi"/>
      <w:spacing w:val="-10"/>
      <w:kern w:val="28"/>
      <w:sz w:val="56"/>
      <w:szCs w:val="56"/>
    </w:rPr>
  </w:style>
  <w:style w:type="character" w:customStyle="1" w:styleId="Char">
    <w:name w:val="Τίτλος Char"/>
    <w:basedOn w:val="a0"/>
    <w:link w:val="a3"/>
    <w:uiPriority w:val="10"/>
    <w:rsid w:val="00C45E05"/>
    <w:rPr>
      <w:rFonts w:ascii="Ping LCG" w:eastAsiaTheme="majorEastAsia" w:hAnsi="Ping LCG" w:cstheme="majorBidi"/>
      <w:spacing w:val="-10"/>
      <w:kern w:val="28"/>
      <w:sz w:val="56"/>
      <w:szCs w:val="56"/>
    </w:rPr>
  </w:style>
  <w:style w:type="character" w:customStyle="1" w:styleId="1Char">
    <w:name w:val="Επικεφαλίδα 1 Char"/>
    <w:basedOn w:val="a0"/>
    <w:link w:val="1"/>
    <w:uiPriority w:val="9"/>
    <w:rsid w:val="00C45E05"/>
    <w:rPr>
      <w:rFonts w:ascii="Ping LCG" w:eastAsiaTheme="majorEastAsia" w:hAnsi="Ping LCG" w:cstheme="majorBidi"/>
      <w:color w:val="2F5496" w:themeColor="accent1" w:themeShade="BF"/>
      <w:sz w:val="32"/>
      <w:szCs w:val="32"/>
    </w:rPr>
  </w:style>
  <w:style w:type="paragraph" w:styleId="a4">
    <w:name w:val="Subtitle"/>
    <w:basedOn w:val="a"/>
    <w:next w:val="a"/>
    <w:link w:val="Char0"/>
    <w:autoRedefine/>
    <w:uiPriority w:val="11"/>
    <w:qFormat/>
    <w:rsid w:val="00C45E05"/>
    <w:pPr>
      <w:numPr>
        <w:ilvl w:val="1"/>
      </w:numPr>
      <w:spacing w:after="160"/>
    </w:pPr>
    <w:rPr>
      <w:rFonts w:eastAsiaTheme="minorEastAsia" w:cstheme="minorBidi"/>
      <w:color w:val="5A5A5A" w:themeColor="text1" w:themeTint="A5"/>
      <w:spacing w:val="15"/>
      <w:sz w:val="22"/>
      <w:szCs w:val="22"/>
    </w:rPr>
  </w:style>
  <w:style w:type="character" w:customStyle="1" w:styleId="Char0">
    <w:name w:val="Υπότιτλος Char"/>
    <w:basedOn w:val="a0"/>
    <w:link w:val="a4"/>
    <w:uiPriority w:val="11"/>
    <w:rsid w:val="00C45E05"/>
    <w:rPr>
      <w:rFonts w:ascii="Ping LCG" w:eastAsiaTheme="minorEastAsia" w:hAnsi="Ping LCG"/>
      <w:color w:val="5A5A5A" w:themeColor="text1" w:themeTint="A5"/>
      <w:spacing w:val="15"/>
      <w:sz w:val="22"/>
      <w:szCs w:val="22"/>
    </w:rPr>
  </w:style>
  <w:style w:type="character" w:styleId="a5">
    <w:name w:val="Subtle Emphasis"/>
    <w:basedOn w:val="a0"/>
    <w:uiPriority w:val="19"/>
    <w:qFormat/>
    <w:rsid w:val="00C45E05"/>
    <w:rPr>
      <w:rFonts w:ascii="Ping LCG" w:hAnsi="Ping LCG"/>
      <w:i/>
      <w:iCs/>
      <w:color w:val="404040" w:themeColor="text1" w:themeTint="BF"/>
    </w:rPr>
  </w:style>
  <w:style w:type="character" w:styleId="a6">
    <w:name w:val="Strong"/>
    <w:basedOn w:val="a0"/>
    <w:uiPriority w:val="22"/>
    <w:qFormat/>
    <w:rsid w:val="00C45E05"/>
    <w:rPr>
      <w:rFonts w:ascii="Ping LCG" w:hAnsi="Ping LCG"/>
      <w:b/>
      <w:bCs/>
    </w:rPr>
  </w:style>
  <w:style w:type="paragraph" w:styleId="a7">
    <w:name w:val="header"/>
    <w:basedOn w:val="a"/>
    <w:link w:val="Char1"/>
    <w:uiPriority w:val="99"/>
    <w:unhideWhenUsed/>
    <w:rsid w:val="00973EA4"/>
    <w:pPr>
      <w:tabs>
        <w:tab w:val="center" w:pos="4680"/>
        <w:tab w:val="right" w:pos="9360"/>
      </w:tabs>
    </w:pPr>
  </w:style>
  <w:style w:type="character" w:customStyle="1" w:styleId="Char1">
    <w:name w:val="Κεφαλίδα Char"/>
    <w:basedOn w:val="a0"/>
    <w:link w:val="a7"/>
    <w:uiPriority w:val="99"/>
    <w:rsid w:val="00973EA4"/>
    <w:rPr>
      <w:rFonts w:ascii="Ping LCG" w:hAnsi="Ping LCG" w:cs="Times New Roman (Body CS)"/>
    </w:rPr>
  </w:style>
  <w:style w:type="paragraph" w:styleId="a8">
    <w:name w:val="footer"/>
    <w:basedOn w:val="a"/>
    <w:link w:val="Char2"/>
    <w:uiPriority w:val="99"/>
    <w:unhideWhenUsed/>
    <w:rsid w:val="00973EA4"/>
    <w:pPr>
      <w:tabs>
        <w:tab w:val="center" w:pos="4680"/>
        <w:tab w:val="right" w:pos="9360"/>
      </w:tabs>
    </w:pPr>
  </w:style>
  <w:style w:type="character" w:customStyle="1" w:styleId="Char2">
    <w:name w:val="Υποσέλιδο Char"/>
    <w:basedOn w:val="a0"/>
    <w:link w:val="a8"/>
    <w:uiPriority w:val="99"/>
    <w:rsid w:val="00973EA4"/>
    <w:rPr>
      <w:rFonts w:ascii="Ping LCG" w:hAnsi="Ping LCG" w:cs="Times New Roman (Body CS)"/>
    </w:rPr>
  </w:style>
  <w:style w:type="paragraph" w:styleId="a9">
    <w:name w:val="Balloon Text"/>
    <w:basedOn w:val="a"/>
    <w:link w:val="Char3"/>
    <w:uiPriority w:val="99"/>
    <w:semiHidden/>
    <w:unhideWhenUsed/>
    <w:rsid w:val="00973EA4"/>
    <w:rPr>
      <w:rFonts w:ascii="Times New Roman" w:hAnsi="Times New Roman" w:cs="Times New Roman"/>
      <w:sz w:val="18"/>
      <w:szCs w:val="18"/>
    </w:rPr>
  </w:style>
  <w:style w:type="character" w:customStyle="1" w:styleId="Char3">
    <w:name w:val="Κείμενο πλαισίου Char"/>
    <w:basedOn w:val="a0"/>
    <w:link w:val="a9"/>
    <w:uiPriority w:val="99"/>
    <w:semiHidden/>
    <w:rsid w:val="00973EA4"/>
    <w:rPr>
      <w:rFonts w:ascii="Times New Roman" w:hAnsi="Times New Roman" w:cs="Times New Roman"/>
      <w:sz w:val="18"/>
      <w:szCs w:val="18"/>
    </w:rPr>
  </w:style>
  <w:style w:type="table" w:styleId="aa">
    <w:name w:val="Table Grid"/>
    <w:basedOn w:val="a1"/>
    <w:uiPriority w:val="39"/>
    <w:rsid w:val="00973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semiHidden/>
    <w:unhideWhenUsed/>
    <w:rsid w:val="0041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Dimitris Korderas</cp:lastModifiedBy>
  <cp:revision>2</cp:revision>
  <dcterms:created xsi:type="dcterms:W3CDTF">2025-03-10T15:13:00Z</dcterms:created>
  <dcterms:modified xsi:type="dcterms:W3CDTF">2025-03-10T15:13:00Z</dcterms:modified>
</cp:coreProperties>
</file>