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203"/>
        <w:gridCol w:w="1089"/>
      </w:tblGrid>
      <w:tr w:rsidR="00E00F8D" w:rsidRPr="00E00F8D" w14:paraId="6B3D2F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5AE0DD" w14:textId="1E1B4008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Κύρια Χρηματοοικονομικά Μεγέθη 2025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Alpha</w:t>
            </w:r>
            <w:r w:rsidRPr="00E00F8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14:paraId="67713BA6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Εννεάμηνο</w:t>
            </w:r>
          </w:p>
        </w:tc>
        <w:tc>
          <w:tcPr>
            <w:tcW w:w="0" w:type="auto"/>
            <w:vAlign w:val="center"/>
            <w:hideMark/>
          </w:tcPr>
          <w:p w14:paraId="7E0A4670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Γ’ Τρίμηνο</w:t>
            </w:r>
          </w:p>
        </w:tc>
      </w:tr>
      <w:tr w:rsidR="00E00F8D" w:rsidRPr="00E00F8D" w14:paraId="64E42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5E740" w14:textId="77777777" w:rsidR="00E00F8D" w:rsidRPr="00E00F8D" w:rsidRDefault="00E00F8D" w:rsidP="00E00F8D">
            <w:r w:rsidRPr="00E00F8D">
              <w:t>Κέρδη μετά από Φόρους</w:t>
            </w:r>
          </w:p>
        </w:tc>
        <w:tc>
          <w:tcPr>
            <w:tcW w:w="0" w:type="auto"/>
            <w:vAlign w:val="center"/>
            <w:hideMark/>
          </w:tcPr>
          <w:p w14:paraId="6B95508C" w14:textId="77777777" w:rsidR="00E00F8D" w:rsidRPr="00E00F8D" w:rsidRDefault="00E00F8D" w:rsidP="00E00F8D">
            <w:r w:rsidRPr="00E00F8D">
              <w:t>€703,7 εκατ.</w:t>
            </w:r>
          </w:p>
        </w:tc>
        <w:tc>
          <w:tcPr>
            <w:tcW w:w="0" w:type="auto"/>
            <w:vAlign w:val="center"/>
            <w:hideMark/>
          </w:tcPr>
          <w:p w14:paraId="5A4003F1" w14:textId="77777777" w:rsidR="00E00F8D" w:rsidRPr="00E00F8D" w:rsidRDefault="00E00F8D" w:rsidP="00E00F8D">
            <w:r w:rsidRPr="00E00F8D">
              <w:t>€186,7 εκατ.</w:t>
            </w:r>
          </w:p>
        </w:tc>
      </w:tr>
      <w:tr w:rsidR="00E00F8D" w:rsidRPr="00E00F8D" w14:paraId="29B31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C0D3" w14:textId="77777777" w:rsidR="00E00F8D" w:rsidRPr="00E00F8D" w:rsidRDefault="00E00F8D" w:rsidP="00E00F8D">
            <w:r w:rsidRPr="00E00F8D">
              <w:t>Προσαρμοσμένα¹ Κέρδη μετά από Φόρους</w:t>
            </w:r>
          </w:p>
        </w:tc>
        <w:tc>
          <w:tcPr>
            <w:tcW w:w="0" w:type="auto"/>
            <w:vAlign w:val="center"/>
            <w:hideMark/>
          </w:tcPr>
          <w:p w14:paraId="46F02FA6" w14:textId="77777777" w:rsidR="00E00F8D" w:rsidRPr="00E00F8D" w:rsidRDefault="00E00F8D" w:rsidP="00E00F8D">
            <w:r w:rsidRPr="00E00F8D">
              <w:t>€677,1 εκατ.</w:t>
            </w:r>
          </w:p>
        </w:tc>
        <w:tc>
          <w:tcPr>
            <w:tcW w:w="0" w:type="auto"/>
            <w:vAlign w:val="center"/>
            <w:hideMark/>
          </w:tcPr>
          <w:p w14:paraId="0760DAB6" w14:textId="77777777" w:rsidR="00E00F8D" w:rsidRPr="00E00F8D" w:rsidRDefault="00E00F8D" w:rsidP="00E00F8D">
            <w:r w:rsidRPr="00E00F8D">
              <w:t>€217,2 εκατ.</w:t>
            </w:r>
          </w:p>
        </w:tc>
      </w:tr>
      <w:tr w:rsidR="00E00F8D" w:rsidRPr="00E00F8D" w14:paraId="4D145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DCE22" w14:textId="77777777" w:rsidR="00E00F8D" w:rsidRPr="00E00F8D" w:rsidRDefault="00E00F8D" w:rsidP="00E00F8D">
            <w:r w:rsidRPr="00E00F8D">
              <w:t>Δείκτης Απόδοσης Ενσώματων Ιδίων Κεφαλαίων (</w:t>
            </w:r>
            <w:proofErr w:type="spellStart"/>
            <w:r w:rsidRPr="00E00F8D">
              <w:t>RoTBV</w:t>
            </w:r>
            <w:proofErr w:type="spellEnd"/>
            <w:r w:rsidRPr="00E00F8D">
              <w:t>) με βάση τα Προσαρμοσμένα¹ Κέρδη</w:t>
            </w:r>
          </w:p>
        </w:tc>
        <w:tc>
          <w:tcPr>
            <w:tcW w:w="0" w:type="auto"/>
            <w:vAlign w:val="center"/>
            <w:hideMark/>
          </w:tcPr>
          <w:p w14:paraId="41C9DA06" w14:textId="77777777" w:rsidR="00E00F8D" w:rsidRPr="00E00F8D" w:rsidRDefault="00E00F8D" w:rsidP="00E00F8D">
            <w:r w:rsidRPr="00E00F8D">
              <w:t>13,9%</w:t>
            </w:r>
          </w:p>
        </w:tc>
        <w:tc>
          <w:tcPr>
            <w:tcW w:w="0" w:type="auto"/>
            <w:vAlign w:val="center"/>
            <w:hideMark/>
          </w:tcPr>
          <w:p w14:paraId="77BDF2B1" w14:textId="77777777" w:rsidR="00E00F8D" w:rsidRPr="00E00F8D" w:rsidRDefault="00E00F8D" w:rsidP="00E00F8D">
            <w:r w:rsidRPr="00E00F8D">
              <w:t>12,9%</w:t>
            </w:r>
          </w:p>
        </w:tc>
      </w:tr>
      <w:tr w:rsidR="00E00F8D" w:rsidRPr="00E00F8D" w14:paraId="093B5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9FCE5" w14:textId="77777777" w:rsidR="00E00F8D" w:rsidRPr="00E00F8D" w:rsidRDefault="00E00F8D" w:rsidP="00E00F8D">
            <w:r w:rsidRPr="00E00F8D">
              <w:t>Δείκτης FL CET1</w:t>
            </w:r>
          </w:p>
        </w:tc>
        <w:tc>
          <w:tcPr>
            <w:tcW w:w="0" w:type="auto"/>
            <w:vAlign w:val="center"/>
            <w:hideMark/>
          </w:tcPr>
          <w:p w14:paraId="65C78F64" w14:textId="77777777" w:rsidR="00E00F8D" w:rsidRPr="00E00F8D" w:rsidRDefault="00E00F8D" w:rsidP="00E00F8D">
            <w:r w:rsidRPr="00E00F8D">
              <w:t>15,7%</w:t>
            </w:r>
          </w:p>
        </w:tc>
        <w:tc>
          <w:tcPr>
            <w:tcW w:w="0" w:type="auto"/>
            <w:vAlign w:val="center"/>
            <w:hideMark/>
          </w:tcPr>
          <w:p w14:paraId="33D4E3FE" w14:textId="77777777" w:rsidR="00E00F8D" w:rsidRPr="00E00F8D" w:rsidRDefault="00E00F8D" w:rsidP="00E00F8D">
            <w:r w:rsidRPr="00E00F8D">
              <w:t>15,7%</w:t>
            </w:r>
          </w:p>
        </w:tc>
      </w:tr>
      <w:tr w:rsidR="00E00F8D" w:rsidRPr="00E00F8D" w14:paraId="02515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8537E" w14:textId="77777777" w:rsidR="00E00F8D" w:rsidRPr="00E00F8D" w:rsidRDefault="00E00F8D" w:rsidP="00E00F8D">
            <w:r w:rsidRPr="00E00F8D">
              <w:t>Ενσώματη Λογιστική Αξία ανά Μετοχή</w:t>
            </w:r>
          </w:p>
        </w:tc>
        <w:tc>
          <w:tcPr>
            <w:tcW w:w="0" w:type="auto"/>
            <w:vAlign w:val="center"/>
            <w:hideMark/>
          </w:tcPr>
          <w:p w14:paraId="05A7EA09" w14:textId="77777777" w:rsidR="00E00F8D" w:rsidRPr="00E00F8D" w:rsidRDefault="00E00F8D" w:rsidP="00E00F8D">
            <w:r w:rsidRPr="00E00F8D">
              <w:t>€3,28</w:t>
            </w:r>
          </w:p>
        </w:tc>
        <w:tc>
          <w:tcPr>
            <w:tcW w:w="0" w:type="auto"/>
            <w:vAlign w:val="center"/>
            <w:hideMark/>
          </w:tcPr>
          <w:p w14:paraId="15CA05E8" w14:textId="77777777" w:rsidR="00E00F8D" w:rsidRPr="00E00F8D" w:rsidRDefault="00E00F8D" w:rsidP="00E00F8D">
            <w:r w:rsidRPr="00E00F8D">
              <w:t>€3,28</w:t>
            </w:r>
          </w:p>
        </w:tc>
      </w:tr>
    </w:tbl>
    <w:p w14:paraId="24C4ABD4" w14:textId="5B0ED5CF" w:rsidR="007D690F" w:rsidRDefault="007D690F" w:rsidP="00E00F8D"/>
    <w:p w14:paraId="03725270" w14:textId="77777777" w:rsidR="00E00F8D" w:rsidRDefault="00E00F8D" w:rsidP="00E00F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4308"/>
      </w:tblGrid>
      <w:tr w:rsidR="00E00F8D" w:rsidRPr="00E00F8D" w14:paraId="2B3C2A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222F6" w14:textId="0126F330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Οικονομικά Αποτελέσματα</w:t>
            </w:r>
            <w:r>
              <w:rPr>
                <w:b/>
                <w:bCs/>
              </w:rPr>
              <w:t xml:space="preserve"> 9μήνου</w:t>
            </w:r>
            <w:r w:rsidRPr="00E00F8D">
              <w:rPr>
                <w:b/>
                <w:bCs/>
              </w:rPr>
              <w:t xml:space="preserve"> 2025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Eurobank</w:t>
            </w:r>
          </w:p>
        </w:tc>
        <w:tc>
          <w:tcPr>
            <w:tcW w:w="0" w:type="auto"/>
            <w:vAlign w:val="center"/>
            <w:hideMark/>
          </w:tcPr>
          <w:p w14:paraId="6884018B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Στοιχεία / Τιμές</w:t>
            </w:r>
          </w:p>
        </w:tc>
      </w:tr>
      <w:tr w:rsidR="00E00F8D" w:rsidRPr="00E00F8D" w14:paraId="66E2D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8BD57" w14:textId="77777777" w:rsidR="00E00F8D" w:rsidRPr="00E00F8D" w:rsidRDefault="00E00F8D" w:rsidP="00E00F8D">
            <w:r w:rsidRPr="00E00F8D">
              <w:t>Καθαρά κέρδη ανά μετοχή</w:t>
            </w:r>
          </w:p>
        </w:tc>
        <w:tc>
          <w:tcPr>
            <w:tcW w:w="0" w:type="auto"/>
            <w:vAlign w:val="center"/>
            <w:hideMark/>
          </w:tcPr>
          <w:p w14:paraId="07947F43" w14:textId="77777777" w:rsidR="00E00F8D" w:rsidRPr="00E00F8D" w:rsidRDefault="00E00F8D" w:rsidP="00E00F8D">
            <w:r w:rsidRPr="00E00F8D">
              <w:t>€0,28</w:t>
            </w:r>
          </w:p>
        </w:tc>
      </w:tr>
      <w:tr w:rsidR="00E00F8D" w:rsidRPr="00E00F8D" w14:paraId="7DC8C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2FA0" w14:textId="77777777" w:rsidR="00E00F8D" w:rsidRPr="00E00F8D" w:rsidRDefault="00E00F8D" w:rsidP="00E00F8D">
            <w:r w:rsidRPr="00E00F8D">
              <w:t>Απόδοση ενσώματων ιδίων κεφαλαίων</w:t>
            </w:r>
          </w:p>
        </w:tc>
        <w:tc>
          <w:tcPr>
            <w:tcW w:w="0" w:type="auto"/>
            <w:vAlign w:val="center"/>
            <w:hideMark/>
          </w:tcPr>
          <w:p w14:paraId="5F4BE623" w14:textId="77777777" w:rsidR="00E00F8D" w:rsidRPr="00E00F8D" w:rsidRDefault="00E00F8D" w:rsidP="00E00F8D">
            <w:r w:rsidRPr="00E00F8D">
              <w:t>16,2%</w:t>
            </w:r>
          </w:p>
        </w:tc>
      </w:tr>
      <w:tr w:rsidR="00E00F8D" w:rsidRPr="00E00F8D" w14:paraId="30B5B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3B303" w14:textId="77777777" w:rsidR="00E00F8D" w:rsidRPr="00E00F8D" w:rsidRDefault="00E00F8D" w:rsidP="00E00F8D">
            <w:r w:rsidRPr="00E00F8D">
              <w:t>Ενσώματα ίδια κεφάλαια ανά μετοχή</w:t>
            </w:r>
          </w:p>
        </w:tc>
        <w:tc>
          <w:tcPr>
            <w:tcW w:w="0" w:type="auto"/>
            <w:vAlign w:val="center"/>
            <w:hideMark/>
          </w:tcPr>
          <w:p w14:paraId="4C674458" w14:textId="77777777" w:rsidR="00E00F8D" w:rsidRPr="00E00F8D" w:rsidRDefault="00E00F8D" w:rsidP="00E00F8D">
            <w:r w:rsidRPr="00E00F8D">
              <w:t>€2,46</w:t>
            </w:r>
          </w:p>
        </w:tc>
      </w:tr>
      <w:tr w:rsidR="00E00F8D" w:rsidRPr="00E00F8D" w14:paraId="75859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1F7C" w14:textId="77777777" w:rsidR="00E00F8D" w:rsidRPr="00E00F8D" w:rsidRDefault="00E00F8D" w:rsidP="00E00F8D">
            <w:r w:rsidRPr="00E00F8D">
              <w:t>Ενδιάμεσο μέρισμα ανά μετοχή</w:t>
            </w:r>
          </w:p>
        </w:tc>
        <w:tc>
          <w:tcPr>
            <w:tcW w:w="0" w:type="auto"/>
            <w:vAlign w:val="center"/>
            <w:hideMark/>
          </w:tcPr>
          <w:p w14:paraId="34ECA513" w14:textId="77777777" w:rsidR="00E00F8D" w:rsidRPr="00E00F8D" w:rsidRDefault="00E00F8D" w:rsidP="00E00F8D">
            <w:r w:rsidRPr="00E00F8D">
              <w:t xml:space="preserve">€0,047 (4,7 </w:t>
            </w:r>
            <w:proofErr w:type="spellStart"/>
            <w:r w:rsidRPr="00E00F8D">
              <w:t>σεντ</w:t>
            </w:r>
            <w:proofErr w:type="spellEnd"/>
            <w:r w:rsidRPr="00E00F8D">
              <w:t>), πληρωτέο 12/11/2025</w:t>
            </w:r>
          </w:p>
        </w:tc>
      </w:tr>
      <w:tr w:rsidR="00E00F8D" w:rsidRPr="00E00F8D" w14:paraId="1999C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513CE" w14:textId="77777777" w:rsidR="00E00F8D" w:rsidRPr="00E00F8D" w:rsidRDefault="00E00F8D" w:rsidP="00E00F8D">
            <w:r w:rsidRPr="00E00F8D">
              <w:t>Συνεισφορά εργασιών εκτός Ελλάδος στα προσαρμοσμένα καθαρά κέρδη</w:t>
            </w:r>
          </w:p>
        </w:tc>
        <w:tc>
          <w:tcPr>
            <w:tcW w:w="0" w:type="auto"/>
            <w:vAlign w:val="center"/>
            <w:hideMark/>
          </w:tcPr>
          <w:p w14:paraId="57E57A82" w14:textId="77777777" w:rsidR="00E00F8D" w:rsidRPr="00E00F8D" w:rsidRDefault="00E00F8D" w:rsidP="00E00F8D">
            <w:r w:rsidRPr="00E00F8D">
              <w:t>53%</w:t>
            </w:r>
          </w:p>
        </w:tc>
      </w:tr>
      <w:tr w:rsidR="00E00F8D" w:rsidRPr="00E00F8D" w14:paraId="7288F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77AF0" w14:textId="77777777" w:rsidR="00E00F8D" w:rsidRPr="00E00F8D" w:rsidRDefault="00E00F8D" w:rsidP="00E00F8D">
            <w:r w:rsidRPr="00E00F8D">
              <w:t>Οργανική αύξηση χορηγήσεων</w:t>
            </w:r>
          </w:p>
        </w:tc>
        <w:tc>
          <w:tcPr>
            <w:tcW w:w="0" w:type="auto"/>
            <w:vAlign w:val="center"/>
            <w:hideMark/>
          </w:tcPr>
          <w:p w14:paraId="46241D68" w14:textId="77777777" w:rsidR="00E00F8D" w:rsidRPr="00E00F8D" w:rsidRDefault="00E00F8D" w:rsidP="00E00F8D">
            <w:r w:rsidRPr="00E00F8D">
              <w:t>+€3,3 δισ.</w:t>
            </w:r>
          </w:p>
        </w:tc>
      </w:tr>
      <w:tr w:rsidR="00E00F8D" w:rsidRPr="00E00F8D" w14:paraId="09335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83293" w14:textId="77777777" w:rsidR="00E00F8D" w:rsidRPr="00E00F8D" w:rsidRDefault="00E00F8D" w:rsidP="00E00F8D">
            <w:r w:rsidRPr="00E00F8D">
              <w:t>Αύξηση καταθέσεων</w:t>
            </w:r>
          </w:p>
        </w:tc>
        <w:tc>
          <w:tcPr>
            <w:tcW w:w="0" w:type="auto"/>
            <w:vAlign w:val="center"/>
            <w:hideMark/>
          </w:tcPr>
          <w:p w14:paraId="2BA8E3AE" w14:textId="77777777" w:rsidR="00E00F8D" w:rsidRPr="00E00F8D" w:rsidRDefault="00E00F8D" w:rsidP="00E00F8D">
            <w:r w:rsidRPr="00E00F8D">
              <w:t>+€0,4 δισ.</w:t>
            </w:r>
          </w:p>
        </w:tc>
      </w:tr>
      <w:tr w:rsidR="00E00F8D" w:rsidRPr="00E00F8D" w14:paraId="73E03B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2C049" w14:textId="77777777" w:rsidR="00E00F8D" w:rsidRPr="00E00F8D" w:rsidRDefault="00E00F8D" w:rsidP="00E00F8D">
            <w:r w:rsidRPr="00E00F8D">
              <w:t>Αύξηση αμοιβαίων κεφαλαίων υπό διαχείριση</w:t>
            </w:r>
          </w:p>
        </w:tc>
        <w:tc>
          <w:tcPr>
            <w:tcW w:w="0" w:type="auto"/>
            <w:vAlign w:val="center"/>
            <w:hideMark/>
          </w:tcPr>
          <w:p w14:paraId="1FF778C1" w14:textId="77777777" w:rsidR="00E00F8D" w:rsidRPr="00E00F8D" w:rsidRDefault="00E00F8D" w:rsidP="00E00F8D">
            <w:r w:rsidRPr="00E00F8D">
              <w:t>+€1,7 δισ.</w:t>
            </w:r>
          </w:p>
        </w:tc>
      </w:tr>
      <w:tr w:rsidR="00E00F8D" w:rsidRPr="00E00F8D" w14:paraId="55F75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6E6CD" w14:textId="77777777" w:rsidR="00E00F8D" w:rsidRPr="00E00F8D" w:rsidRDefault="00E00F8D" w:rsidP="00E00F8D">
            <w:r w:rsidRPr="00E00F8D">
              <w:t xml:space="preserve">Δείκτης συνολικής κεφαλαιακής επάρκειας (CAD, </w:t>
            </w:r>
            <w:proofErr w:type="spellStart"/>
            <w:r w:rsidRPr="00E00F8D">
              <w:t>pro-forma</w:t>
            </w:r>
            <w:proofErr w:type="spellEnd"/>
            <w:r w:rsidRPr="00E00F8D">
              <w:t>)</w:t>
            </w:r>
          </w:p>
        </w:tc>
        <w:tc>
          <w:tcPr>
            <w:tcW w:w="0" w:type="auto"/>
            <w:vAlign w:val="center"/>
            <w:hideMark/>
          </w:tcPr>
          <w:p w14:paraId="2CE12FE6" w14:textId="77777777" w:rsidR="00E00F8D" w:rsidRPr="00E00F8D" w:rsidRDefault="00E00F8D" w:rsidP="00E00F8D">
            <w:r w:rsidRPr="00E00F8D">
              <w:t>18,9%</w:t>
            </w:r>
          </w:p>
        </w:tc>
      </w:tr>
      <w:tr w:rsidR="00E00F8D" w:rsidRPr="00E00F8D" w14:paraId="701B2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AE4D2" w14:textId="77777777" w:rsidR="00E00F8D" w:rsidRPr="00E00F8D" w:rsidRDefault="00E00F8D" w:rsidP="00E00F8D">
            <w:r w:rsidRPr="00E00F8D">
              <w:t>Δείκτης CET1 (</w:t>
            </w:r>
            <w:proofErr w:type="spellStart"/>
            <w:r w:rsidRPr="00E00F8D">
              <w:t>pro-forma</w:t>
            </w:r>
            <w:proofErr w:type="spellEnd"/>
            <w:r w:rsidRPr="00E00F8D">
              <w:t>)</w:t>
            </w:r>
          </w:p>
        </w:tc>
        <w:tc>
          <w:tcPr>
            <w:tcW w:w="0" w:type="auto"/>
            <w:vAlign w:val="center"/>
            <w:hideMark/>
          </w:tcPr>
          <w:p w14:paraId="1608F13B" w14:textId="77777777" w:rsidR="00E00F8D" w:rsidRPr="00E00F8D" w:rsidRDefault="00E00F8D" w:rsidP="00E00F8D">
            <w:r w:rsidRPr="00E00F8D">
              <w:t>15,5%</w:t>
            </w:r>
          </w:p>
        </w:tc>
      </w:tr>
      <w:tr w:rsidR="00E00F8D" w:rsidRPr="00E00F8D" w14:paraId="7134A3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8D2F9" w14:textId="77777777" w:rsidR="00E00F8D" w:rsidRPr="00E00F8D" w:rsidRDefault="00E00F8D" w:rsidP="00E00F8D">
            <w:r w:rsidRPr="00E00F8D">
              <w:t>Δείκτης NPE</w:t>
            </w:r>
          </w:p>
        </w:tc>
        <w:tc>
          <w:tcPr>
            <w:tcW w:w="0" w:type="auto"/>
            <w:vAlign w:val="center"/>
            <w:hideMark/>
          </w:tcPr>
          <w:p w14:paraId="4AE2932B" w14:textId="77777777" w:rsidR="00E00F8D" w:rsidRPr="00E00F8D" w:rsidRDefault="00E00F8D" w:rsidP="00E00F8D">
            <w:r w:rsidRPr="00E00F8D">
              <w:t>2,8%</w:t>
            </w:r>
          </w:p>
        </w:tc>
      </w:tr>
      <w:tr w:rsidR="00E00F8D" w:rsidRPr="00E00F8D" w14:paraId="5A5D5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46381" w14:textId="77777777" w:rsidR="00E00F8D" w:rsidRPr="00E00F8D" w:rsidRDefault="00E00F8D" w:rsidP="00E00F8D">
            <w:r w:rsidRPr="00E00F8D">
              <w:t xml:space="preserve">Δείκτης προβλέψεων προς </w:t>
            </w:r>
            <w:proofErr w:type="spellStart"/>
            <w:r w:rsidRPr="00E00F8D">
              <w:t>NPEs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E9F4B2" w14:textId="77777777" w:rsidR="00E00F8D" w:rsidRPr="00E00F8D" w:rsidRDefault="00E00F8D" w:rsidP="00E00F8D">
            <w:r w:rsidRPr="00E00F8D">
              <w:t>94,0%</w:t>
            </w:r>
          </w:p>
        </w:tc>
      </w:tr>
      <w:tr w:rsidR="00E00F8D" w:rsidRPr="00E00F8D" w14:paraId="06424F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B86B5" w14:textId="77777777" w:rsidR="00E00F8D" w:rsidRPr="00E00F8D" w:rsidRDefault="00E00F8D" w:rsidP="00E00F8D">
            <w:r w:rsidRPr="00E00F8D">
              <w:t xml:space="preserve">Συμφωνία απόκτησης 80% της δραστηριότητας ζωής της </w:t>
            </w:r>
            <w:proofErr w:type="spellStart"/>
            <w:r w:rsidRPr="00E00F8D">
              <w:t>Eurolife</w:t>
            </w:r>
            <w:proofErr w:type="spellEnd"/>
            <w:r w:rsidRPr="00E00F8D">
              <w:t xml:space="preserve"> FFH</w:t>
            </w:r>
          </w:p>
        </w:tc>
        <w:tc>
          <w:tcPr>
            <w:tcW w:w="0" w:type="auto"/>
            <w:vAlign w:val="center"/>
            <w:hideMark/>
          </w:tcPr>
          <w:p w14:paraId="0E9BB383" w14:textId="77777777" w:rsidR="00E00F8D" w:rsidRPr="00E00F8D" w:rsidRDefault="00E00F8D" w:rsidP="00E00F8D">
            <w:r w:rsidRPr="00E00F8D">
              <w:t>Ενισχύει βάση κερδοφορίας, ασφαλιστική παρουσία και προφίλ διαφοροποίησης</w:t>
            </w:r>
          </w:p>
        </w:tc>
      </w:tr>
    </w:tbl>
    <w:p w14:paraId="1EAE68BC" w14:textId="77777777" w:rsidR="00E00F8D" w:rsidRDefault="00E00F8D" w:rsidP="00E00F8D"/>
    <w:p w14:paraId="41E10E7E" w14:textId="77777777" w:rsidR="00E00F8D" w:rsidRDefault="00E00F8D" w:rsidP="00E00F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2473"/>
      </w:tblGrid>
      <w:tr w:rsidR="00E00F8D" w:rsidRPr="00E00F8D" w14:paraId="76641F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A4F50D" w14:textId="00C20C5D" w:rsidR="00E00F8D" w:rsidRPr="00E00F8D" w:rsidRDefault="00E00F8D" w:rsidP="00E00F8D">
            <w:pPr>
              <w:rPr>
                <w:b/>
                <w:bCs/>
              </w:rPr>
            </w:pPr>
            <w:r>
              <w:rPr>
                <w:b/>
                <w:bCs/>
              </w:rPr>
              <w:t>Οικονομικά Αποτελέσματα 9μήνου Πειραιώς</w:t>
            </w:r>
          </w:p>
        </w:tc>
        <w:tc>
          <w:tcPr>
            <w:tcW w:w="0" w:type="auto"/>
            <w:vAlign w:val="center"/>
            <w:hideMark/>
          </w:tcPr>
          <w:p w14:paraId="7D59BAE7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Στοιχεία / Τιμές</w:t>
            </w:r>
          </w:p>
        </w:tc>
      </w:tr>
      <w:tr w:rsidR="00E00F8D" w:rsidRPr="00E00F8D" w14:paraId="0E31E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D443C" w14:textId="77777777" w:rsidR="00E00F8D" w:rsidRPr="00E00F8D" w:rsidRDefault="00E00F8D" w:rsidP="00E00F8D">
            <w:r w:rsidRPr="00E00F8D">
              <w:rPr>
                <w:b/>
                <w:bCs/>
              </w:rPr>
              <w:t>Κερδοφορία</w:t>
            </w:r>
          </w:p>
        </w:tc>
        <w:tc>
          <w:tcPr>
            <w:tcW w:w="0" w:type="auto"/>
            <w:vAlign w:val="center"/>
            <w:hideMark/>
          </w:tcPr>
          <w:p w14:paraId="69FF9CDE" w14:textId="77777777" w:rsidR="00E00F8D" w:rsidRPr="00E00F8D" w:rsidRDefault="00E00F8D" w:rsidP="00E00F8D">
            <w:r w:rsidRPr="00E00F8D">
              <w:t>€854 εκατ. καθαρά κέρδη</w:t>
            </w:r>
          </w:p>
        </w:tc>
      </w:tr>
      <w:tr w:rsidR="00E00F8D" w:rsidRPr="00E00F8D" w14:paraId="00D1B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38994" w14:textId="77777777" w:rsidR="00E00F8D" w:rsidRPr="00E00F8D" w:rsidRDefault="00E00F8D" w:rsidP="00E00F8D">
            <w:r w:rsidRPr="00E00F8D">
              <w:t>Απόδοση ιδίων κεφαλαίων</w:t>
            </w:r>
          </w:p>
        </w:tc>
        <w:tc>
          <w:tcPr>
            <w:tcW w:w="0" w:type="auto"/>
            <w:vAlign w:val="center"/>
            <w:hideMark/>
          </w:tcPr>
          <w:p w14:paraId="2D71C650" w14:textId="77777777" w:rsidR="00E00F8D" w:rsidRPr="00E00F8D" w:rsidRDefault="00E00F8D" w:rsidP="00E00F8D">
            <w:r w:rsidRPr="00E00F8D">
              <w:t>15%</w:t>
            </w:r>
          </w:p>
        </w:tc>
      </w:tr>
      <w:tr w:rsidR="00E00F8D" w:rsidRPr="00E00F8D" w14:paraId="3FA81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6E2C3" w14:textId="77777777" w:rsidR="00E00F8D" w:rsidRPr="00E00F8D" w:rsidRDefault="00E00F8D" w:rsidP="00E00F8D">
            <w:r w:rsidRPr="00E00F8D">
              <w:t>Εξομαλυμένη απόδοση ιδίων κεφαλαίων</w:t>
            </w:r>
          </w:p>
        </w:tc>
        <w:tc>
          <w:tcPr>
            <w:tcW w:w="0" w:type="auto"/>
            <w:vAlign w:val="center"/>
            <w:hideMark/>
          </w:tcPr>
          <w:p w14:paraId="73F60198" w14:textId="77777777" w:rsidR="00E00F8D" w:rsidRPr="00E00F8D" w:rsidRDefault="00E00F8D" w:rsidP="00E00F8D">
            <w:r w:rsidRPr="00E00F8D">
              <w:t>15%</w:t>
            </w:r>
          </w:p>
        </w:tc>
      </w:tr>
      <w:tr w:rsidR="00E00F8D" w:rsidRPr="00E00F8D" w14:paraId="1170C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D7C9F" w14:textId="77777777" w:rsidR="00E00F8D" w:rsidRPr="00E00F8D" w:rsidRDefault="00E00F8D" w:rsidP="00E00F8D">
            <w:r w:rsidRPr="00E00F8D">
              <w:t>Δείκτης κόστους προς βασικά έσοδα</w:t>
            </w:r>
          </w:p>
        </w:tc>
        <w:tc>
          <w:tcPr>
            <w:tcW w:w="0" w:type="auto"/>
            <w:vAlign w:val="center"/>
            <w:hideMark/>
          </w:tcPr>
          <w:p w14:paraId="1F22B46F" w14:textId="77777777" w:rsidR="00E00F8D" w:rsidRPr="00E00F8D" w:rsidRDefault="00E00F8D" w:rsidP="00E00F8D">
            <w:r w:rsidRPr="00E00F8D">
              <w:t>34%</w:t>
            </w:r>
          </w:p>
        </w:tc>
      </w:tr>
      <w:tr w:rsidR="00E00F8D" w:rsidRPr="00E00F8D" w14:paraId="2B40BE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A6E55" w14:textId="77777777" w:rsidR="00E00F8D" w:rsidRPr="00E00F8D" w:rsidRDefault="00E00F8D" w:rsidP="00E00F8D">
            <w:r w:rsidRPr="00E00F8D">
              <w:t>Κέρδη ανά μετοχή</w:t>
            </w:r>
          </w:p>
        </w:tc>
        <w:tc>
          <w:tcPr>
            <w:tcW w:w="0" w:type="auto"/>
            <w:vAlign w:val="center"/>
            <w:hideMark/>
          </w:tcPr>
          <w:p w14:paraId="61378D9E" w14:textId="77777777" w:rsidR="00E00F8D" w:rsidRPr="00E00F8D" w:rsidRDefault="00E00F8D" w:rsidP="00E00F8D">
            <w:r w:rsidRPr="00E00F8D">
              <w:t>€0,62</w:t>
            </w:r>
          </w:p>
        </w:tc>
      </w:tr>
      <w:tr w:rsidR="00E00F8D" w:rsidRPr="00E00F8D" w14:paraId="5AD65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AD807" w14:textId="77777777" w:rsidR="00E00F8D" w:rsidRPr="00E00F8D" w:rsidRDefault="00E00F8D" w:rsidP="00E00F8D">
            <w:proofErr w:type="spellStart"/>
            <w:r w:rsidRPr="00E00F8D">
              <w:t>Επιτοκιακό</w:t>
            </w:r>
            <w:proofErr w:type="spellEnd"/>
            <w:r w:rsidRPr="00E00F8D">
              <w:t xml:space="preserve"> περιθώριο</w:t>
            </w:r>
          </w:p>
        </w:tc>
        <w:tc>
          <w:tcPr>
            <w:tcW w:w="0" w:type="auto"/>
            <w:vAlign w:val="center"/>
            <w:hideMark/>
          </w:tcPr>
          <w:p w14:paraId="656E7DA0" w14:textId="77777777" w:rsidR="00E00F8D" w:rsidRPr="00E00F8D" w:rsidRDefault="00E00F8D" w:rsidP="00E00F8D">
            <w:r w:rsidRPr="00E00F8D">
              <w:t>2,3%</w:t>
            </w:r>
          </w:p>
        </w:tc>
      </w:tr>
      <w:tr w:rsidR="00E00F8D" w:rsidRPr="00E00F8D" w14:paraId="50A79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B7E39" w14:textId="77777777" w:rsidR="00E00F8D" w:rsidRPr="00E00F8D" w:rsidRDefault="00E00F8D" w:rsidP="00E00F8D">
            <w:r w:rsidRPr="00E00F8D">
              <w:t>Καθαρά έσοδα</w:t>
            </w:r>
          </w:p>
        </w:tc>
        <w:tc>
          <w:tcPr>
            <w:tcW w:w="0" w:type="auto"/>
            <w:vAlign w:val="center"/>
            <w:hideMark/>
          </w:tcPr>
          <w:p w14:paraId="4D264811" w14:textId="77777777" w:rsidR="00E00F8D" w:rsidRPr="00E00F8D" w:rsidRDefault="00E00F8D" w:rsidP="00E00F8D">
            <w:r w:rsidRPr="00E00F8D">
              <w:t>€2,0 δισ.</w:t>
            </w:r>
          </w:p>
        </w:tc>
      </w:tr>
      <w:tr w:rsidR="00E00F8D" w:rsidRPr="00E00F8D" w14:paraId="65F32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B2996" w14:textId="77777777" w:rsidR="00E00F8D" w:rsidRPr="00E00F8D" w:rsidRDefault="00E00F8D" w:rsidP="00E00F8D">
            <w:r w:rsidRPr="00E00F8D">
              <w:rPr>
                <w:b/>
                <w:bCs/>
              </w:rPr>
              <w:t>Παραγωγή κεφαλαίου / Ποιότητα ενεργητικού</w:t>
            </w:r>
          </w:p>
        </w:tc>
        <w:tc>
          <w:tcPr>
            <w:tcW w:w="0" w:type="auto"/>
            <w:vAlign w:val="center"/>
            <w:hideMark/>
          </w:tcPr>
          <w:p w14:paraId="4C474A1D" w14:textId="77777777" w:rsidR="00E00F8D" w:rsidRPr="00E00F8D" w:rsidRDefault="00E00F8D" w:rsidP="00E00F8D"/>
        </w:tc>
      </w:tr>
      <w:tr w:rsidR="00E00F8D" w:rsidRPr="00E00F8D" w14:paraId="2867C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BF91F" w14:textId="77777777" w:rsidR="00E00F8D" w:rsidRPr="00E00F8D" w:rsidRDefault="00E00F8D" w:rsidP="00E00F8D">
            <w:r w:rsidRPr="00E00F8D">
              <w:t>Συνολικός δείκτης κεφαλαίων</w:t>
            </w:r>
          </w:p>
        </w:tc>
        <w:tc>
          <w:tcPr>
            <w:tcW w:w="0" w:type="auto"/>
            <w:vAlign w:val="center"/>
            <w:hideMark/>
          </w:tcPr>
          <w:p w14:paraId="1830EFAF" w14:textId="77777777" w:rsidR="00E00F8D" w:rsidRPr="00E00F8D" w:rsidRDefault="00E00F8D" w:rsidP="00E00F8D">
            <w:r w:rsidRPr="00E00F8D">
              <w:t>20,6%</w:t>
            </w:r>
          </w:p>
        </w:tc>
      </w:tr>
      <w:tr w:rsidR="00E00F8D" w:rsidRPr="00E00F8D" w14:paraId="0BB06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6FFBD" w14:textId="77777777" w:rsidR="00E00F8D" w:rsidRPr="00E00F8D" w:rsidRDefault="00E00F8D" w:rsidP="00E00F8D">
            <w:r w:rsidRPr="00E00F8D">
              <w:t>Οργανικό κόστος κινδύνου</w:t>
            </w:r>
          </w:p>
        </w:tc>
        <w:tc>
          <w:tcPr>
            <w:tcW w:w="0" w:type="auto"/>
            <w:vAlign w:val="center"/>
            <w:hideMark/>
          </w:tcPr>
          <w:p w14:paraId="34ADD425" w14:textId="77777777" w:rsidR="00E00F8D" w:rsidRPr="00E00F8D" w:rsidRDefault="00E00F8D" w:rsidP="00E00F8D">
            <w:r w:rsidRPr="00E00F8D">
              <w:t xml:space="preserve">49 </w:t>
            </w:r>
            <w:proofErr w:type="spellStart"/>
            <w:r w:rsidRPr="00E00F8D">
              <w:t>μ.β</w:t>
            </w:r>
            <w:proofErr w:type="spellEnd"/>
            <w:r w:rsidRPr="00E00F8D">
              <w:t>.</w:t>
            </w:r>
          </w:p>
        </w:tc>
      </w:tr>
      <w:tr w:rsidR="00E00F8D" w:rsidRPr="00E00F8D" w14:paraId="5BAB5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B9D99" w14:textId="77777777" w:rsidR="00E00F8D" w:rsidRPr="00E00F8D" w:rsidRDefault="00E00F8D" w:rsidP="00E00F8D">
            <w:r w:rsidRPr="00E00F8D">
              <w:t>Δείκτης NPE</w:t>
            </w:r>
          </w:p>
        </w:tc>
        <w:tc>
          <w:tcPr>
            <w:tcW w:w="0" w:type="auto"/>
            <w:vAlign w:val="center"/>
            <w:hideMark/>
          </w:tcPr>
          <w:p w14:paraId="7AA9B5AB" w14:textId="77777777" w:rsidR="00E00F8D" w:rsidRPr="00E00F8D" w:rsidRDefault="00E00F8D" w:rsidP="00E00F8D">
            <w:r w:rsidRPr="00E00F8D">
              <w:t>2,5%</w:t>
            </w:r>
          </w:p>
        </w:tc>
      </w:tr>
      <w:tr w:rsidR="00E00F8D" w:rsidRPr="00E00F8D" w14:paraId="2B4CF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B42C7" w14:textId="77777777" w:rsidR="00E00F8D" w:rsidRPr="00E00F8D" w:rsidRDefault="00E00F8D" w:rsidP="00E00F8D">
            <w:r w:rsidRPr="00E00F8D">
              <w:t>Ετήσια αύξηση</w:t>
            </w:r>
          </w:p>
        </w:tc>
        <w:tc>
          <w:tcPr>
            <w:tcW w:w="0" w:type="auto"/>
            <w:vAlign w:val="center"/>
            <w:hideMark/>
          </w:tcPr>
          <w:p w14:paraId="25EDB532" w14:textId="77777777" w:rsidR="00E00F8D" w:rsidRPr="00E00F8D" w:rsidRDefault="00E00F8D" w:rsidP="00E00F8D">
            <w:r w:rsidRPr="00E00F8D">
              <w:t xml:space="preserve">+65 </w:t>
            </w:r>
            <w:proofErr w:type="spellStart"/>
            <w:r w:rsidRPr="00E00F8D">
              <w:t>μ.β</w:t>
            </w:r>
            <w:proofErr w:type="spellEnd"/>
            <w:r w:rsidRPr="00E00F8D">
              <w:t>.</w:t>
            </w:r>
          </w:p>
        </w:tc>
      </w:tr>
      <w:tr w:rsidR="00E00F8D" w:rsidRPr="00E00F8D" w14:paraId="6EB9B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A3B98" w14:textId="77777777" w:rsidR="00E00F8D" w:rsidRPr="00E00F8D" w:rsidRDefault="00E00F8D" w:rsidP="00E00F8D">
            <w:r w:rsidRPr="00E00F8D">
              <w:rPr>
                <w:b/>
                <w:bCs/>
              </w:rPr>
              <w:t>Δανειακή επέκταση / Κεφάλαια πελατών</w:t>
            </w:r>
          </w:p>
        </w:tc>
        <w:tc>
          <w:tcPr>
            <w:tcW w:w="0" w:type="auto"/>
            <w:vAlign w:val="center"/>
            <w:hideMark/>
          </w:tcPr>
          <w:p w14:paraId="5A8D0305" w14:textId="77777777" w:rsidR="00E00F8D" w:rsidRPr="00E00F8D" w:rsidRDefault="00E00F8D" w:rsidP="00E00F8D"/>
        </w:tc>
      </w:tr>
      <w:tr w:rsidR="00E00F8D" w:rsidRPr="00E00F8D" w14:paraId="3F04F1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42AC" w14:textId="77777777" w:rsidR="00E00F8D" w:rsidRPr="00E00F8D" w:rsidRDefault="00E00F8D" w:rsidP="00E00F8D">
            <w:r w:rsidRPr="00E00F8D">
              <w:t>Δάνεια πελατών</w:t>
            </w:r>
          </w:p>
        </w:tc>
        <w:tc>
          <w:tcPr>
            <w:tcW w:w="0" w:type="auto"/>
            <w:vAlign w:val="center"/>
            <w:hideMark/>
          </w:tcPr>
          <w:p w14:paraId="01F8C0B1" w14:textId="77777777" w:rsidR="00E00F8D" w:rsidRPr="00E00F8D" w:rsidRDefault="00E00F8D" w:rsidP="00E00F8D">
            <w:r w:rsidRPr="00E00F8D">
              <w:t>€37 δισ., +15% ετησίως</w:t>
            </w:r>
          </w:p>
        </w:tc>
      </w:tr>
      <w:tr w:rsidR="00E00F8D" w:rsidRPr="00E00F8D" w14:paraId="4362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5C710" w14:textId="77777777" w:rsidR="00E00F8D" w:rsidRPr="00E00F8D" w:rsidRDefault="00E00F8D" w:rsidP="00E00F8D">
            <w:r w:rsidRPr="00E00F8D">
              <w:t>Καταθέσεις</w:t>
            </w:r>
          </w:p>
        </w:tc>
        <w:tc>
          <w:tcPr>
            <w:tcW w:w="0" w:type="auto"/>
            <w:vAlign w:val="center"/>
            <w:hideMark/>
          </w:tcPr>
          <w:p w14:paraId="47A2960A" w14:textId="77777777" w:rsidR="00E00F8D" w:rsidRPr="00E00F8D" w:rsidRDefault="00E00F8D" w:rsidP="00E00F8D">
            <w:r w:rsidRPr="00E00F8D">
              <w:t>€64 δισ.</w:t>
            </w:r>
          </w:p>
        </w:tc>
      </w:tr>
      <w:tr w:rsidR="00E00F8D" w:rsidRPr="00E00F8D" w14:paraId="41B09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89460" w14:textId="77777777" w:rsidR="00E00F8D" w:rsidRPr="00E00F8D" w:rsidRDefault="00E00F8D" w:rsidP="00E00F8D">
            <w:r w:rsidRPr="00E00F8D">
              <w:t>Υπό διαχείριση κεφάλαια</w:t>
            </w:r>
          </w:p>
        </w:tc>
        <w:tc>
          <w:tcPr>
            <w:tcW w:w="0" w:type="auto"/>
            <w:vAlign w:val="center"/>
            <w:hideMark/>
          </w:tcPr>
          <w:p w14:paraId="49A107AF" w14:textId="77777777" w:rsidR="00E00F8D" w:rsidRPr="00E00F8D" w:rsidRDefault="00E00F8D" w:rsidP="00E00F8D">
            <w:r w:rsidRPr="00E00F8D">
              <w:t>€14 δισ.</w:t>
            </w:r>
          </w:p>
        </w:tc>
      </w:tr>
    </w:tbl>
    <w:p w14:paraId="7B8D294C" w14:textId="77777777" w:rsidR="00E00F8D" w:rsidRDefault="00E00F8D" w:rsidP="00E00F8D"/>
    <w:p w14:paraId="07EC6A36" w14:textId="77777777" w:rsidR="00E00F8D" w:rsidRDefault="00E00F8D" w:rsidP="00E00F8D"/>
    <w:p w14:paraId="5F960F6B" w14:textId="77777777" w:rsidR="00E00F8D" w:rsidRDefault="00E00F8D" w:rsidP="00E00F8D"/>
    <w:p w14:paraId="4CAAB835" w14:textId="77777777" w:rsidR="00E00F8D" w:rsidRDefault="00E00F8D" w:rsidP="00E00F8D"/>
    <w:p w14:paraId="0CE772C8" w14:textId="77777777" w:rsidR="00E00F8D" w:rsidRDefault="00E00F8D" w:rsidP="00E00F8D"/>
    <w:p w14:paraId="5D1F91FB" w14:textId="77777777" w:rsidR="00E00F8D" w:rsidRDefault="00E00F8D" w:rsidP="00E00F8D"/>
    <w:p w14:paraId="16611AA7" w14:textId="77777777" w:rsidR="00E00F8D" w:rsidRDefault="00E00F8D" w:rsidP="00E00F8D"/>
    <w:p w14:paraId="3DDA4AB0" w14:textId="77777777" w:rsidR="00E00F8D" w:rsidRDefault="00E00F8D" w:rsidP="00E00F8D"/>
    <w:p w14:paraId="44F75A36" w14:textId="77777777" w:rsidR="00E00F8D" w:rsidRDefault="00E00F8D" w:rsidP="00E00F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2095"/>
        <w:gridCol w:w="3231"/>
      </w:tblGrid>
      <w:tr w:rsidR="00E00F8D" w:rsidRPr="00E00F8D" w14:paraId="666890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B4F657" w14:textId="1543BC45" w:rsidR="00E00F8D" w:rsidRPr="00E00F8D" w:rsidRDefault="00E00F8D" w:rsidP="00E00F8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Οικονομικά Αποτελέσματα 9μήνου</w:t>
            </w:r>
            <w:r>
              <w:rPr>
                <w:b/>
                <w:bCs/>
              </w:rPr>
              <w:t xml:space="preserve"> Εθνικής Τράπεζας</w:t>
            </w:r>
          </w:p>
        </w:tc>
        <w:tc>
          <w:tcPr>
            <w:tcW w:w="0" w:type="auto"/>
            <w:vAlign w:val="center"/>
            <w:hideMark/>
          </w:tcPr>
          <w:p w14:paraId="5E5B4A96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Στοιχεία / Τιμές</w:t>
            </w:r>
          </w:p>
        </w:tc>
        <w:tc>
          <w:tcPr>
            <w:tcW w:w="0" w:type="auto"/>
            <w:vAlign w:val="center"/>
            <w:hideMark/>
          </w:tcPr>
          <w:p w14:paraId="6F49344E" w14:textId="77777777" w:rsidR="00E00F8D" w:rsidRPr="00E00F8D" w:rsidRDefault="00E00F8D" w:rsidP="00E00F8D">
            <w:pPr>
              <w:rPr>
                <w:b/>
                <w:bCs/>
              </w:rPr>
            </w:pPr>
            <w:r w:rsidRPr="00E00F8D">
              <w:rPr>
                <w:b/>
                <w:bCs/>
              </w:rPr>
              <w:t>Στόχος / Σχόλιο 2025</w:t>
            </w:r>
          </w:p>
        </w:tc>
      </w:tr>
      <w:tr w:rsidR="00E00F8D" w:rsidRPr="00E00F8D" w14:paraId="0B52EF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ACBA3" w14:textId="77777777" w:rsidR="00E00F8D" w:rsidRPr="00E00F8D" w:rsidRDefault="00E00F8D" w:rsidP="00E00F8D">
            <w:r w:rsidRPr="00E00F8D">
              <w:rPr>
                <w:b/>
                <w:bCs/>
              </w:rPr>
              <w:t>Ισχυρή πιστωτική επέκταση</w:t>
            </w:r>
          </w:p>
        </w:tc>
        <w:tc>
          <w:tcPr>
            <w:tcW w:w="0" w:type="auto"/>
            <w:vAlign w:val="center"/>
            <w:hideMark/>
          </w:tcPr>
          <w:p w14:paraId="20131DA9" w14:textId="77777777" w:rsidR="00E00F8D" w:rsidRPr="00E00F8D" w:rsidRDefault="00E00F8D" w:rsidP="00E00F8D"/>
        </w:tc>
        <w:tc>
          <w:tcPr>
            <w:tcW w:w="0" w:type="auto"/>
            <w:vAlign w:val="center"/>
            <w:hideMark/>
          </w:tcPr>
          <w:p w14:paraId="18659006" w14:textId="77777777" w:rsidR="00E00F8D" w:rsidRPr="00E00F8D" w:rsidRDefault="00E00F8D" w:rsidP="00E00F8D"/>
        </w:tc>
      </w:tr>
      <w:tr w:rsidR="00E00F8D" w:rsidRPr="00E00F8D" w14:paraId="02687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7F9C0" w14:textId="77777777" w:rsidR="00E00F8D" w:rsidRPr="00E00F8D" w:rsidRDefault="00E00F8D" w:rsidP="00E00F8D">
            <w:r w:rsidRPr="00E00F8D">
              <w:t>Εξυπηρετούμενα δάνεια</w:t>
            </w:r>
          </w:p>
        </w:tc>
        <w:tc>
          <w:tcPr>
            <w:tcW w:w="0" w:type="auto"/>
            <w:vAlign w:val="center"/>
            <w:hideMark/>
          </w:tcPr>
          <w:p w14:paraId="37F4E35D" w14:textId="77777777" w:rsidR="00E00F8D" w:rsidRPr="00E00F8D" w:rsidRDefault="00E00F8D" w:rsidP="00E00F8D">
            <w:r w:rsidRPr="00E00F8D">
              <w:t>€34,7 δισ., +12% ετησίως</w:t>
            </w:r>
          </w:p>
        </w:tc>
        <w:tc>
          <w:tcPr>
            <w:tcW w:w="0" w:type="auto"/>
            <w:vAlign w:val="center"/>
            <w:hideMark/>
          </w:tcPr>
          <w:p w14:paraId="48C32B7F" w14:textId="77777777" w:rsidR="00E00F8D" w:rsidRPr="00E00F8D" w:rsidRDefault="00E00F8D" w:rsidP="00E00F8D">
            <w:r w:rsidRPr="00E00F8D">
              <w:t>&gt;€2,5 δισ. αύξηση στόχος για 2025</w:t>
            </w:r>
          </w:p>
        </w:tc>
      </w:tr>
      <w:tr w:rsidR="00E00F8D" w:rsidRPr="00E00F8D" w14:paraId="6D23E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7C554" w14:textId="77777777" w:rsidR="00E00F8D" w:rsidRPr="00E00F8D" w:rsidRDefault="00E00F8D" w:rsidP="00E00F8D">
            <w:r w:rsidRPr="00E00F8D">
              <w:t>Αύξηση εξυπηρετούμενων δανείων από την αρχή του έτους</w:t>
            </w:r>
          </w:p>
        </w:tc>
        <w:tc>
          <w:tcPr>
            <w:tcW w:w="0" w:type="auto"/>
            <w:vAlign w:val="center"/>
            <w:hideMark/>
          </w:tcPr>
          <w:p w14:paraId="6E4A258B" w14:textId="77777777" w:rsidR="00E00F8D" w:rsidRPr="00E00F8D" w:rsidRDefault="00E00F8D" w:rsidP="00E00F8D">
            <w:r w:rsidRPr="00E00F8D">
              <w:t>+€1,8 δισ.</w:t>
            </w:r>
          </w:p>
        </w:tc>
        <w:tc>
          <w:tcPr>
            <w:tcW w:w="0" w:type="auto"/>
            <w:vAlign w:val="center"/>
            <w:hideMark/>
          </w:tcPr>
          <w:p w14:paraId="2D8F4A58" w14:textId="77777777" w:rsidR="00E00F8D" w:rsidRPr="00E00F8D" w:rsidRDefault="00E00F8D" w:rsidP="00E00F8D">
            <w:r w:rsidRPr="00E00F8D">
              <w:t>—</w:t>
            </w:r>
          </w:p>
        </w:tc>
      </w:tr>
      <w:tr w:rsidR="00E00F8D" w:rsidRPr="00E00F8D" w14:paraId="243DF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4F283" w14:textId="77777777" w:rsidR="00E00F8D" w:rsidRPr="00E00F8D" w:rsidRDefault="00E00F8D" w:rsidP="00E00F8D">
            <w:r w:rsidRPr="00E00F8D">
              <w:t>Δείκτης ΜΕΑ</w:t>
            </w:r>
          </w:p>
        </w:tc>
        <w:tc>
          <w:tcPr>
            <w:tcW w:w="0" w:type="auto"/>
            <w:vAlign w:val="center"/>
            <w:hideMark/>
          </w:tcPr>
          <w:p w14:paraId="39B8468F" w14:textId="77777777" w:rsidR="00E00F8D" w:rsidRPr="00E00F8D" w:rsidRDefault="00E00F8D" w:rsidP="00E00F8D">
            <w:r w:rsidRPr="00E00F8D">
              <w:t>2,5%</w:t>
            </w:r>
          </w:p>
        </w:tc>
        <w:tc>
          <w:tcPr>
            <w:tcW w:w="0" w:type="auto"/>
            <w:vAlign w:val="center"/>
            <w:hideMark/>
          </w:tcPr>
          <w:p w14:paraId="6D77B3EA" w14:textId="77777777" w:rsidR="00E00F8D" w:rsidRPr="00E00F8D" w:rsidRDefault="00E00F8D" w:rsidP="00E00F8D">
            <w:r w:rsidRPr="00E00F8D">
              <w:t>&lt;2,5% στόχος για 2025</w:t>
            </w:r>
          </w:p>
        </w:tc>
      </w:tr>
      <w:tr w:rsidR="00E00F8D" w:rsidRPr="00E00F8D" w14:paraId="694B6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E1348" w14:textId="77777777" w:rsidR="00E00F8D" w:rsidRPr="00E00F8D" w:rsidRDefault="00E00F8D" w:rsidP="00E00F8D">
            <w:r w:rsidRPr="00E00F8D">
              <w:t>Δείκτης κάλυψης ΜΕΑ</w:t>
            </w:r>
          </w:p>
        </w:tc>
        <w:tc>
          <w:tcPr>
            <w:tcW w:w="0" w:type="auto"/>
            <w:vAlign w:val="center"/>
            <w:hideMark/>
          </w:tcPr>
          <w:p w14:paraId="7A96A358" w14:textId="77777777" w:rsidR="00E00F8D" w:rsidRPr="00E00F8D" w:rsidRDefault="00E00F8D" w:rsidP="00E00F8D">
            <w:r w:rsidRPr="00E00F8D">
              <w:t>101%</w:t>
            </w:r>
          </w:p>
        </w:tc>
        <w:tc>
          <w:tcPr>
            <w:tcW w:w="0" w:type="auto"/>
            <w:vAlign w:val="center"/>
            <w:hideMark/>
          </w:tcPr>
          <w:p w14:paraId="00056048" w14:textId="77777777" w:rsidR="00E00F8D" w:rsidRPr="00E00F8D" w:rsidRDefault="00E00F8D" w:rsidP="00E00F8D">
            <w:r w:rsidRPr="00E00F8D">
              <w:t>—</w:t>
            </w:r>
          </w:p>
        </w:tc>
      </w:tr>
      <w:tr w:rsidR="00E00F8D" w:rsidRPr="00E00F8D" w14:paraId="58CC1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6DC5B" w14:textId="77777777" w:rsidR="00E00F8D" w:rsidRPr="00E00F8D" w:rsidRDefault="00E00F8D" w:rsidP="00E00F8D">
            <w:r w:rsidRPr="00E00F8D">
              <w:t>Κόστος πιστωτικού κινδύνου</w:t>
            </w:r>
          </w:p>
        </w:tc>
        <w:tc>
          <w:tcPr>
            <w:tcW w:w="0" w:type="auto"/>
            <w:vAlign w:val="center"/>
            <w:hideMark/>
          </w:tcPr>
          <w:p w14:paraId="6700448E" w14:textId="77777777" w:rsidR="00E00F8D" w:rsidRPr="00E00F8D" w:rsidRDefault="00E00F8D" w:rsidP="00E00F8D">
            <w:r w:rsidRPr="00E00F8D">
              <w:t xml:space="preserve">41 </w:t>
            </w:r>
            <w:proofErr w:type="spellStart"/>
            <w:r w:rsidRPr="00E00F8D">
              <w:t>μ.β</w:t>
            </w:r>
            <w:proofErr w:type="spellEnd"/>
            <w:r w:rsidRPr="00E00F8D">
              <w:t>.</w:t>
            </w:r>
          </w:p>
        </w:tc>
        <w:tc>
          <w:tcPr>
            <w:tcW w:w="0" w:type="auto"/>
            <w:vAlign w:val="center"/>
            <w:hideMark/>
          </w:tcPr>
          <w:p w14:paraId="1052EFF4" w14:textId="77777777" w:rsidR="00E00F8D" w:rsidRPr="00E00F8D" w:rsidRDefault="00E00F8D" w:rsidP="00E00F8D">
            <w:r w:rsidRPr="00E00F8D">
              <w:t xml:space="preserve">&lt;45 </w:t>
            </w:r>
            <w:proofErr w:type="spellStart"/>
            <w:r w:rsidRPr="00E00F8D">
              <w:t>μ.β</w:t>
            </w:r>
            <w:proofErr w:type="spellEnd"/>
            <w:r w:rsidRPr="00E00F8D">
              <w:t>. στόχος για 2025</w:t>
            </w:r>
          </w:p>
        </w:tc>
      </w:tr>
      <w:tr w:rsidR="00E00F8D" w:rsidRPr="00E00F8D" w14:paraId="29461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105C1" w14:textId="77777777" w:rsidR="00E00F8D" w:rsidRPr="00E00F8D" w:rsidRDefault="00E00F8D" w:rsidP="00E00F8D">
            <w:r w:rsidRPr="00E00F8D">
              <w:rPr>
                <w:b/>
                <w:bCs/>
              </w:rPr>
              <w:t>Υψηλή ποιότητα δανειακού χαρτοφυλακίου</w:t>
            </w:r>
          </w:p>
        </w:tc>
        <w:tc>
          <w:tcPr>
            <w:tcW w:w="0" w:type="auto"/>
            <w:vAlign w:val="center"/>
            <w:hideMark/>
          </w:tcPr>
          <w:p w14:paraId="72E67681" w14:textId="77777777" w:rsidR="00E00F8D" w:rsidRPr="00E00F8D" w:rsidRDefault="00E00F8D" w:rsidP="00E00F8D">
            <w:r w:rsidRPr="00E00F8D">
              <w:t>—</w:t>
            </w:r>
          </w:p>
        </w:tc>
        <w:tc>
          <w:tcPr>
            <w:tcW w:w="0" w:type="auto"/>
            <w:vAlign w:val="center"/>
            <w:hideMark/>
          </w:tcPr>
          <w:p w14:paraId="0E5D3850" w14:textId="77777777" w:rsidR="00E00F8D" w:rsidRPr="00E00F8D" w:rsidRDefault="00E00F8D" w:rsidP="00E00F8D">
            <w:r w:rsidRPr="00E00F8D">
              <w:t>—</w:t>
            </w:r>
          </w:p>
        </w:tc>
      </w:tr>
      <w:tr w:rsidR="00E00F8D" w:rsidRPr="00E00F8D" w14:paraId="7449E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80671" w14:textId="77777777" w:rsidR="00E00F8D" w:rsidRPr="00E00F8D" w:rsidRDefault="00E00F8D" w:rsidP="00E00F8D">
            <w:r w:rsidRPr="00E00F8D">
              <w:rPr>
                <w:b/>
                <w:bCs/>
              </w:rPr>
              <w:t>Ισχυρή κεφαλαιακή θέση και διανομές</w:t>
            </w:r>
          </w:p>
        </w:tc>
        <w:tc>
          <w:tcPr>
            <w:tcW w:w="0" w:type="auto"/>
            <w:vAlign w:val="center"/>
            <w:hideMark/>
          </w:tcPr>
          <w:p w14:paraId="260BDB05" w14:textId="77777777" w:rsidR="00E00F8D" w:rsidRPr="00E00F8D" w:rsidRDefault="00E00F8D" w:rsidP="00E00F8D">
            <w:r w:rsidRPr="00E00F8D">
              <w:t>—</w:t>
            </w:r>
          </w:p>
        </w:tc>
        <w:tc>
          <w:tcPr>
            <w:tcW w:w="0" w:type="auto"/>
            <w:vAlign w:val="center"/>
            <w:hideMark/>
          </w:tcPr>
          <w:p w14:paraId="2FDE0A9D" w14:textId="77777777" w:rsidR="00E00F8D" w:rsidRPr="00E00F8D" w:rsidRDefault="00E00F8D" w:rsidP="00E00F8D">
            <w:r w:rsidRPr="00E00F8D">
              <w:t>—</w:t>
            </w:r>
          </w:p>
        </w:tc>
      </w:tr>
      <w:tr w:rsidR="00E00F8D" w:rsidRPr="00E00F8D" w14:paraId="66788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BDEC6" w14:textId="77777777" w:rsidR="00E00F8D" w:rsidRPr="00E00F8D" w:rsidRDefault="00E00F8D" w:rsidP="00E00F8D">
            <w:r w:rsidRPr="00E00F8D">
              <w:t>Δείκτης CET1</w:t>
            </w:r>
          </w:p>
        </w:tc>
        <w:tc>
          <w:tcPr>
            <w:tcW w:w="0" w:type="auto"/>
            <w:vAlign w:val="center"/>
            <w:hideMark/>
          </w:tcPr>
          <w:p w14:paraId="2C6E23D4" w14:textId="77777777" w:rsidR="00E00F8D" w:rsidRPr="00E00F8D" w:rsidRDefault="00E00F8D" w:rsidP="00E00F8D">
            <w:r w:rsidRPr="00E00F8D">
              <w:t>19,0%</w:t>
            </w:r>
          </w:p>
        </w:tc>
        <w:tc>
          <w:tcPr>
            <w:tcW w:w="0" w:type="auto"/>
            <w:vAlign w:val="center"/>
            <w:hideMark/>
          </w:tcPr>
          <w:p w14:paraId="186143F3" w14:textId="77777777" w:rsidR="00E00F8D" w:rsidRPr="00E00F8D" w:rsidRDefault="00E00F8D" w:rsidP="00E00F8D">
            <w:r w:rsidRPr="00E00F8D">
              <w:t>&gt;18% στόχος για 2025</w:t>
            </w:r>
          </w:p>
        </w:tc>
      </w:tr>
      <w:tr w:rsidR="00E00F8D" w:rsidRPr="00E00F8D" w14:paraId="48E6C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BC8F5" w14:textId="77777777" w:rsidR="00E00F8D" w:rsidRPr="00E00F8D" w:rsidRDefault="00E00F8D" w:rsidP="00E00F8D">
            <w:r w:rsidRPr="00E00F8D">
              <w:t>Διανομή κερδών</w:t>
            </w:r>
          </w:p>
        </w:tc>
        <w:tc>
          <w:tcPr>
            <w:tcW w:w="0" w:type="auto"/>
            <w:vAlign w:val="center"/>
            <w:hideMark/>
          </w:tcPr>
          <w:p w14:paraId="4E69206A" w14:textId="77777777" w:rsidR="00E00F8D" w:rsidRPr="00E00F8D" w:rsidRDefault="00E00F8D" w:rsidP="00E00F8D">
            <w:r w:rsidRPr="00E00F8D">
              <w:t>60%</w:t>
            </w:r>
          </w:p>
        </w:tc>
        <w:tc>
          <w:tcPr>
            <w:tcW w:w="0" w:type="auto"/>
            <w:vAlign w:val="center"/>
            <w:hideMark/>
          </w:tcPr>
          <w:p w14:paraId="320D724D" w14:textId="77777777" w:rsidR="00E00F8D" w:rsidRPr="00E00F8D" w:rsidRDefault="00E00F8D" w:rsidP="00E00F8D">
            <w:r w:rsidRPr="00E00F8D">
              <w:t>Το τελικό ύψος θα καθοριστεί στην ανακοίνωση των αποτελεσμάτων 2025</w:t>
            </w:r>
          </w:p>
        </w:tc>
      </w:tr>
      <w:tr w:rsidR="00E00F8D" w:rsidRPr="00E00F8D" w14:paraId="3E146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DF5B7" w14:textId="77777777" w:rsidR="00E00F8D" w:rsidRPr="00E00F8D" w:rsidRDefault="00E00F8D" w:rsidP="00E00F8D">
            <w:r w:rsidRPr="00E00F8D">
              <w:t>Ενδιάμεσο μέρισμα</w:t>
            </w:r>
          </w:p>
        </w:tc>
        <w:tc>
          <w:tcPr>
            <w:tcW w:w="0" w:type="auto"/>
            <w:vAlign w:val="center"/>
            <w:hideMark/>
          </w:tcPr>
          <w:p w14:paraId="50485CC0" w14:textId="77777777" w:rsidR="00E00F8D" w:rsidRPr="00E00F8D" w:rsidRDefault="00E00F8D" w:rsidP="00E00F8D">
            <w:r w:rsidRPr="00E00F8D">
              <w:t>€200 εκατ.</w:t>
            </w:r>
          </w:p>
        </w:tc>
        <w:tc>
          <w:tcPr>
            <w:tcW w:w="0" w:type="auto"/>
            <w:vAlign w:val="center"/>
            <w:hideMark/>
          </w:tcPr>
          <w:p w14:paraId="031B017A" w14:textId="77777777" w:rsidR="00E00F8D" w:rsidRPr="00E00F8D" w:rsidRDefault="00E00F8D" w:rsidP="00E00F8D">
            <w:r w:rsidRPr="00E00F8D">
              <w:t>Καταβολή στις 14 Νοεμβρίου 2025</w:t>
            </w:r>
          </w:p>
        </w:tc>
      </w:tr>
      <w:tr w:rsidR="00E00F8D" w:rsidRPr="00E00F8D" w14:paraId="620E4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64A32" w14:textId="77777777" w:rsidR="00E00F8D" w:rsidRPr="00E00F8D" w:rsidRDefault="00E00F8D" w:rsidP="00E00F8D">
            <w:r w:rsidRPr="00E00F8D">
              <w:rPr>
                <w:b/>
                <w:bCs/>
              </w:rPr>
              <w:t>Συνεχής αύξηση κερδοφορίας και αποδόσεων</w:t>
            </w:r>
          </w:p>
        </w:tc>
        <w:tc>
          <w:tcPr>
            <w:tcW w:w="0" w:type="auto"/>
            <w:vAlign w:val="center"/>
            <w:hideMark/>
          </w:tcPr>
          <w:p w14:paraId="6AF9392D" w14:textId="77777777" w:rsidR="00E00F8D" w:rsidRPr="00E00F8D" w:rsidRDefault="00E00F8D" w:rsidP="00E00F8D"/>
        </w:tc>
        <w:tc>
          <w:tcPr>
            <w:tcW w:w="0" w:type="auto"/>
            <w:vAlign w:val="center"/>
            <w:hideMark/>
          </w:tcPr>
          <w:p w14:paraId="76136B74" w14:textId="77777777" w:rsidR="00E00F8D" w:rsidRPr="00E00F8D" w:rsidRDefault="00E00F8D" w:rsidP="00E00F8D"/>
        </w:tc>
      </w:tr>
      <w:tr w:rsidR="00E00F8D" w:rsidRPr="00E00F8D" w14:paraId="4BD86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A9355" w14:textId="77777777" w:rsidR="00E00F8D" w:rsidRPr="00E00F8D" w:rsidRDefault="00E00F8D" w:rsidP="00E00F8D">
            <w:r w:rsidRPr="00E00F8D">
              <w:t>Κέρδη μετά φόρων</w:t>
            </w:r>
          </w:p>
        </w:tc>
        <w:tc>
          <w:tcPr>
            <w:tcW w:w="0" w:type="auto"/>
            <w:vAlign w:val="center"/>
            <w:hideMark/>
          </w:tcPr>
          <w:p w14:paraId="3A231938" w14:textId="77777777" w:rsidR="00E00F8D" w:rsidRPr="00E00F8D" w:rsidRDefault="00E00F8D" w:rsidP="00E00F8D">
            <w:r w:rsidRPr="00E00F8D">
              <w:t>~€1,0 δισ.</w:t>
            </w:r>
          </w:p>
        </w:tc>
        <w:tc>
          <w:tcPr>
            <w:tcW w:w="0" w:type="auto"/>
            <w:vAlign w:val="center"/>
            <w:hideMark/>
          </w:tcPr>
          <w:p w14:paraId="6F8B3E0D" w14:textId="77777777" w:rsidR="00E00F8D" w:rsidRPr="00E00F8D" w:rsidRDefault="00E00F8D" w:rsidP="00E00F8D">
            <w:r w:rsidRPr="00E00F8D">
              <w:t>~€1,4 δισ. στόχος για 2025</w:t>
            </w:r>
          </w:p>
        </w:tc>
      </w:tr>
      <w:tr w:rsidR="00E00F8D" w:rsidRPr="00E00F8D" w14:paraId="2ABAC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2EA9C" w14:textId="77777777" w:rsidR="00E00F8D" w:rsidRPr="00E00F8D" w:rsidRDefault="00E00F8D" w:rsidP="00E00F8D">
            <w:r w:rsidRPr="00E00F8D">
              <w:t>Κέρδη ανά μετοχή</w:t>
            </w:r>
          </w:p>
        </w:tc>
        <w:tc>
          <w:tcPr>
            <w:tcW w:w="0" w:type="auto"/>
            <w:vAlign w:val="center"/>
            <w:hideMark/>
          </w:tcPr>
          <w:p w14:paraId="7E8F3A56" w14:textId="77777777" w:rsidR="00E00F8D" w:rsidRPr="00E00F8D" w:rsidRDefault="00E00F8D" w:rsidP="00E00F8D">
            <w:r w:rsidRPr="00E00F8D">
              <w:t>€1,40</w:t>
            </w:r>
          </w:p>
        </w:tc>
        <w:tc>
          <w:tcPr>
            <w:tcW w:w="0" w:type="auto"/>
            <w:vAlign w:val="center"/>
            <w:hideMark/>
          </w:tcPr>
          <w:p w14:paraId="57BDE303" w14:textId="77777777" w:rsidR="00E00F8D" w:rsidRPr="00E00F8D" w:rsidRDefault="00E00F8D" w:rsidP="00E00F8D">
            <w:r w:rsidRPr="00E00F8D">
              <w:t>~€1,4 στόχος για 2025</w:t>
            </w:r>
          </w:p>
        </w:tc>
      </w:tr>
      <w:tr w:rsidR="00E00F8D" w:rsidRPr="00E00F8D" w14:paraId="52507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68C26" w14:textId="77777777" w:rsidR="00E00F8D" w:rsidRPr="00E00F8D" w:rsidRDefault="00E00F8D" w:rsidP="00E00F8D">
            <w:r w:rsidRPr="00E00F8D">
              <w:t>Απόδοση ενσώματων Ιδίων Κεφαλαίων (</w:t>
            </w:r>
            <w:proofErr w:type="spellStart"/>
            <w:r w:rsidRPr="00E00F8D">
              <w:t>RoTE</w:t>
            </w:r>
            <w:proofErr w:type="spellEnd"/>
            <w:r w:rsidRPr="00E00F8D">
              <w:t>)</w:t>
            </w:r>
          </w:p>
        </w:tc>
        <w:tc>
          <w:tcPr>
            <w:tcW w:w="0" w:type="auto"/>
            <w:vAlign w:val="center"/>
            <w:hideMark/>
          </w:tcPr>
          <w:p w14:paraId="5C8B6ED6" w14:textId="77777777" w:rsidR="00E00F8D" w:rsidRPr="00E00F8D" w:rsidRDefault="00E00F8D" w:rsidP="00E00F8D">
            <w:r w:rsidRPr="00E00F8D">
              <w:t>15,6% (16,1% σε δημοσιευμένη βάση)</w:t>
            </w:r>
          </w:p>
        </w:tc>
        <w:tc>
          <w:tcPr>
            <w:tcW w:w="0" w:type="auto"/>
            <w:vAlign w:val="center"/>
            <w:hideMark/>
          </w:tcPr>
          <w:p w14:paraId="6C27EA32" w14:textId="77777777" w:rsidR="00E00F8D" w:rsidRPr="00E00F8D" w:rsidRDefault="00E00F8D" w:rsidP="00E00F8D">
            <w:r w:rsidRPr="00E00F8D">
              <w:t>&gt;15% στόχος για 2025</w:t>
            </w:r>
          </w:p>
        </w:tc>
      </w:tr>
    </w:tbl>
    <w:p w14:paraId="7821A5EC" w14:textId="77777777" w:rsidR="00E00F8D" w:rsidRPr="00E00F8D" w:rsidRDefault="00E00F8D" w:rsidP="00E00F8D"/>
    <w:sectPr w:rsidR="00E00F8D" w:rsidRPr="00E00F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8D"/>
    <w:rsid w:val="00740FE8"/>
    <w:rsid w:val="007D690F"/>
    <w:rsid w:val="00BE6B23"/>
    <w:rsid w:val="00DB6272"/>
    <w:rsid w:val="00E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6053"/>
  <w15:chartTrackingRefBased/>
  <w15:docId w15:val="{4E600D5E-72C1-4C80-B07F-FF0BE3D8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Sakellari</dc:creator>
  <cp:keywords/>
  <dc:description/>
  <cp:lastModifiedBy>Eirini Sakellari</cp:lastModifiedBy>
  <cp:revision>1</cp:revision>
  <dcterms:created xsi:type="dcterms:W3CDTF">2025-11-07T14:30:00Z</dcterms:created>
  <dcterms:modified xsi:type="dcterms:W3CDTF">2025-11-07T14:46:00Z</dcterms:modified>
</cp:coreProperties>
</file>