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4E" w:rsidRDefault="00605252">
      <w:pPr>
        <w:spacing w:before="100" w:after="100" w:line="240" w:lineRule="auto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el-GR"/>
        </w:rPr>
      </w:pPr>
      <w:r>
        <w:rPr>
          <w:rFonts w:ascii="Times New Roman" w:eastAsia="Times New Roman" w:hAnsi="Times New Roman"/>
          <w:b/>
          <w:bCs/>
          <w:kern w:val="0"/>
          <w:sz w:val="36"/>
          <w:szCs w:val="36"/>
          <w:lang w:eastAsia="el-GR"/>
        </w:rPr>
        <w:t>Διαχείριση Μετρητών στην Ελλάδα (2024–2025)</w:t>
      </w:r>
    </w:p>
    <w:tbl>
      <w:tblPr>
        <w:tblW w:w="8306" w:type="dxa"/>
        <w:tblCellMar>
          <w:left w:w="10" w:type="dxa"/>
          <w:right w:w="10" w:type="dxa"/>
        </w:tblCellMar>
        <w:tblLook w:val="04A0"/>
      </w:tblPr>
      <w:tblGrid>
        <w:gridCol w:w="2313"/>
        <w:gridCol w:w="5993"/>
      </w:tblGrid>
      <w:tr w:rsidR="00DE0C4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DE0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</w:pP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Περιγραφή / Δεδομένα / Παρατηρήσεις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1. Υποδομή τραπεζών &amp;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 xml:space="preserve"> πρόσβαση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Οι ελληνικές τράπεζες διαθέτουν περίπου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1.400 υποκαταστήματα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και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 xml:space="preserve">2.500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ΑΤΜ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σε όλη τη χώρα.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Σε πολλές περιοχές (κυρίως νησιά &amp; ορεινά) έχουν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 xml:space="preserve">κλείσει υποκαταστήματα ή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ΑΤΜ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, δυσχεραίνοντας την πρόσβαση σε μετρητά.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Οι περισσότερες τράπεζες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δεν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 xml:space="preserve"> έχουν φυσικά ταμεία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σε όλα τα καταστήματα.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2. Πολιτική τραπεζών για μετρητά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Περιορισμοί αναλήψεων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: για ποσά ακόμη και κάτω των €5.000 απαιτείται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ραντεβού και προειδοποίηση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Οι πολίτες συχνά υπόκεινται σε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ερωτήσεις για τον σκοπό ανάληψης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μετρητών.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>-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ΑΤΜ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 xml:space="preserve"> όρια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: ρυθμίζονται από το προφίλ του πελάτη, συνήθως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€3.500–€5.000 ημερησίως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Οι ρυθμίσεις παραμένουν ενεργές μόνο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για 24 ώρες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>.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3. Κίνητρα &amp; αιτίες περιορισμών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Το βασικό επιχείρημα των τραπεζών είναι το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υψηλό κόστος διαχείρισης μετρητών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(μεταφορά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, ασφάλεια, φύλαξη, προσωπικό).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Η μείωση φυσικών ταμείων περιορίζει λειτουργικά έξοδα και προωθεί τις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ηλεκτρονικές συναλλαγές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Η πολιτεία ενθαρρύνει τη μείωση χρήσης μετρητών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ως μέτρο κατά της φοροδιαφυγής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>.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4. Νομοθετικοί περιορισμοί του Δημοσίου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Ανώτατο όριο συναλλαγών με μετρητά: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€500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(άρθρο 62 Ν. 4172/2013).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Υποχρέωση ηλεκτρονικών αποδείξεων για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τουλάχιστον 30% του εισοδήματος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Οι επιχειρήσεις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υποχρεούνται να δέχονται κάρτες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>, αλλιώς επιβάλλονται πρόστιμα.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 xml:space="preserve">5. Στατιστικά ΕΚΤ για Ελλάδα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(2024)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42%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της αξίας συναλλαγών σε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eastAsia="el-GR"/>
              </w:rPr>
              <w:t>POS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έγινε με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μετρητά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47%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με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κάρτες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54%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των συναλλαγών (κατά αριθμό) έγιναν με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μετρητά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50%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των Ελλήνων δηλώνουν ότι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προτιμούν μετρητά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ως κύριο μέσο πληρωμής (υψηλότερο ποσοστό στην Ευρωζώνη).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Το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μερίδιο με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τρητών στην αξία συναλλαγών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είναι ~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42%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>, πάνω από τον μέσο όρο της Ευρωζώνης (~39%).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6. Συμπεριφορά εμπόρων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Οι περισσότεροι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προτιμούν μετρητά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λόγω ταμειακής ρευστότητας και αποφυγής προμηθειών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eastAsia="el-GR"/>
              </w:rPr>
              <w:t>POS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>- Παρά τις πιέσεις του κράτους για ψηφιακές συναλλαγές,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η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κουλτούρα χρήσης μετρητών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παραμένει ισχυρή, ιδιαίτερα σε μικρές επιχειρήσεις και επαρχία.</w:t>
            </w:r>
          </w:p>
        </w:tc>
      </w:tr>
      <w:tr w:rsidR="00DE0C4E">
        <w:tblPrEx>
          <w:tblCellMar>
            <w:top w:w="0" w:type="dxa"/>
            <w:bottom w:w="0" w:type="dxa"/>
          </w:tblCellMar>
        </w:tblPrEx>
        <w:tc>
          <w:tcPr>
            <w:tcW w:w="231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7. Επιπτώσεις στους πολίτες</w:t>
            </w:r>
          </w:p>
        </w:tc>
        <w:tc>
          <w:tcPr>
            <w:tcW w:w="599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C4E" w:rsidRDefault="0060525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Ηλικιωμένοι, αγρότες, χαμηλόμισθοι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αντιμετωπίζουν δυσκολίες στη χρήση ηλεκτρονικών μέσων.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bCs/>
                <w:kern w:val="0"/>
                <w:lang w:eastAsia="el-GR"/>
              </w:rPr>
              <w:t>Απομακρυσμένες περιοχές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 πλήττονται από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την έλλειψη </w:t>
            </w:r>
            <w:proofErr w:type="spellStart"/>
            <w:r>
              <w:rPr>
                <w:rFonts w:ascii="Times New Roman" w:eastAsia="Times New Roman" w:hAnsi="Times New Roman"/>
                <w:kern w:val="0"/>
                <w:lang w:eastAsia="el-GR"/>
              </w:rPr>
              <w:t>ΑΤΜ</w:t>
            </w:r>
            <w:proofErr w:type="spellEnd"/>
            <w:r>
              <w:rPr>
                <w:rFonts w:ascii="Times New Roman" w:eastAsia="Times New Roman" w:hAnsi="Times New Roman"/>
                <w:kern w:val="0"/>
                <w:lang w:eastAsia="el-GR"/>
              </w:rPr>
              <w:t xml:space="preserve">/καταστημάτων. </w:t>
            </w:r>
            <w:r>
              <w:rPr>
                <w:rFonts w:ascii="Times New Roman" w:eastAsia="Times New Roman" w:hAnsi="Times New Roman"/>
                <w:kern w:val="0"/>
                <w:lang w:eastAsia="el-GR"/>
              </w:rPr>
              <w:br/>
            </w:r>
          </w:p>
        </w:tc>
      </w:tr>
    </w:tbl>
    <w:p w:rsidR="00DE0C4E" w:rsidRDefault="00DE0C4E"/>
    <w:sectPr w:rsidR="00DE0C4E" w:rsidSect="00DE0C4E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52" w:rsidRDefault="00605252" w:rsidP="00DE0C4E">
      <w:pPr>
        <w:spacing w:after="0" w:line="240" w:lineRule="auto"/>
      </w:pPr>
      <w:r>
        <w:separator/>
      </w:r>
    </w:p>
  </w:endnote>
  <w:endnote w:type="continuationSeparator" w:id="0">
    <w:p w:rsidR="00605252" w:rsidRDefault="00605252" w:rsidP="00DE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52" w:rsidRDefault="00605252" w:rsidP="00DE0C4E">
      <w:pPr>
        <w:spacing w:after="0" w:line="240" w:lineRule="auto"/>
      </w:pPr>
      <w:r w:rsidRPr="00DE0C4E">
        <w:rPr>
          <w:color w:val="000000"/>
        </w:rPr>
        <w:separator/>
      </w:r>
    </w:p>
  </w:footnote>
  <w:footnote w:type="continuationSeparator" w:id="0">
    <w:p w:rsidR="00605252" w:rsidRDefault="00605252" w:rsidP="00DE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C4E"/>
    <w:rsid w:val="00605252"/>
    <w:rsid w:val="00C22E06"/>
    <w:rsid w:val="00DE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kern w:val="3"/>
        <w:sz w:val="24"/>
        <w:szCs w:val="24"/>
        <w:lang w:val="el-G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0C4E"/>
    <w:pPr>
      <w:suppressAutoHyphens/>
    </w:pPr>
  </w:style>
  <w:style w:type="paragraph" w:styleId="1">
    <w:name w:val="heading 1"/>
    <w:basedOn w:val="a"/>
    <w:next w:val="a"/>
    <w:rsid w:val="00DE0C4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rsid w:val="00DE0C4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rsid w:val="00DE0C4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rsid w:val="00DE0C4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rsid w:val="00DE0C4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rsid w:val="00DE0C4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rsid w:val="00DE0C4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rsid w:val="00DE0C4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rsid w:val="00DE0C4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sid w:val="00DE0C4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sid w:val="00DE0C4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rsid w:val="00DE0C4E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sid w:val="00DE0C4E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sid w:val="00DE0C4E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sid w:val="00DE0C4E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sid w:val="00DE0C4E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sid w:val="00DE0C4E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sid w:val="00DE0C4E"/>
    <w:rPr>
      <w:rFonts w:eastAsia="Times New Roman" w:cs="Times New Roman"/>
      <w:color w:val="272727"/>
    </w:rPr>
  </w:style>
  <w:style w:type="paragraph" w:styleId="a3">
    <w:name w:val="Title"/>
    <w:basedOn w:val="a"/>
    <w:next w:val="a"/>
    <w:rsid w:val="00DE0C4E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sid w:val="00DE0C4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rsid w:val="00DE0C4E"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sid w:val="00DE0C4E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DE0C4E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sid w:val="00DE0C4E"/>
    <w:rPr>
      <w:i/>
      <w:iCs/>
      <w:color w:val="404040"/>
    </w:rPr>
  </w:style>
  <w:style w:type="paragraph" w:styleId="a6">
    <w:name w:val="List Paragraph"/>
    <w:basedOn w:val="a"/>
    <w:rsid w:val="00DE0C4E"/>
    <w:pPr>
      <w:ind w:left="720"/>
    </w:pPr>
  </w:style>
  <w:style w:type="character" w:styleId="a7">
    <w:name w:val="Intense Emphasis"/>
    <w:basedOn w:val="a0"/>
    <w:rsid w:val="00DE0C4E"/>
    <w:rPr>
      <w:i/>
      <w:iCs/>
      <w:color w:val="0F4761"/>
    </w:rPr>
  </w:style>
  <w:style w:type="paragraph" w:customStyle="1" w:styleId="a8">
    <w:name w:val="Έντονο απόσπ."/>
    <w:basedOn w:val="a"/>
    <w:next w:val="a"/>
    <w:rsid w:val="00DE0C4E"/>
    <w:pPr>
      <w:pBdr>
        <w:top w:val="single" w:sz="4" w:space="0" w:color="0F4761"/>
        <w:bottom w:val="single" w:sz="4" w:space="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sid w:val="00DE0C4E"/>
    <w:rPr>
      <w:i/>
      <w:iCs/>
      <w:color w:val="0F4761"/>
    </w:rPr>
  </w:style>
  <w:style w:type="character" w:styleId="a9">
    <w:name w:val="Intense Reference"/>
    <w:basedOn w:val="a0"/>
    <w:rsid w:val="00DE0C4E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Sakellari</dc:creator>
  <cp:lastModifiedBy>Χρήστης των Windows</cp:lastModifiedBy>
  <cp:revision>2</cp:revision>
  <dcterms:created xsi:type="dcterms:W3CDTF">2025-11-08T19:36:00Z</dcterms:created>
  <dcterms:modified xsi:type="dcterms:W3CDTF">2025-11-08T19:36:00Z</dcterms:modified>
</cp:coreProperties>
</file>